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407" w:rsidRDefault="006546BA">
      <w:pPr>
        <w:pStyle w:val="Textoindependiente"/>
        <w:ind w:left="37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9651" cy="9265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51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07" w:rsidRDefault="00951407">
      <w:pPr>
        <w:pStyle w:val="Textoindependiente"/>
        <w:spacing w:before="7"/>
        <w:rPr>
          <w:rFonts w:ascii="Times New Roman"/>
        </w:rPr>
      </w:pPr>
    </w:p>
    <w:p w:rsidR="00951407" w:rsidRDefault="006546BA">
      <w:pPr>
        <w:pStyle w:val="Ttulo"/>
        <w:spacing w:line="403" w:lineRule="auto"/>
        <w:rPr>
          <w:b/>
        </w:rPr>
      </w:pPr>
      <w:r>
        <w:rPr>
          <w:b/>
          <w:smallCaps/>
        </w:rPr>
        <w:t>Modifica</w:t>
      </w:r>
      <w:r>
        <w:rPr>
          <w:b/>
          <w:smallCaps/>
          <w:spacing w:val="-4"/>
        </w:rPr>
        <w:t xml:space="preserve"> </w:t>
      </w:r>
      <w:r>
        <w:rPr>
          <w:b/>
          <w:smallCaps/>
        </w:rPr>
        <w:t>el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Código</w:t>
      </w:r>
      <w:r>
        <w:rPr>
          <w:b/>
          <w:smallCaps/>
          <w:spacing w:val="-2"/>
        </w:rPr>
        <w:t xml:space="preserve"> </w:t>
      </w:r>
      <w:r>
        <w:rPr>
          <w:b/>
          <w:smallCaps/>
        </w:rPr>
        <w:t>Penal</w:t>
      </w:r>
      <w:r>
        <w:rPr>
          <w:b/>
          <w:smallCaps/>
          <w:spacing w:val="-7"/>
        </w:rPr>
        <w:t xml:space="preserve"> </w:t>
      </w:r>
      <w:r>
        <w:rPr>
          <w:b/>
          <w:smallCaps/>
        </w:rPr>
        <w:t>para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incorporar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en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la</w:t>
      </w:r>
      <w:r>
        <w:rPr>
          <w:b/>
          <w:smallCaps/>
          <w:spacing w:val="-4"/>
        </w:rPr>
        <w:t xml:space="preserve"> </w:t>
      </w:r>
      <w:r>
        <w:rPr>
          <w:b/>
          <w:smallCaps/>
        </w:rPr>
        <w:t>presunción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de legítima defensa privilegiada a los funcionarios de las Fuerzas Armadas o de Orden y Seguridad que repelen o</w:t>
      </w:r>
    </w:p>
    <w:p w:rsidR="00951407" w:rsidRDefault="006546BA">
      <w:pPr>
        <w:spacing w:line="258" w:lineRule="exact"/>
        <w:ind w:left="497" w:right="511"/>
        <w:jc w:val="center"/>
        <w:rPr>
          <w:b/>
        </w:rPr>
      </w:pPr>
      <w:r>
        <w:rPr>
          <w:b/>
        </w:rPr>
        <w:t>IMPIDEN</w:t>
      </w:r>
      <w:r>
        <w:rPr>
          <w:b/>
          <w:spacing w:val="-6"/>
        </w:rPr>
        <w:t xml:space="preserve"> </w:t>
      </w:r>
      <w:r>
        <w:rPr>
          <w:b/>
        </w:rPr>
        <w:t>UNA</w:t>
      </w:r>
      <w:r>
        <w:rPr>
          <w:b/>
          <w:spacing w:val="-7"/>
        </w:rPr>
        <w:t xml:space="preserve"> </w:t>
      </w:r>
      <w:r>
        <w:rPr>
          <w:b/>
        </w:rPr>
        <w:t>AGRESIÓN</w:t>
      </w:r>
      <w:r>
        <w:rPr>
          <w:b/>
          <w:spacing w:val="-6"/>
        </w:rPr>
        <w:t xml:space="preserve"> </w:t>
      </w:r>
      <w:r>
        <w:rPr>
          <w:b/>
        </w:rPr>
        <w:t>ENCONTRÁNDOSE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CALIDAD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FRANCO</w:t>
      </w:r>
    </w:p>
    <w:p w:rsidR="00951407" w:rsidRDefault="00951407">
      <w:pPr>
        <w:pStyle w:val="Textoindependiente"/>
        <w:rPr>
          <w:b/>
          <w:sz w:val="26"/>
        </w:rPr>
      </w:pPr>
    </w:p>
    <w:p w:rsidR="00951407" w:rsidRDefault="00951407">
      <w:pPr>
        <w:pStyle w:val="Textoindependiente"/>
        <w:spacing w:before="11"/>
        <w:rPr>
          <w:b/>
          <w:sz w:val="38"/>
        </w:rPr>
      </w:pPr>
    </w:p>
    <w:p w:rsidR="00951407" w:rsidRDefault="006546BA">
      <w:pPr>
        <w:pStyle w:val="Textoindependiente"/>
        <w:ind w:left="157" w:right="172"/>
        <w:jc w:val="center"/>
        <w:rPr>
          <w:b/>
        </w:rPr>
      </w:pPr>
      <w:r>
        <w:rPr>
          <w:b/>
          <w:spacing w:val="-2"/>
          <w:u w:val="single"/>
        </w:rPr>
        <w:t>Antecedentes</w:t>
      </w:r>
    </w:p>
    <w:p w:rsidR="00951407" w:rsidRDefault="00951407">
      <w:pPr>
        <w:pStyle w:val="Textoindependiente"/>
        <w:rPr>
          <w:b/>
          <w:sz w:val="20"/>
        </w:rPr>
      </w:pPr>
    </w:p>
    <w:p w:rsidR="00951407" w:rsidRDefault="00951407">
      <w:pPr>
        <w:pStyle w:val="Textoindependiente"/>
        <w:rPr>
          <w:b/>
          <w:sz w:val="20"/>
        </w:rPr>
      </w:pPr>
    </w:p>
    <w:p w:rsidR="00951407" w:rsidRDefault="00951407">
      <w:pPr>
        <w:pStyle w:val="Textoindependiente"/>
        <w:spacing w:before="5"/>
        <w:rPr>
          <w:b/>
          <w:sz w:val="26"/>
        </w:rPr>
      </w:pPr>
    </w:p>
    <w:p w:rsidR="00951407" w:rsidRDefault="006546BA">
      <w:pPr>
        <w:pStyle w:val="Textoindependiente"/>
        <w:spacing w:before="100" w:line="360" w:lineRule="auto"/>
        <w:ind w:left="102" w:right="117" w:firstLine="707"/>
        <w:jc w:val="both"/>
      </w:pPr>
      <w:r>
        <w:t>Con</w:t>
      </w:r>
      <w:r>
        <w:rPr>
          <w:spacing w:val="-19"/>
        </w:rPr>
        <w:t xml:space="preserve"> </w:t>
      </w:r>
      <w:r>
        <w:t>ocasión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distintos</w:t>
      </w:r>
      <w:r>
        <w:rPr>
          <w:spacing w:val="-19"/>
        </w:rPr>
        <w:t xml:space="preserve"> </w:t>
      </w:r>
      <w:r>
        <w:t>casos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ataques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funcionarios</w:t>
      </w:r>
      <w:r>
        <w:rPr>
          <w:spacing w:val="-19"/>
        </w:rPr>
        <w:t xml:space="preserve"> </w:t>
      </w:r>
      <w:r>
        <w:t>policiales se discutió y aprobó la así denominada “Ley Naín Retamal”, Ley N°21.560, la que tiene por objeto generar un estatuto de resguardo y protección de la función policial a través de distintos mecanismos, entre los que se cuenta, de</w:t>
      </w:r>
      <w:r>
        <w:rPr>
          <w:spacing w:val="-11"/>
        </w:rPr>
        <w:t xml:space="preserve"> </w:t>
      </w:r>
      <w:r>
        <w:t>mane</w:t>
      </w:r>
      <w:r>
        <w:t>ra</w:t>
      </w:r>
      <w:r>
        <w:rPr>
          <w:spacing w:val="-11"/>
        </w:rPr>
        <w:t xml:space="preserve"> </w:t>
      </w:r>
      <w:r>
        <w:t>relevante,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inclusión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funcionarios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Seguridad, de</w:t>
      </w:r>
      <w:r>
        <w:rPr>
          <w:spacing w:val="-11"/>
        </w:rPr>
        <w:t xml:space="preserve"> </w:t>
      </w:r>
      <w:r>
        <w:t>Gendarmería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Fuerzas</w:t>
      </w:r>
      <w:r>
        <w:rPr>
          <w:spacing w:val="-11"/>
        </w:rPr>
        <w:t xml:space="preserve"> </w:t>
      </w:r>
      <w:r>
        <w:t>Armadas</w:t>
      </w:r>
      <w:r>
        <w:rPr>
          <w:spacing w:val="-9"/>
        </w:rPr>
        <w:t xml:space="preserve"> </w:t>
      </w:r>
      <w:r>
        <w:t>-cuando</w:t>
      </w:r>
      <w:r>
        <w:rPr>
          <w:spacing w:val="-11"/>
        </w:rPr>
        <w:t xml:space="preserve"> </w:t>
      </w:r>
      <w:r>
        <w:t>cumplen labores de orden público-, en la legítima defensa privilegiada que consagra el numeral sexto del artículo 10 del Cód</w:t>
      </w:r>
      <w:r>
        <w:t>igo Penal.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4"/>
        <w:rPr>
          <w:sz w:val="35"/>
        </w:rPr>
      </w:pPr>
    </w:p>
    <w:p w:rsidR="00951407" w:rsidRDefault="006546BA">
      <w:pPr>
        <w:pStyle w:val="Textoindependiente"/>
        <w:spacing w:line="360" w:lineRule="auto"/>
        <w:ind w:left="102" w:right="118" w:firstLine="707"/>
        <w:jc w:val="both"/>
      </w:pPr>
      <w:r>
        <w:t>Como</w:t>
      </w:r>
      <w:r>
        <w:rPr>
          <w:spacing w:val="-19"/>
        </w:rPr>
        <w:t xml:space="preserve"> </w:t>
      </w:r>
      <w:r>
        <w:t>fue</w:t>
      </w:r>
      <w:r>
        <w:rPr>
          <w:spacing w:val="-19"/>
        </w:rPr>
        <w:t xml:space="preserve"> </w:t>
      </w:r>
      <w:r>
        <w:t>profusamente</w:t>
      </w:r>
      <w:r>
        <w:rPr>
          <w:spacing w:val="-19"/>
        </w:rPr>
        <w:t xml:space="preserve"> </w:t>
      </w:r>
      <w:r>
        <w:t>discutido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tramitación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dicha</w:t>
      </w:r>
      <w:r>
        <w:rPr>
          <w:spacing w:val="-19"/>
        </w:rPr>
        <w:t xml:space="preserve"> </w:t>
      </w:r>
      <w:r>
        <w:t>iniciativa de ley, la institución de la legítima defensa privilegiada constituye una presunción de concurrencia de algunos de los elementos que configuran la legítima defensa (en gener</w:t>
      </w:r>
      <w:r>
        <w:t>al). De allí su carácter de privilegiada en relación con la legítima defensa general respecto de la que no se presume la concurrencia de los elementos que la configuran y estos deben ser especialmente comprobados ante cualquier imputación penal.</w:t>
      </w:r>
    </w:p>
    <w:p w:rsidR="00951407" w:rsidRDefault="00951407">
      <w:pPr>
        <w:spacing w:line="360" w:lineRule="auto"/>
        <w:jc w:val="both"/>
        <w:sectPr w:rsidR="00951407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951407" w:rsidRDefault="006546BA">
      <w:pPr>
        <w:pStyle w:val="Textoindependiente"/>
        <w:spacing w:before="179" w:line="360" w:lineRule="auto"/>
        <w:ind w:left="102" w:right="118" w:firstLine="707"/>
        <w:jc w:val="both"/>
      </w:pPr>
      <w:r>
        <w:lastRenderedPageBreak/>
        <w:t>Desde la vigencia de esta ley ella ha mostrado su efectiva aplicación ya que se ha esgrimido para la obtención de absoluciones o modificaciones de condenas en atención a que los hechos que constituyen su sustrato pasan a no ser punibles en los mismos térmi</w:t>
      </w:r>
      <w:r>
        <w:t>nos en que lo eran antes de la ley</w:t>
      </w:r>
      <w:r>
        <w:rPr>
          <w:position w:val="6"/>
          <w:sz w:val="16"/>
        </w:rPr>
        <w:t>1</w:t>
      </w:r>
      <w:r>
        <w:t>. Al mismo tiempo, ha amparado situaciones de defensa y actuación policial que a todas luces son razonables, ya que se trata de funcionarios policiales que obran repeliendo ataques o evitando la consumación de delitos. Por lo mismo, tras su publicación, la</w:t>
      </w:r>
      <w:r>
        <w:t xml:space="preserve"> mayoría de encuestados en distintos sondeos de opinión pública manifestaban su aprobación a la </w:t>
      </w:r>
      <w:r>
        <w:rPr>
          <w:spacing w:val="-2"/>
        </w:rPr>
        <w:t>medida</w:t>
      </w:r>
      <w:r>
        <w:rPr>
          <w:spacing w:val="-2"/>
          <w:position w:val="6"/>
          <w:sz w:val="16"/>
        </w:rPr>
        <w:t>2</w:t>
      </w:r>
      <w:r>
        <w:rPr>
          <w:spacing w:val="-2"/>
        </w:rPr>
        <w:t>.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3"/>
        <w:rPr>
          <w:sz w:val="35"/>
        </w:rPr>
      </w:pPr>
    </w:p>
    <w:p w:rsidR="00951407" w:rsidRDefault="006546BA">
      <w:pPr>
        <w:spacing w:line="360" w:lineRule="auto"/>
        <w:ind w:left="102" w:right="115" w:firstLine="707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marco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relación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institución de la legítima defensa privilegiada se consagró que los funcionarios de las Fu</w:t>
      </w:r>
      <w:r>
        <w:rPr>
          <w:sz w:val="24"/>
        </w:rPr>
        <w:t>erzas Armadas, de Orden y de Seguridad Pública y de Gendarmería se entenderían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legítima</w:t>
      </w:r>
      <w:r>
        <w:rPr>
          <w:spacing w:val="-2"/>
          <w:sz w:val="24"/>
        </w:rPr>
        <w:t xml:space="preserve"> </w:t>
      </w:r>
      <w:r>
        <w:rPr>
          <w:sz w:val="24"/>
        </w:rPr>
        <w:t>defensa</w:t>
      </w:r>
      <w:r>
        <w:rPr>
          <w:spacing w:val="-4"/>
          <w:sz w:val="24"/>
        </w:rPr>
        <w:t xml:space="preserve"> </w:t>
      </w:r>
      <w:r>
        <w:rPr>
          <w:sz w:val="24"/>
        </w:rPr>
        <w:t>privilegiada</w:t>
      </w:r>
      <w:r>
        <w:rPr>
          <w:spacing w:val="-2"/>
          <w:sz w:val="24"/>
        </w:rPr>
        <w:t xml:space="preserve"> </w:t>
      </w:r>
      <w:r>
        <w:rPr>
          <w:sz w:val="24"/>
        </w:rPr>
        <w:t>en aquellos casos en que repelen o impiden una agresión actuando “</w:t>
      </w:r>
      <w:r>
        <w:rPr>
          <w:i/>
          <w:sz w:val="24"/>
        </w:rPr>
        <w:t>en razón de su cargo o con motivo u ocasión del cum</w:t>
      </w:r>
      <w:r>
        <w:rPr>
          <w:i/>
          <w:sz w:val="24"/>
        </w:rPr>
        <w:t>plimiento de funciones de resguardo de orden público y seguridad pública interior</w:t>
      </w:r>
      <w:r>
        <w:rPr>
          <w:sz w:val="24"/>
        </w:rPr>
        <w:t>”.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4"/>
        <w:rPr>
          <w:sz w:val="35"/>
        </w:rPr>
      </w:pPr>
    </w:p>
    <w:p w:rsidR="00951407" w:rsidRDefault="006546BA">
      <w:pPr>
        <w:pStyle w:val="Textoindependiente"/>
        <w:spacing w:line="360" w:lineRule="auto"/>
        <w:ind w:left="102" w:right="118" w:firstLine="707"/>
        <w:jc w:val="both"/>
      </w:pPr>
      <w:r>
        <w:t xml:space="preserve">Del tenor literal de la norma puede concluirse que aquellos funcionarios que actúan encontrándose de franco no están comprendidos en la legítima defensa privilegiada, lo </w:t>
      </w:r>
      <w:r>
        <w:t>que constituiría una exclusión indeseada</w:t>
      </w:r>
      <w:r>
        <w:rPr>
          <w:spacing w:val="54"/>
        </w:rPr>
        <w:t xml:space="preserve">  </w:t>
      </w:r>
      <w:r>
        <w:t>ya</w:t>
      </w:r>
      <w:r>
        <w:rPr>
          <w:spacing w:val="54"/>
        </w:rPr>
        <w:t xml:space="preserve">  </w:t>
      </w:r>
      <w:r>
        <w:t>que</w:t>
      </w:r>
      <w:r>
        <w:rPr>
          <w:spacing w:val="55"/>
        </w:rPr>
        <w:t xml:space="preserve">  </w:t>
      </w:r>
      <w:r>
        <w:t>son</w:t>
      </w:r>
      <w:r>
        <w:rPr>
          <w:spacing w:val="54"/>
        </w:rPr>
        <w:t xml:space="preserve">  </w:t>
      </w:r>
      <w:r>
        <w:t>muchos</w:t>
      </w:r>
      <w:r>
        <w:rPr>
          <w:spacing w:val="54"/>
        </w:rPr>
        <w:t xml:space="preserve">  </w:t>
      </w:r>
      <w:r>
        <w:t>los</w:t>
      </w:r>
      <w:r>
        <w:rPr>
          <w:spacing w:val="54"/>
        </w:rPr>
        <w:t xml:space="preserve">  </w:t>
      </w:r>
      <w:r>
        <w:t>casos</w:t>
      </w:r>
      <w:r>
        <w:rPr>
          <w:spacing w:val="54"/>
        </w:rPr>
        <w:t xml:space="preserve">  </w:t>
      </w:r>
      <w:r>
        <w:t>en</w:t>
      </w:r>
      <w:r>
        <w:rPr>
          <w:spacing w:val="54"/>
        </w:rPr>
        <w:t xml:space="preserve">  </w:t>
      </w:r>
      <w:r>
        <w:t>que</w:t>
      </w:r>
      <w:r>
        <w:rPr>
          <w:spacing w:val="55"/>
        </w:rPr>
        <w:t xml:space="preserve">  </w:t>
      </w:r>
      <w:r>
        <w:rPr>
          <w:spacing w:val="-2"/>
        </w:rPr>
        <w:t>funcionarios,</w:t>
      </w:r>
    </w:p>
    <w:p w:rsidR="00951407" w:rsidRDefault="006546BA">
      <w:pPr>
        <w:pStyle w:val="Textoindependien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153903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C835" id="Graphic 2" o:spid="_x0000_s1026" style="position:absolute;margin-left:85.1pt;margin-top:12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sn6TgOAAAAAJAQAADwAA&#10;AGRycy9kb3ducmV2LnhtbEyPQUvDQBCF74L/YRnBi7Qb09SGmE1RQSzYgo3F8yY7JsHsbMhu2/jv&#10;HU96Gt7M48338vVke3HC0XeOFNzOIxBItTMdNQoO78+zFIQPmozuHaGCb/SwLi4vcp0Zd6Y9nsrQ&#10;CA4hn2kFbQhDJqWvW7Taz92AxLdPN1odWI6NNKM+c7jtZRxFd9LqjvhDqwd8arH+Ko9WwYvZbdK3&#10;G3zdbRblYzhM2yr52Cp1fTU93IMIOIU/M/ziMzoUzFS5IxkvetarKGargjjhyYZkmS5AVLxYrkAW&#10;ufzfoPgB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sn6Tg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1407" w:rsidRDefault="006546BA">
      <w:pPr>
        <w:spacing w:before="100"/>
        <w:ind w:left="102" w:right="120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  <w:vertAlign w:val="superscript"/>
        </w:rPr>
        <w:t>1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En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su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primera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aplicación,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en abril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 2023,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se sancionaron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hechos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ocurridos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en el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marco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así denominado “estallido social”, estimándose que es la Ley N°21.560 y sus reformas las aplicables en dichas situaciones. Ver nota</w:t>
      </w:r>
      <w:r>
        <w:rPr>
          <w:rFonts w:ascii="Calibri Light" w:hAnsi="Calibri Light"/>
          <w:spacing w:val="71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del</w:t>
      </w:r>
      <w:r>
        <w:rPr>
          <w:rFonts w:ascii="Calibri Light" w:hAnsi="Calibri Light"/>
          <w:spacing w:val="71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medio</w:t>
      </w:r>
      <w:r>
        <w:rPr>
          <w:rFonts w:ascii="Calibri Light" w:hAnsi="Calibri Light"/>
          <w:spacing w:val="73"/>
          <w:w w:val="150"/>
          <w:sz w:val="20"/>
        </w:rPr>
        <w:t xml:space="preserve">   </w:t>
      </w:r>
      <w:r>
        <w:rPr>
          <w:rFonts w:ascii="Calibri Light" w:hAnsi="Calibri Light"/>
          <w:i/>
          <w:sz w:val="20"/>
        </w:rPr>
        <w:t>El</w:t>
      </w:r>
      <w:r>
        <w:rPr>
          <w:rFonts w:ascii="Calibri Light" w:hAnsi="Calibri Light"/>
          <w:i/>
          <w:spacing w:val="71"/>
          <w:w w:val="150"/>
          <w:sz w:val="20"/>
        </w:rPr>
        <w:t xml:space="preserve">   </w:t>
      </w:r>
      <w:r>
        <w:rPr>
          <w:rFonts w:ascii="Calibri Light" w:hAnsi="Calibri Light"/>
          <w:i/>
          <w:sz w:val="20"/>
        </w:rPr>
        <w:t>Mostrador</w:t>
      </w:r>
      <w:r>
        <w:rPr>
          <w:rFonts w:ascii="Calibri Light" w:hAnsi="Calibri Light"/>
          <w:i/>
          <w:spacing w:val="72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72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fecha</w:t>
      </w:r>
      <w:r>
        <w:rPr>
          <w:rFonts w:ascii="Calibri Light" w:hAnsi="Calibri Light"/>
          <w:spacing w:val="71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27</w:t>
      </w:r>
      <w:r>
        <w:rPr>
          <w:rFonts w:ascii="Calibri Light" w:hAnsi="Calibri Light"/>
          <w:spacing w:val="72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72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abril</w:t>
      </w:r>
      <w:r>
        <w:rPr>
          <w:rFonts w:ascii="Calibri Light" w:hAnsi="Calibri Light"/>
          <w:spacing w:val="71"/>
          <w:w w:val="150"/>
          <w:sz w:val="20"/>
        </w:rPr>
        <w:t xml:space="preserve">   </w:t>
      </w:r>
      <w:r>
        <w:rPr>
          <w:rFonts w:ascii="Calibri Light" w:hAnsi="Calibri Light"/>
          <w:sz w:val="20"/>
        </w:rPr>
        <w:t>de</w:t>
      </w:r>
      <w:r>
        <w:rPr>
          <w:rFonts w:ascii="Times New Roman" w:hAnsi="Times New Roman"/>
          <w:spacing w:val="65"/>
          <w:w w:val="150"/>
          <w:sz w:val="20"/>
        </w:rPr>
        <w:t xml:space="preserve">   </w:t>
      </w:r>
      <w:r>
        <w:rPr>
          <w:rFonts w:ascii="Calibri Light" w:hAnsi="Calibri Light"/>
          <w:spacing w:val="-2"/>
          <w:sz w:val="20"/>
        </w:rPr>
        <w:t>2023:</w:t>
      </w:r>
    </w:p>
    <w:p w:rsidR="00951407" w:rsidRDefault="006546BA">
      <w:pPr>
        <w:ind w:left="102" w:right="567"/>
        <w:rPr>
          <w:rFonts w:ascii="Calibri Light"/>
          <w:sz w:val="20"/>
        </w:rPr>
      </w:pPr>
      <w:hyperlink r:id="rId5">
        <w:r>
          <w:rPr>
            <w:rFonts w:ascii="Calibri Light"/>
            <w:color w:val="0462C1"/>
            <w:spacing w:val="-2"/>
            <w:sz w:val="20"/>
            <w:u w:val="single" w:color="0462C1"/>
          </w:rPr>
          <w:t>https://www.elmostrador.cl/noticias/pais/2023/04/27/justicia-aplica-ley-nain-retamal-</w:t>
        </w:r>
        <w:r>
          <w:rPr>
            <w:rFonts w:ascii="Calibri Light"/>
            <w:color w:val="0462C1"/>
            <w:spacing w:val="-2"/>
            <w:sz w:val="20"/>
            <w:u w:val="single" w:color="0462C1"/>
          </w:rPr>
          <w:t>por-primera-vez-y-</w:t>
        </w:r>
      </w:hyperlink>
      <w:r>
        <w:rPr>
          <w:rFonts w:ascii="Calibri Light"/>
          <w:color w:val="0462C1"/>
          <w:spacing w:val="-2"/>
          <w:sz w:val="20"/>
        </w:rPr>
        <w:t xml:space="preserve"> </w:t>
      </w:r>
      <w:hyperlink r:id="rId6">
        <w:r>
          <w:rPr>
            <w:rFonts w:ascii="Calibri Light"/>
            <w:color w:val="0462C1"/>
            <w:spacing w:val="-2"/>
            <w:sz w:val="20"/>
            <w:u w:val="single" w:color="0462C1"/>
          </w:rPr>
          <w:t>absuelve-a-cinco-carabineros-acusados-de-apremios/</w:t>
        </w:r>
      </w:hyperlink>
    </w:p>
    <w:p w:rsidR="00951407" w:rsidRDefault="006546BA">
      <w:pPr>
        <w:spacing w:before="1"/>
        <w:ind w:left="102" w:right="123"/>
        <w:rPr>
          <w:rFonts w:ascii="Calibri Light"/>
          <w:sz w:val="20"/>
        </w:rPr>
      </w:pPr>
      <w:r>
        <w:rPr>
          <w:rFonts w:ascii="Calibri Light"/>
          <w:sz w:val="20"/>
          <w:vertAlign w:val="superscript"/>
        </w:rPr>
        <w:t>2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Nota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prensa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del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medio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CNN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Chile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fecha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27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abril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2023,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disponible</w:t>
      </w:r>
      <w:r>
        <w:rPr>
          <w:rFonts w:ascii="Calibri Light"/>
          <w:spacing w:val="40"/>
          <w:sz w:val="20"/>
        </w:rPr>
        <w:t xml:space="preserve">  </w:t>
      </w:r>
      <w:r>
        <w:rPr>
          <w:rFonts w:ascii="Calibri Light"/>
          <w:sz w:val="20"/>
        </w:rPr>
        <w:t>en:</w:t>
      </w:r>
      <w:r>
        <w:rPr>
          <w:rFonts w:ascii="Calibri Light"/>
          <w:spacing w:val="40"/>
          <w:sz w:val="20"/>
        </w:rPr>
        <w:t xml:space="preserve"> </w:t>
      </w:r>
      <w:hyperlink r:id="rId7">
        <w:r>
          <w:rPr>
            <w:rFonts w:ascii="Calibri Light"/>
            <w:color w:val="0462C1"/>
            <w:spacing w:val="-2"/>
            <w:sz w:val="20"/>
            <w:u w:val="single" w:color="0462C1"/>
          </w:rPr>
          <w:t>https://www.cnnchile.com/pais/ipsos-ley-nain-retamal-legiti</w:t>
        </w:r>
        <w:r>
          <w:rPr>
            <w:rFonts w:ascii="Calibri Light"/>
            <w:color w:val="0462C1"/>
            <w:spacing w:val="-2"/>
            <w:sz w:val="20"/>
            <w:u w:val="single" w:color="0462C1"/>
          </w:rPr>
          <w:t>ma-defensa-privilegiada_20230427/</w:t>
        </w:r>
      </w:hyperlink>
    </w:p>
    <w:p w:rsidR="00951407" w:rsidRDefault="00951407">
      <w:pPr>
        <w:rPr>
          <w:rFonts w:ascii="Calibri Light"/>
          <w:sz w:val="20"/>
        </w:rPr>
        <w:sectPr w:rsidR="00951407">
          <w:pgSz w:w="12240" w:h="15840"/>
          <w:pgMar w:top="1820" w:right="1580" w:bottom="280" w:left="1600" w:header="720" w:footer="720" w:gutter="0"/>
          <w:cols w:space="720"/>
        </w:sectPr>
      </w:pPr>
    </w:p>
    <w:p w:rsidR="00951407" w:rsidRDefault="006546BA">
      <w:pPr>
        <w:pStyle w:val="Textoindependiente"/>
        <w:spacing w:before="75" w:line="360" w:lineRule="auto"/>
        <w:ind w:left="102" w:right="115"/>
        <w:jc w:val="both"/>
      </w:pPr>
      <w:r>
        <w:lastRenderedPageBreak/>
        <w:t>particularmente policiales, repelen o previenen ataques encontrándose de franco,</w:t>
      </w:r>
      <w:r>
        <w:rPr>
          <w:spacing w:val="-4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por no estar en dicho turno o asignación de labores. Sin embargo, la</w:t>
      </w:r>
      <w:r>
        <w:t xml:space="preserve"> reglamentación institucional les exige, aún en esta situación, actuar como si</w:t>
      </w:r>
      <w:r>
        <w:rPr>
          <w:spacing w:val="-16"/>
        </w:rPr>
        <w:t xml:space="preserve"> </w:t>
      </w:r>
      <w:r>
        <w:t>estuvieran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funciones,</w:t>
      </w:r>
      <w:r>
        <w:rPr>
          <w:spacing w:val="-16"/>
        </w:rPr>
        <w:t xml:space="preserve"> </w:t>
      </w:r>
      <w:r>
        <w:t>debiendo</w:t>
      </w:r>
      <w:r>
        <w:rPr>
          <w:spacing w:val="-16"/>
        </w:rPr>
        <w:t xml:space="preserve"> </w:t>
      </w:r>
      <w:r>
        <w:t>repeler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prevenir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ataque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son víctimas los mismos funcionarios o terceros. Así, se ven obligados a actuar en defensa propia o de civiles, pero, en dichos casos, por no estar en cumplimiento de funciones, una interpretación posible es que estarían excluidos y, de tal manera, obligad</w:t>
      </w:r>
      <w:r>
        <w:t>os a actuar, no se configuraría a su respecto la legítima defensa privilegiada.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6"/>
        <w:rPr>
          <w:sz w:val="35"/>
        </w:rPr>
      </w:pPr>
    </w:p>
    <w:p w:rsidR="00951407" w:rsidRDefault="006546BA">
      <w:pPr>
        <w:pStyle w:val="Textoindependiente"/>
        <w:spacing w:line="360" w:lineRule="auto"/>
        <w:ind w:left="102" w:right="117" w:firstLine="707"/>
        <w:jc w:val="both"/>
      </w:pPr>
      <w:r>
        <w:t>Siendo cierto que esta hipótesis debe someterse al análisis de los tribunales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conocen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imputaciones</w:t>
      </w:r>
      <w:r>
        <w:rPr>
          <w:spacing w:val="-6"/>
        </w:rPr>
        <w:t xml:space="preserve"> </w:t>
      </w:r>
      <w:r>
        <w:t>penales,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plantea</w:t>
      </w:r>
      <w:r>
        <w:rPr>
          <w:spacing w:val="-6"/>
        </w:rPr>
        <w:t xml:space="preserve"> </w:t>
      </w:r>
      <w:r>
        <w:t xml:space="preserve">que es útil y necesario aclarar dicho criterio en el marco legal vigente, modificándose el Código Penal, que ya ha sido previamente modificado por la Ley N°21.560, para establecer que la legítima defensa privilegiada también se extenderá al funcionario de </w:t>
      </w:r>
      <w:r>
        <w:t>las Fuerzas Armadas o de Orden y de Seguridad que actúe repeliendo un ataque contra sí mismo o contra un tercero pero encontrándose de franco.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10"/>
        <w:rPr>
          <w:sz w:val="28"/>
        </w:rPr>
      </w:pPr>
    </w:p>
    <w:p w:rsidR="00951407" w:rsidRDefault="006546BA">
      <w:pPr>
        <w:pStyle w:val="Textoindependiente"/>
        <w:spacing w:line="362" w:lineRule="auto"/>
        <w:ind w:left="102" w:right="119"/>
        <w:jc w:val="both"/>
      </w:pPr>
      <w:r>
        <w:t xml:space="preserve">Por lo dicho, los diputados y diputadas suscritos venimos en proponer el </w:t>
      </w:r>
      <w:r>
        <w:rPr>
          <w:spacing w:val="-2"/>
        </w:rPr>
        <w:t>siguiente:</w:t>
      </w:r>
    </w:p>
    <w:p w:rsidR="00951407" w:rsidRDefault="00951407">
      <w:pPr>
        <w:spacing w:line="362" w:lineRule="auto"/>
        <w:jc w:val="both"/>
        <w:sectPr w:rsidR="00951407">
          <w:pgSz w:w="12240" w:h="15840"/>
          <w:pgMar w:top="1340" w:right="1580" w:bottom="280" w:left="1600" w:header="720" w:footer="720" w:gutter="0"/>
          <w:cols w:space="720"/>
        </w:sectPr>
      </w:pPr>
    </w:p>
    <w:p w:rsidR="00951407" w:rsidRDefault="006546BA">
      <w:pPr>
        <w:pStyle w:val="Textoindependiente"/>
        <w:spacing w:before="78"/>
        <w:ind w:left="157" w:right="173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951407" w:rsidRDefault="00951407">
      <w:pPr>
        <w:pStyle w:val="Textoindependiente"/>
        <w:rPr>
          <w:b/>
          <w:sz w:val="20"/>
        </w:rPr>
      </w:pPr>
    </w:p>
    <w:p w:rsidR="00951407" w:rsidRDefault="00951407">
      <w:pPr>
        <w:pStyle w:val="Textoindependiente"/>
        <w:rPr>
          <w:b/>
          <w:sz w:val="20"/>
        </w:rPr>
      </w:pPr>
    </w:p>
    <w:p w:rsidR="00951407" w:rsidRDefault="00951407">
      <w:pPr>
        <w:pStyle w:val="Textoindependiente"/>
        <w:spacing w:before="7"/>
        <w:rPr>
          <w:b/>
          <w:sz w:val="26"/>
        </w:rPr>
      </w:pPr>
    </w:p>
    <w:p w:rsidR="00951407" w:rsidRDefault="006546BA">
      <w:pPr>
        <w:pStyle w:val="Textoindependiente"/>
        <w:spacing w:before="100"/>
        <w:ind w:left="102"/>
        <w:jc w:val="both"/>
      </w:pPr>
      <w:r>
        <w:t>“Artículo</w:t>
      </w:r>
      <w:r>
        <w:rPr>
          <w:spacing w:val="-7"/>
        </w:rPr>
        <w:t xml:space="preserve"> </w:t>
      </w:r>
      <w:r>
        <w:t>único.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Agréguese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tercero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numeral 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artículo</w:t>
      </w:r>
    </w:p>
    <w:p w:rsidR="00951407" w:rsidRDefault="006546BA">
      <w:pPr>
        <w:pStyle w:val="Textoindependiente"/>
        <w:spacing w:before="141" w:line="362" w:lineRule="auto"/>
        <w:ind w:left="102" w:right="123"/>
      </w:pPr>
      <w:r>
        <w:t>10</w:t>
      </w:r>
      <w:r>
        <w:rPr>
          <w:spacing w:val="68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Código</w:t>
      </w:r>
      <w:r>
        <w:rPr>
          <w:spacing w:val="68"/>
        </w:rPr>
        <w:t xml:space="preserve"> </w:t>
      </w:r>
      <w:r>
        <w:t>Penal,</w:t>
      </w:r>
      <w:r>
        <w:rPr>
          <w:spacing w:val="6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continuación</w:t>
      </w:r>
      <w:r>
        <w:rPr>
          <w:spacing w:val="70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punto</w:t>
      </w:r>
      <w:r>
        <w:rPr>
          <w:spacing w:val="68"/>
        </w:rPr>
        <w:t xml:space="preserve"> </w:t>
      </w:r>
      <w:r>
        <w:t>aparte</w:t>
      </w:r>
      <w:r>
        <w:rPr>
          <w:spacing w:val="68"/>
        </w:rPr>
        <w:t xml:space="preserve"> </w:t>
      </w:r>
      <w:r>
        <w:t>(.),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 xml:space="preserve">siguiente </w:t>
      </w:r>
      <w:r>
        <w:rPr>
          <w:spacing w:val="-2"/>
        </w:rPr>
        <w:t>expresión:</w:t>
      </w:r>
    </w:p>
    <w:p w:rsidR="00951407" w:rsidRDefault="00951407">
      <w:pPr>
        <w:pStyle w:val="Textoindependiente"/>
        <w:rPr>
          <w:sz w:val="28"/>
        </w:rPr>
      </w:pPr>
    </w:p>
    <w:p w:rsidR="00951407" w:rsidRDefault="00951407">
      <w:pPr>
        <w:pStyle w:val="Textoindependiente"/>
        <w:spacing w:before="11"/>
        <w:rPr>
          <w:sz w:val="34"/>
        </w:rPr>
      </w:pPr>
    </w:p>
    <w:p w:rsidR="00951407" w:rsidRDefault="006546BA">
      <w:pPr>
        <w:pStyle w:val="Textoindependiente"/>
        <w:spacing w:line="360" w:lineRule="auto"/>
        <w:ind w:left="102" w:right="114"/>
        <w:jc w:val="both"/>
      </w:pPr>
      <w:r>
        <w:t>“La</w:t>
      </w:r>
      <w:r>
        <w:rPr>
          <w:spacing w:val="-19"/>
        </w:rPr>
        <w:t xml:space="preserve"> </w:t>
      </w:r>
      <w:r>
        <w:t>presunción</w:t>
      </w:r>
      <w:r>
        <w:rPr>
          <w:spacing w:val="-19"/>
        </w:rPr>
        <w:t xml:space="preserve"> </w:t>
      </w:r>
      <w:r>
        <w:t>establecida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párrafo</w:t>
      </w:r>
      <w:r>
        <w:rPr>
          <w:spacing w:val="-19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igualmente</w:t>
      </w:r>
      <w:r>
        <w:rPr>
          <w:spacing w:val="-19"/>
        </w:rPr>
        <w:t xml:space="preserve"> </w:t>
      </w:r>
      <w:r>
        <w:t>aplicable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aquel funcionario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Fuerzas</w:t>
      </w:r>
      <w:r>
        <w:rPr>
          <w:spacing w:val="-6"/>
        </w:rPr>
        <w:t xml:space="preserve"> </w:t>
      </w:r>
      <w:r>
        <w:t>Armadas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Publica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 calidad de franco repele o impide una agresión que pueda afectar gravemente su integridad física o su vida o las de un tercero, empleando armas o cualquier otro medio de defensa</w:t>
      </w:r>
      <w:r>
        <w:t>.”.”.</w:t>
      </w:r>
    </w:p>
    <w:p w:rsidR="00951407" w:rsidRDefault="00951407">
      <w:pPr>
        <w:pStyle w:val="Textoindependiente"/>
        <w:rPr>
          <w:sz w:val="20"/>
        </w:rPr>
      </w:pPr>
    </w:p>
    <w:p w:rsidR="00951407" w:rsidRDefault="00951407">
      <w:pPr>
        <w:pStyle w:val="Textoindependiente"/>
        <w:rPr>
          <w:sz w:val="20"/>
        </w:rPr>
      </w:pPr>
    </w:p>
    <w:p w:rsidR="00951407" w:rsidRDefault="00951407">
      <w:pPr>
        <w:pStyle w:val="Textoindependiente"/>
        <w:rPr>
          <w:sz w:val="20"/>
        </w:rPr>
      </w:pPr>
    </w:p>
    <w:p w:rsidR="00951407" w:rsidRDefault="006546BA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2838323</wp:posOffset>
                </wp:positionH>
                <wp:positionV relativeFrom="paragraph">
                  <wp:posOffset>156974</wp:posOffset>
                </wp:positionV>
                <wp:extent cx="2093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B3DE4" id="Graphic 3" o:spid="_x0000_s1026" style="position:absolute;margin-left:223.5pt;margin-top:12.35pt;width:16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EdJgIAAH8EAAAOAAAAZHJzL2Uyb0RvYy54bWysVMFu2zAMvQ/YPwi6L06ctFuNOMXQoMWA&#10;oivQDDsrshwbk0WNUmLn70fJdpJ2t6I+CJT4RPLxUV7edo1mB4WuBpPz2WTKmTISitrscv5rc//l&#10;G2fOC1MIDUbl/Kgcv119/rRsbaZSqEAXChkFMS5rbc4r722WJE5WqhFuAlYZcpaAjfC0xV1SoGgp&#10;eqOTdDq9TlrAwiJI5RydrnsnX8X4Zamk/1mWTnmmc061+bhiXLdhTVZLke1Q2KqWQxniHVU0ojaU&#10;9BRqLbxge6z/C9XUEsFB6ScSmgTKspYqciA2s+kbNi+VsCpyoeY4e2qT+7iw8unwjKwucj7nzIiG&#10;JHoYujEPzWmtywjzYp8x0HP2EeQfR47klSds3IDpSmwClsixLnb6eOq06jyTdJhOb+ZXN1ecSfLN&#10;0q9RiERk4125d/5BQYwjDo/O9zoVoyWq0ZKdGU0ktYPOOursOSOdkTPSedvrbIUP90JxwWTtuZBw&#10;1sBBbSB6/ZvKqbSzV5tLVKCyWKScjSwJ2yPICGmoV70RU5N9SU6bUMX1PF3E8XGg6+K+1jpU4XC3&#10;vdPIDiIMb/wCD4rwCmbR+bVwVY+LrgGmzaBTL00QaQvFkQRvSeOcu797gYoz/cPQSIXnMRo4GtvR&#10;QK/vID6i2CDKuel+C7QspM+5J2WfYBxYkY2iBeonbLhp4PveQ1kHReMM9RUNG5rySHB4keEZXe4j&#10;6vzfWP0DAAD//wMAUEsDBBQABgAIAAAAIQA++4XA3wAAAAkBAAAPAAAAZHJzL2Rvd25yZXYueG1s&#10;TI9BT8MwDIXvSPyHyEhcEEuYygKl6YSQ4DqxoXHNGq8ta5yqybaOX493Gjfb7+n5e8V89J044BDb&#10;QAYeJgoEUhVcS7WBr9X7/ROImCw52wVCAyeMMC+vrwqbu3CkTzwsUy04hGJuDTQp9bmUsWrQ2zgJ&#10;PRJr2zB4m3gdaukGe+Rw38mpUjPpbUv8obE9vjVY7ZZ7b+BOnfR6rbc/i9XH4vH3e+eiapIxtzfj&#10;6wuIhGO6mOGMz+hQMtMm7MlF0RnIMs1dkoFppkGwQesZD5vz4RlkWcj/Dco/AAAA//8DAFBLAQIt&#10;ABQABgAIAAAAIQC2gziS/gAAAOEBAAATAAAAAAAAAAAAAAAAAAAAAABbQ29udGVudF9UeXBlc10u&#10;eG1sUEsBAi0AFAAGAAgAAAAhADj9If/WAAAAlAEAAAsAAAAAAAAAAAAAAAAALwEAAF9yZWxzLy5y&#10;ZWxzUEsBAi0AFAAGAAgAAAAhABKjsR0mAgAAfwQAAA4AAAAAAAAAAAAAAAAALgIAAGRycy9lMm9E&#10;b2MueG1sUEsBAi0AFAAGAAgAAAAhAD77hcDfAAAACQEAAA8AAAAAAAAAAAAAAAAAgAQAAGRycy9k&#10;b3ducmV2LnhtbFBLBQYAAAAABAAEAPMAAACMBQAAAAA=&#10;" path="m,l2093442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951407" w:rsidRDefault="006546BA">
      <w:pPr>
        <w:spacing w:before="21"/>
        <w:ind w:left="497" w:right="511"/>
        <w:jc w:val="center"/>
        <w:rPr>
          <w:b/>
          <w:sz w:val="20"/>
        </w:rPr>
      </w:pPr>
      <w:r>
        <w:rPr>
          <w:b/>
          <w:smallCaps/>
          <w:sz w:val="20"/>
        </w:rPr>
        <w:t>José</w:t>
      </w:r>
      <w:r>
        <w:rPr>
          <w:b/>
          <w:smallCaps/>
          <w:spacing w:val="-5"/>
          <w:sz w:val="20"/>
        </w:rPr>
        <w:t xml:space="preserve"> </w:t>
      </w:r>
      <w:r>
        <w:rPr>
          <w:b/>
          <w:smallCaps/>
          <w:sz w:val="20"/>
        </w:rPr>
        <w:t>Miguel</w:t>
      </w:r>
      <w:r>
        <w:rPr>
          <w:b/>
          <w:smallCaps/>
          <w:spacing w:val="-4"/>
          <w:sz w:val="20"/>
        </w:rPr>
        <w:t xml:space="preserve"> </w:t>
      </w:r>
      <w:r>
        <w:rPr>
          <w:b/>
          <w:smallCaps/>
          <w:sz w:val="20"/>
        </w:rPr>
        <w:t>Castro</w:t>
      </w:r>
      <w:r>
        <w:rPr>
          <w:b/>
          <w:smallCaps/>
          <w:spacing w:val="-6"/>
          <w:sz w:val="20"/>
        </w:rPr>
        <w:t xml:space="preserve"> </w:t>
      </w:r>
      <w:r>
        <w:rPr>
          <w:b/>
          <w:smallCaps/>
          <w:spacing w:val="-2"/>
          <w:sz w:val="20"/>
        </w:rPr>
        <w:t>Bascuñán</w:t>
      </w:r>
    </w:p>
    <w:p w:rsidR="00951407" w:rsidRDefault="006546BA">
      <w:pPr>
        <w:spacing w:before="1"/>
        <w:ind w:left="157" w:right="174"/>
        <w:jc w:val="center"/>
        <w:rPr>
          <w:sz w:val="20"/>
        </w:rPr>
      </w:pPr>
      <w:r>
        <w:rPr>
          <w:spacing w:val="-2"/>
          <w:sz w:val="20"/>
        </w:rPr>
        <w:t>Diputado</w:t>
      </w:r>
    </w:p>
    <w:sectPr w:rsidR="00951407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407"/>
    <w:rsid w:val="006546BA"/>
    <w:rsid w:val="009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157" w:right="176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nnchile.com/pais/ipsos-ley-nain-retamal-legitima-defensa-privilegiada_202304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ostrador.cl/noticias/pais/2023/04/27/justicia-aplica-ley-nain-retamal-por-primera-vez-y-absuelve-a-cinco-carabineros-acusados-de-apremios/" TargetMode="External"/><Relationship Id="rId5" Type="http://schemas.openxmlformats.org/officeDocument/2006/relationships/hyperlink" Target="https://www.elmostrador.cl/noticias/pais/2023/04/27/justicia-aplica-ley-nain-retamal-por-primera-vez-y-absuelve-a-cinco-carabineros-acusados-de-apremio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rn</dc:creator>
  <cp:lastModifiedBy>Guillermo Diaz Vallejos</cp:lastModifiedBy>
  <cp:revision>1</cp:revision>
  <dcterms:created xsi:type="dcterms:W3CDTF">2023-08-01T22:50:00Z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2019</vt:lpwstr>
  </property>
</Properties>
</file>