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1B50" w:rsidRDefault="005F0D65">
      <w:pPr>
        <w:pStyle w:val="Textoindependiente"/>
        <w:ind w:left="106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968645" cy="95916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645" cy="959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B50" w:rsidRDefault="00BC1B50">
      <w:pPr>
        <w:pStyle w:val="Textoindependiente"/>
        <w:spacing w:before="3"/>
        <w:rPr>
          <w:sz w:val="16"/>
        </w:rPr>
      </w:pPr>
    </w:p>
    <w:p w:rsidR="00BC1B50" w:rsidRDefault="005F0D65">
      <w:pPr>
        <w:pStyle w:val="Ttulo1"/>
        <w:ind w:right="100"/>
        <w:jc w:val="both"/>
      </w:pPr>
      <w:r>
        <w:t>Modifica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Nº19.496,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establece</w:t>
      </w:r>
      <w:r>
        <w:rPr>
          <w:spacing w:val="-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consumidores, con el objeto de imponer a bancos, instituciones financieras y casas comerciales la obligación de acreditar la solvencia económica de estudiantes de educación superior para la apertura de tarjetas y suscripción de créditos</w:t>
      </w:r>
    </w:p>
    <w:p w:rsidR="00BC1B50" w:rsidRDefault="005F0D65">
      <w:pPr>
        <w:pStyle w:val="Textoindependiente"/>
        <w:spacing w:before="1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160646</wp:posOffset>
                </wp:positionV>
                <wp:extent cx="55886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635">
                              <a:moveTo>
                                <a:pt x="0" y="0"/>
                              </a:moveTo>
                              <a:lnTo>
                                <a:pt x="5588130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03ECA" id="Graphic 2" o:spid="_x0000_s1026" style="position:absolute;margin-left:84.95pt;margin-top:12.65pt;width:440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" path="m,l5588130,e" filled="f" strokeweight=".15578mm">
                <v:path arrowok="t"/>
                <w10:wrap type="topAndBottom" anchorx="page"/>
              </v:shape>
            </w:pict>
          </mc:Fallback>
        </mc:AlternateContent>
      </w:r>
    </w:p>
    <w:p w:rsidR="00BC1B50" w:rsidRDefault="00BC1B50">
      <w:pPr>
        <w:pStyle w:val="Textoindependiente"/>
        <w:spacing w:before="5"/>
        <w:rPr>
          <w:b/>
        </w:rPr>
      </w:pPr>
    </w:p>
    <w:p w:rsidR="00BC1B50" w:rsidRDefault="005F0D65">
      <w:pPr>
        <w:spacing w:before="90"/>
        <w:ind w:left="259"/>
        <w:rPr>
          <w:b/>
          <w:sz w:val="24"/>
        </w:rPr>
      </w:pPr>
      <w:r>
        <w:rPr>
          <w:b/>
          <w:spacing w:val="-2"/>
          <w:sz w:val="24"/>
        </w:rPr>
        <w:t>Fundamentos</w:t>
      </w:r>
    </w:p>
    <w:p w:rsidR="00BC1B50" w:rsidRDefault="00BC1B50">
      <w:pPr>
        <w:pStyle w:val="Textoindependiente"/>
        <w:spacing w:before="2"/>
        <w:rPr>
          <w:b/>
          <w:sz w:val="38"/>
        </w:rPr>
      </w:pPr>
    </w:p>
    <w:p w:rsidR="00BC1B50" w:rsidRDefault="005F0D65">
      <w:pPr>
        <w:pStyle w:val="Prrafodelista"/>
        <w:numPr>
          <w:ilvl w:val="0"/>
          <w:numId w:val="1"/>
        </w:numPr>
        <w:tabs>
          <w:tab w:val="left" w:pos="685"/>
        </w:tabs>
        <w:spacing w:line="264" w:lineRule="auto"/>
        <w:jc w:val="both"/>
        <w:rPr>
          <w:sz w:val="24"/>
        </w:rPr>
      </w:pP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apertura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cuentas</w:t>
      </w:r>
      <w:r>
        <w:rPr>
          <w:spacing w:val="-15"/>
          <w:sz w:val="24"/>
        </w:rPr>
        <w:t xml:space="preserve"> </w:t>
      </w:r>
      <w:r>
        <w:rPr>
          <w:sz w:val="24"/>
        </w:rPr>
        <w:t>bancarias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tarjetas</w:t>
      </w:r>
      <w:r>
        <w:rPr>
          <w:spacing w:val="-15"/>
          <w:sz w:val="24"/>
        </w:rPr>
        <w:t xml:space="preserve"> </w:t>
      </w:r>
      <w:r>
        <w:rPr>
          <w:sz w:val="24"/>
        </w:rPr>
        <w:t>comerciales</w:t>
      </w:r>
      <w:r>
        <w:rPr>
          <w:spacing w:val="-15"/>
          <w:sz w:val="24"/>
        </w:rPr>
        <w:t xml:space="preserve"> </w:t>
      </w:r>
      <w:r>
        <w:rPr>
          <w:sz w:val="24"/>
        </w:rPr>
        <w:t>representa</w:t>
      </w:r>
      <w:r>
        <w:rPr>
          <w:spacing w:val="-15"/>
          <w:sz w:val="24"/>
        </w:rPr>
        <w:t xml:space="preserve"> </w:t>
      </w:r>
      <w:r>
        <w:rPr>
          <w:sz w:val="24"/>
        </w:rPr>
        <w:t>una</w:t>
      </w:r>
      <w:r>
        <w:rPr>
          <w:spacing w:val="-15"/>
          <w:sz w:val="24"/>
        </w:rPr>
        <w:t xml:space="preserve"> </w:t>
      </w:r>
      <w:r>
        <w:rPr>
          <w:sz w:val="24"/>
        </w:rPr>
        <w:t>alternativa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fácil acceso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jóvenes,</w:t>
      </w:r>
      <w:r>
        <w:rPr>
          <w:spacing w:val="-10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-10"/>
          <w:sz w:val="24"/>
        </w:rPr>
        <w:t xml:space="preserve"> </w:t>
      </w:r>
      <w:r>
        <w:rPr>
          <w:sz w:val="24"/>
        </w:rPr>
        <w:t>considerando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requisitos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suscripción de</w:t>
      </w:r>
      <w:r>
        <w:rPr>
          <w:spacing w:val="-14"/>
          <w:sz w:val="24"/>
        </w:rPr>
        <w:t xml:space="preserve"> </w:t>
      </w:r>
      <w:r>
        <w:rPr>
          <w:sz w:val="24"/>
        </w:rPr>
        <w:t>dichos</w:t>
      </w:r>
      <w:r>
        <w:rPr>
          <w:spacing w:val="-14"/>
          <w:sz w:val="24"/>
        </w:rPr>
        <w:t xml:space="preserve"> </w:t>
      </w:r>
      <w:r>
        <w:rPr>
          <w:sz w:val="24"/>
        </w:rPr>
        <w:t>productos</w:t>
      </w:r>
      <w:r>
        <w:rPr>
          <w:spacing w:val="-14"/>
          <w:sz w:val="24"/>
        </w:rPr>
        <w:t xml:space="preserve"> </w:t>
      </w:r>
      <w:r>
        <w:rPr>
          <w:sz w:val="24"/>
        </w:rPr>
        <w:t>son</w:t>
      </w:r>
      <w:r>
        <w:rPr>
          <w:spacing w:val="-14"/>
          <w:sz w:val="24"/>
        </w:rPr>
        <w:t xml:space="preserve"> </w:t>
      </w:r>
      <w:r>
        <w:rPr>
          <w:sz w:val="24"/>
        </w:rPr>
        <w:t>relativamente</w:t>
      </w:r>
      <w:r>
        <w:rPr>
          <w:spacing w:val="-14"/>
          <w:sz w:val="24"/>
        </w:rPr>
        <w:t xml:space="preserve"> </w:t>
      </w:r>
      <w:r>
        <w:rPr>
          <w:sz w:val="24"/>
        </w:rPr>
        <w:t>bajos.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z w:val="24"/>
        </w:rPr>
        <w:t>efecto,</w:t>
      </w:r>
      <w:r>
        <w:rPr>
          <w:spacing w:val="-14"/>
          <w:sz w:val="24"/>
        </w:rPr>
        <w:t xml:space="preserve"> </w:t>
      </w:r>
      <w:r>
        <w:rPr>
          <w:sz w:val="24"/>
        </w:rPr>
        <w:t>una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las</w:t>
      </w:r>
      <w:r>
        <w:rPr>
          <w:spacing w:val="-14"/>
          <w:sz w:val="24"/>
        </w:rPr>
        <w:t xml:space="preserve"> </w:t>
      </w:r>
      <w:r>
        <w:rPr>
          <w:sz w:val="24"/>
        </w:rPr>
        <w:t>ofertas</w:t>
      </w:r>
      <w:r>
        <w:rPr>
          <w:spacing w:val="-14"/>
          <w:sz w:val="24"/>
        </w:rPr>
        <w:t xml:space="preserve"> </w:t>
      </w:r>
      <w:r>
        <w:rPr>
          <w:sz w:val="24"/>
        </w:rPr>
        <w:t>más</w:t>
      </w:r>
      <w:r>
        <w:rPr>
          <w:spacing w:val="-14"/>
          <w:sz w:val="24"/>
        </w:rPr>
        <w:t xml:space="preserve"> </w:t>
      </w:r>
      <w:r>
        <w:rPr>
          <w:sz w:val="24"/>
        </w:rPr>
        <w:t>habituales realizadas por tiendas de retail al sector de personas universitarias corresponde al otorgamiento de tarjetas sin más exigencias que acreditar la condición de estudiante y que se está en un nivel medio de la carrera cursada, quedando</w:t>
      </w:r>
      <w:r>
        <w:rPr>
          <w:sz w:val="24"/>
        </w:rPr>
        <w:t xml:space="preserve"> en principio habilitados como clientes independientemente de la renta que tenga el futuro deudor.</w:t>
      </w:r>
    </w:p>
    <w:p w:rsidR="00BC1B50" w:rsidRDefault="00BC1B50">
      <w:pPr>
        <w:pStyle w:val="Textoindependiente"/>
        <w:spacing w:before="5"/>
        <w:rPr>
          <w:sz w:val="26"/>
        </w:rPr>
      </w:pPr>
    </w:p>
    <w:p w:rsidR="00BC1B50" w:rsidRDefault="005F0D65">
      <w:pPr>
        <w:pStyle w:val="Prrafodelista"/>
        <w:numPr>
          <w:ilvl w:val="0"/>
          <w:numId w:val="1"/>
        </w:numPr>
        <w:tabs>
          <w:tab w:val="left" w:pos="685"/>
        </w:tabs>
        <w:spacing w:line="264" w:lineRule="auto"/>
        <w:jc w:val="both"/>
        <w:rPr>
          <w:sz w:val="24"/>
        </w:rPr>
      </w:pP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tal</w:t>
      </w:r>
      <w:r>
        <w:rPr>
          <w:spacing w:val="-1"/>
          <w:sz w:val="24"/>
        </w:rPr>
        <w:t xml:space="preserve"> </w:t>
      </w:r>
      <w:r>
        <w:rPr>
          <w:sz w:val="24"/>
        </w:rPr>
        <w:t>contexto,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incentivo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suscribir</w:t>
      </w:r>
      <w:r>
        <w:rPr>
          <w:spacing w:val="-1"/>
          <w:sz w:val="24"/>
        </w:rPr>
        <w:t xml:space="preserve"> </w:t>
      </w:r>
      <w:r>
        <w:rPr>
          <w:sz w:val="24"/>
        </w:rPr>
        <w:t>estos</w:t>
      </w:r>
      <w:r>
        <w:rPr>
          <w:spacing w:val="-1"/>
          <w:sz w:val="24"/>
        </w:rPr>
        <w:t xml:space="preserve"> </w:t>
      </w:r>
      <w:r>
        <w:rPr>
          <w:sz w:val="24"/>
        </w:rPr>
        <w:t>servicios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acrecienta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actividad publicitaria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constantemente</w:t>
      </w:r>
      <w:r>
        <w:rPr>
          <w:spacing w:val="-12"/>
          <w:sz w:val="24"/>
        </w:rPr>
        <w:t xml:space="preserve"> </w:t>
      </w:r>
      <w:r>
        <w:rPr>
          <w:sz w:val="24"/>
        </w:rPr>
        <w:t>están</w:t>
      </w:r>
      <w:r>
        <w:rPr>
          <w:spacing w:val="-12"/>
          <w:sz w:val="24"/>
        </w:rPr>
        <w:t xml:space="preserve"> </w:t>
      </w:r>
      <w:r>
        <w:rPr>
          <w:sz w:val="24"/>
        </w:rPr>
        <w:t>expuestos</w:t>
      </w:r>
      <w:r>
        <w:rPr>
          <w:spacing w:val="-12"/>
          <w:sz w:val="24"/>
        </w:rPr>
        <w:t xml:space="preserve"> </w:t>
      </w:r>
      <w:r>
        <w:rPr>
          <w:sz w:val="24"/>
        </w:rPr>
        <w:t>los</w:t>
      </w:r>
      <w:r>
        <w:rPr>
          <w:spacing w:val="-12"/>
          <w:sz w:val="24"/>
        </w:rPr>
        <w:t xml:space="preserve"> </w:t>
      </w:r>
      <w:r>
        <w:rPr>
          <w:sz w:val="24"/>
        </w:rPr>
        <w:t>jóvenes,</w:t>
      </w:r>
      <w:r>
        <w:rPr>
          <w:spacing w:val="-12"/>
          <w:sz w:val="24"/>
        </w:rPr>
        <w:t xml:space="preserve"> </w:t>
      </w:r>
      <w:r>
        <w:rPr>
          <w:sz w:val="24"/>
        </w:rPr>
        <w:t>principalmente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través de internet y redes sociales, además de las ofertas difundidas en otros lugares comunes a toda la población. Las condiciones, flexibilidad y requisitos con que se promocionan estas alternativas de financiamiento son aspecto</w:t>
      </w:r>
      <w:r>
        <w:rPr>
          <w:sz w:val="24"/>
        </w:rPr>
        <w:t>s que generan propuestas comerciales atractivas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quienes</w:t>
      </w:r>
      <w:r>
        <w:rPr>
          <w:spacing w:val="-15"/>
          <w:sz w:val="24"/>
        </w:rPr>
        <w:t xml:space="preserve"> </w:t>
      </w:r>
      <w:r>
        <w:rPr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z w:val="24"/>
        </w:rPr>
        <w:t>cuentan</w:t>
      </w:r>
      <w:r>
        <w:rPr>
          <w:spacing w:val="-15"/>
          <w:sz w:val="24"/>
        </w:rPr>
        <w:t xml:space="preserve"> </w:t>
      </w:r>
      <w:r>
        <w:rPr>
          <w:sz w:val="24"/>
        </w:rPr>
        <w:t>con</w:t>
      </w:r>
      <w:r>
        <w:rPr>
          <w:spacing w:val="-15"/>
          <w:sz w:val="24"/>
        </w:rPr>
        <w:t xml:space="preserve"> </w:t>
      </w:r>
      <w:r>
        <w:rPr>
          <w:sz w:val="24"/>
        </w:rPr>
        <w:t>poder</w:t>
      </w:r>
      <w:r>
        <w:rPr>
          <w:spacing w:val="-15"/>
          <w:sz w:val="24"/>
        </w:rPr>
        <w:t xml:space="preserve"> </w:t>
      </w:r>
      <w:r>
        <w:rPr>
          <w:sz w:val="24"/>
        </w:rPr>
        <w:t>adquisitivo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optan</w:t>
      </w:r>
      <w:r>
        <w:rPr>
          <w:spacing w:val="-15"/>
          <w:sz w:val="24"/>
        </w:rPr>
        <w:t xml:space="preserve"> </w:t>
      </w:r>
      <w:r>
        <w:rPr>
          <w:sz w:val="24"/>
        </w:rPr>
        <w:t>por</w:t>
      </w:r>
      <w:r>
        <w:rPr>
          <w:spacing w:val="-15"/>
          <w:sz w:val="24"/>
        </w:rPr>
        <w:t xml:space="preserve"> </w:t>
      </w:r>
      <w:r>
        <w:rPr>
          <w:sz w:val="24"/>
        </w:rPr>
        <w:t>este</w:t>
      </w:r>
      <w:r>
        <w:rPr>
          <w:spacing w:val="-15"/>
          <w:sz w:val="24"/>
        </w:rPr>
        <w:t xml:space="preserve"> </w:t>
      </w:r>
      <w:r>
        <w:rPr>
          <w:sz w:val="24"/>
        </w:rPr>
        <w:t>medio</w:t>
      </w:r>
      <w:r>
        <w:rPr>
          <w:spacing w:val="-15"/>
          <w:sz w:val="24"/>
        </w:rPr>
        <w:t xml:space="preserve"> </w:t>
      </w:r>
      <w:r>
        <w:rPr>
          <w:sz w:val="24"/>
        </w:rPr>
        <w:t>sin</w:t>
      </w:r>
      <w:r>
        <w:rPr>
          <w:spacing w:val="-15"/>
          <w:sz w:val="24"/>
        </w:rPr>
        <w:t xml:space="preserve"> </w:t>
      </w:r>
      <w:r>
        <w:rPr>
          <w:sz w:val="24"/>
        </w:rPr>
        <w:t>hacer un análisis más profundo respecto de las consecuencias de un eventual incumplimiento en relación con el pago de intereses.</w:t>
      </w:r>
    </w:p>
    <w:p w:rsidR="00BC1B50" w:rsidRDefault="00BC1B50">
      <w:pPr>
        <w:pStyle w:val="Textoindependiente"/>
        <w:spacing w:before="4"/>
        <w:rPr>
          <w:sz w:val="26"/>
        </w:rPr>
      </w:pPr>
    </w:p>
    <w:p w:rsidR="00BC1B50" w:rsidRDefault="005F0D65">
      <w:pPr>
        <w:pStyle w:val="Prrafodelista"/>
        <w:numPr>
          <w:ilvl w:val="0"/>
          <w:numId w:val="1"/>
        </w:numPr>
        <w:tabs>
          <w:tab w:val="left" w:pos="685"/>
        </w:tabs>
        <w:spacing w:line="264" w:lineRule="auto"/>
        <w:jc w:val="both"/>
        <w:rPr>
          <w:sz w:val="24"/>
        </w:rPr>
      </w:pPr>
      <w:r>
        <w:rPr>
          <w:sz w:val="24"/>
        </w:rPr>
        <w:t xml:space="preserve">Esta </w:t>
      </w:r>
      <w:r>
        <w:rPr>
          <w:sz w:val="24"/>
        </w:rPr>
        <w:t>práctica también deja de manifiesto la poca responsabilidad de los proveedores al captar como clientes a personas que carecen de solvencia económica, particularmente jóvenes que se encuentran cursando carreras universitarias sin un contrato de trabajo, pue</w:t>
      </w:r>
      <w:r>
        <w:rPr>
          <w:sz w:val="24"/>
        </w:rPr>
        <w:t xml:space="preserve">s, en dichas circunstancias, la probabilidad de que cumplan con obligaciones económicas es muy baja, por lo que finalmente terminan traspasando las deudas a sus </w:t>
      </w:r>
      <w:r>
        <w:rPr>
          <w:spacing w:val="-2"/>
          <w:sz w:val="24"/>
        </w:rPr>
        <w:t>familias.</w:t>
      </w:r>
    </w:p>
    <w:p w:rsidR="00BC1B50" w:rsidRDefault="00BC1B50">
      <w:pPr>
        <w:pStyle w:val="Textoindependiente"/>
        <w:spacing w:before="6"/>
        <w:rPr>
          <w:sz w:val="26"/>
        </w:rPr>
      </w:pPr>
    </w:p>
    <w:p w:rsidR="00BC1B50" w:rsidRDefault="005F0D65">
      <w:pPr>
        <w:pStyle w:val="Prrafodelista"/>
        <w:numPr>
          <w:ilvl w:val="0"/>
          <w:numId w:val="1"/>
        </w:numPr>
        <w:tabs>
          <w:tab w:val="left" w:pos="685"/>
        </w:tabs>
        <w:spacing w:line="264" w:lineRule="auto"/>
        <w:jc w:val="both"/>
        <w:rPr>
          <w:sz w:val="24"/>
        </w:rPr>
      </w:pPr>
      <w:r>
        <w:rPr>
          <w:sz w:val="24"/>
        </w:rPr>
        <w:t xml:space="preserve">Según un estudio reciente de la agencia Equifax, 1.172 jóvenes de 18 años registran </w:t>
      </w:r>
      <w:r>
        <w:rPr>
          <w:sz w:val="24"/>
        </w:rPr>
        <w:t>morosidad</w:t>
      </w:r>
      <w:r>
        <w:rPr>
          <w:spacing w:val="40"/>
          <w:sz w:val="24"/>
        </w:rPr>
        <w:t xml:space="preserve"> </w:t>
      </w:r>
      <w:r>
        <w:rPr>
          <w:sz w:val="24"/>
        </w:rPr>
        <w:t>en</w:t>
      </w:r>
      <w:r>
        <w:rPr>
          <w:spacing w:val="40"/>
          <w:sz w:val="24"/>
        </w:rPr>
        <w:t xml:space="preserve"> </w:t>
      </w:r>
      <w:r>
        <w:rPr>
          <w:sz w:val="24"/>
        </w:rPr>
        <w:t>el</w:t>
      </w:r>
      <w:r>
        <w:rPr>
          <w:spacing w:val="40"/>
          <w:sz w:val="24"/>
        </w:rPr>
        <w:t xml:space="preserve"> </w:t>
      </w:r>
      <w:r>
        <w:rPr>
          <w:sz w:val="24"/>
        </w:rPr>
        <w:t>sistema</w:t>
      </w:r>
      <w:r>
        <w:rPr>
          <w:spacing w:val="40"/>
          <w:sz w:val="24"/>
        </w:rPr>
        <w:t xml:space="preserve"> </w:t>
      </w:r>
      <w:r>
        <w:rPr>
          <w:sz w:val="24"/>
        </w:rPr>
        <w:t>financiero,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los</w:t>
      </w:r>
      <w:r>
        <w:rPr>
          <w:spacing w:val="40"/>
          <w:sz w:val="24"/>
        </w:rPr>
        <w:t xml:space="preserve"> </w:t>
      </w:r>
      <w:r>
        <w:rPr>
          <w:sz w:val="24"/>
        </w:rPr>
        <w:t>cuales</w:t>
      </w:r>
      <w:r>
        <w:rPr>
          <w:spacing w:val="40"/>
          <w:sz w:val="24"/>
        </w:rPr>
        <w:t xml:space="preserve"> </w:t>
      </w:r>
      <w:r>
        <w:rPr>
          <w:sz w:val="24"/>
        </w:rPr>
        <w:t>tres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cada</w:t>
      </w:r>
      <w:r>
        <w:rPr>
          <w:spacing w:val="40"/>
          <w:sz w:val="24"/>
        </w:rPr>
        <w:t xml:space="preserve"> </w:t>
      </w:r>
      <w:r>
        <w:rPr>
          <w:sz w:val="24"/>
        </w:rPr>
        <w:t>cuatro</w:t>
      </w:r>
      <w:r>
        <w:rPr>
          <w:spacing w:val="40"/>
          <w:sz w:val="24"/>
        </w:rPr>
        <w:t xml:space="preserve"> </w:t>
      </w:r>
      <w:r>
        <w:rPr>
          <w:sz w:val="24"/>
        </w:rPr>
        <w:t>son</w:t>
      </w:r>
      <w:r>
        <w:rPr>
          <w:spacing w:val="40"/>
          <w:sz w:val="24"/>
        </w:rPr>
        <w:t xml:space="preserve"> </w:t>
      </w:r>
      <w:r>
        <w:rPr>
          <w:sz w:val="24"/>
        </w:rPr>
        <w:t>mujeres</w:t>
      </w:r>
    </w:p>
    <w:p w:rsidR="00BC1B50" w:rsidRDefault="00BC1B50">
      <w:pPr>
        <w:spacing w:line="264" w:lineRule="auto"/>
        <w:jc w:val="both"/>
        <w:rPr>
          <w:sz w:val="24"/>
        </w:rPr>
        <w:sectPr w:rsidR="00BC1B50">
          <w:type w:val="continuous"/>
          <w:pgSz w:w="12240" w:h="15840"/>
          <w:pgMar w:top="1060" w:right="1600" w:bottom="280" w:left="1440" w:header="720" w:footer="720" w:gutter="0"/>
          <w:cols w:space="720"/>
        </w:sectPr>
      </w:pPr>
    </w:p>
    <w:p w:rsidR="00BC1B50" w:rsidRDefault="005F0D65">
      <w:pPr>
        <w:pStyle w:val="Textoindependiente"/>
        <w:spacing w:before="77" w:line="264" w:lineRule="auto"/>
        <w:ind w:left="685" w:right="100"/>
        <w:jc w:val="both"/>
      </w:pPr>
      <w:r>
        <w:lastRenderedPageBreak/>
        <w:t>(76,11%)</w:t>
      </w:r>
      <w:r>
        <w:rPr>
          <w:spacing w:val="40"/>
        </w:rPr>
        <w:t xml:space="preserve"> </w:t>
      </w:r>
      <w:r>
        <w:t>y, en su mayoría, pertenecen a sectores de menores ingresos</w:t>
      </w:r>
      <w:r>
        <w:rPr>
          <w:vertAlign w:val="superscript"/>
        </w:rPr>
        <w:t>1</w:t>
      </w:r>
      <w:r>
        <w:t>. En la misma línea, la última Encuesta Nacional de Juventudes 2022 arrojó que un 43,9% de lo</w:t>
      </w:r>
      <w:r>
        <w:t>s consultados tiene alguna deuda a su nombre y que se siente endeudado, alcanzado un porcentaje similar al del segmento de los adultos (43,2%)</w:t>
      </w:r>
      <w:r>
        <w:rPr>
          <w:vertAlign w:val="superscript"/>
        </w:rPr>
        <w:t>2</w:t>
      </w:r>
      <w:r>
        <w:t>. Este panorama es preocupante y requiere ser abordado con urgencia en favor de quienes recién están iniciando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etapa</w:t>
      </w:r>
      <w:r>
        <w:rPr>
          <w:spacing w:val="-15"/>
        </w:rPr>
        <w:t xml:space="preserve"> </w:t>
      </w:r>
      <w:r>
        <w:t>adulta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aún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tienen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recursos</w:t>
      </w:r>
      <w:r>
        <w:rPr>
          <w:spacing w:val="-15"/>
        </w:rPr>
        <w:t xml:space="preserve"> </w:t>
      </w:r>
      <w:r>
        <w:t>suficientes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enfrentar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manera adecuada obligaciones económicas, considerando, además, que la prioridad en este rango etario debe estar en superar con éxito el proceso de formación académica que incidirá dir</w:t>
      </w:r>
      <w:r>
        <w:t>ectamente en su desempeño laboral y futuras oportunidades de trabajo.</w:t>
      </w:r>
    </w:p>
    <w:p w:rsidR="00BC1B50" w:rsidRDefault="00BC1B50">
      <w:pPr>
        <w:pStyle w:val="Textoindependiente"/>
        <w:spacing w:before="7"/>
        <w:rPr>
          <w:sz w:val="26"/>
        </w:rPr>
      </w:pPr>
    </w:p>
    <w:p w:rsidR="00BC1B50" w:rsidRDefault="005F0D65">
      <w:pPr>
        <w:pStyle w:val="Prrafodelista"/>
        <w:numPr>
          <w:ilvl w:val="0"/>
          <w:numId w:val="1"/>
        </w:numPr>
        <w:tabs>
          <w:tab w:val="left" w:pos="685"/>
        </w:tabs>
        <w:spacing w:line="264" w:lineRule="auto"/>
        <w:jc w:val="both"/>
        <w:rPr>
          <w:sz w:val="24"/>
        </w:rPr>
      </w:pPr>
      <w:r>
        <w:rPr>
          <w:sz w:val="24"/>
        </w:rPr>
        <w:t>Por ello, se detecta la necesidad de evitar consecuencias más graves en la situación económica de estudiantes universitarios y sus familias, sobre todo ante factores que actualmente ace</w:t>
      </w:r>
      <w:r>
        <w:rPr>
          <w:sz w:val="24"/>
        </w:rPr>
        <w:t>ntúan la gravedad del endeudamiento, tales como la informalidad y el desempleo</w:t>
      </w:r>
      <w:r>
        <w:rPr>
          <w:spacing w:val="-3"/>
          <w:sz w:val="24"/>
        </w:rPr>
        <w:t xml:space="preserve"> </w:t>
      </w:r>
      <w:r>
        <w:rPr>
          <w:sz w:val="24"/>
        </w:rPr>
        <w:t>juvenil.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respecto,</w:t>
      </w:r>
      <w:r>
        <w:rPr>
          <w:spacing w:val="-3"/>
          <w:sz w:val="24"/>
        </w:rPr>
        <w:t xml:space="preserve"> </w:t>
      </w:r>
      <w:r>
        <w:rPr>
          <w:sz w:val="24"/>
        </w:rPr>
        <w:t>conviene</w:t>
      </w:r>
      <w:r>
        <w:rPr>
          <w:spacing w:val="-3"/>
          <w:sz w:val="24"/>
        </w:rPr>
        <w:t xml:space="preserve"> </w:t>
      </w:r>
      <w:r>
        <w:rPr>
          <w:sz w:val="24"/>
        </w:rPr>
        <w:t>tener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vista</w:t>
      </w:r>
      <w:r>
        <w:rPr>
          <w:spacing w:val="-4"/>
          <w:sz w:val="24"/>
        </w:rPr>
        <w:t xml:space="preserve"> </w:t>
      </w:r>
      <w:r>
        <w:rPr>
          <w:sz w:val="24"/>
        </w:rPr>
        <w:t>que,</w:t>
      </w:r>
      <w:r>
        <w:rPr>
          <w:spacing w:val="-3"/>
          <w:sz w:val="24"/>
        </w:rPr>
        <w:t xml:space="preserve"> </w:t>
      </w:r>
      <w:r>
        <w:rPr>
          <w:sz w:val="24"/>
        </w:rPr>
        <w:t>según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índice</w:t>
      </w:r>
      <w:r>
        <w:rPr>
          <w:spacing w:val="-3"/>
          <w:sz w:val="24"/>
        </w:rPr>
        <w:t xml:space="preserve"> </w:t>
      </w:r>
      <w:r>
        <w:rPr>
          <w:sz w:val="24"/>
        </w:rPr>
        <w:t>Education at a Glance 2022 de la Organización para la Cooperación y el Desarrollo Económico (OCDE), un 23,4%</w:t>
      </w:r>
      <w:r>
        <w:rPr>
          <w:sz w:val="24"/>
        </w:rPr>
        <w:t xml:space="preserve"> de los jóvenes chilenos entre 18 y 24 años no estudia ni trabaja, ocupando el quinto puesto dentro de un listado de países liderado por Turquía (28,7%), Colombia (27,1%), Italia (26%) y Costa Rica (25,9%)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</w:p>
    <w:p w:rsidR="00BC1B50" w:rsidRDefault="00BC1B50">
      <w:pPr>
        <w:pStyle w:val="Textoindependiente"/>
        <w:spacing w:before="4"/>
        <w:rPr>
          <w:sz w:val="26"/>
        </w:rPr>
      </w:pPr>
    </w:p>
    <w:p w:rsidR="00BC1B50" w:rsidRDefault="005F0D65">
      <w:pPr>
        <w:pStyle w:val="Prrafodelista"/>
        <w:numPr>
          <w:ilvl w:val="0"/>
          <w:numId w:val="1"/>
        </w:numPr>
        <w:tabs>
          <w:tab w:val="left" w:pos="685"/>
        </w:tabs>
        <w:spacing w:line="264" w:lineRule="auto"/>
        <w:jc w:val="both"/>
        <w:rPr>
          <w:sz w:val="24"/>
        </w:rPr>
      </w:pPr>
      <w:r>
        <w:rPr>
          <w:sz w:val="24"/>
        </w:rPr>
        <w:t>En este orden de ideas, el presente proyecto establece que los bancos, instituciones financieras y casas comerciales, para los efectos de otorgar créditos y tarjetas a estudiantes de educación superior, deberán solicitar antecedentes para acreditar la solv</w:t>
      </w:r>
      <w:r>
        <w:rPr>
          <w:sz w:val="24"/>
        </w:rPr>
        <w:t>encia económica del interesado o, en su defecto, exigir una autorización notarial simple del sostenedor de sus estudios. El contrato que no contenga alguno de los dos requisitos</w:t>
      </w:r>
      <w:r>
        <w:rPr>
          <w:spacing w:val="-3"/>
          <w:sz w:val="24"/>
        </w:rPr>
        <w:t xml:space="preserve"> </w:t>
      </w:r>
      <w:r>
        <w:rPr>
          <w:sz w:val="24"/>
        </w:rPr>
        <w:t>antes</w:t>
      </w:r>
      <w:r>
        <w:rPr>
          <w:spacing w:val="-3"/>
          <w:sz w:val="24"/>
        </w:rPr>
        <w:t xml:space="preserve"> </w:t>
      </w:r>
      <w:r>
        <w:rPr>
          <w:sz w:val="24"/>
        </w:rPr>
        <w:t>enunciados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nulo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producirá</w:t>
      </w:r>
      <w:r>
        <w:rPr>
          <w:spacing w:val="-3"/>
          <w:sz w:val="24"/>
        </w:rPr>
        <w:t xml:space="preserve"> </w:t>
      </w:r>
      <w:r>
        <w:rPr>
          <w:sz w:val="24"/>
        </w:rPr>
        <w:t>efectos</w:t>
      </w:r>
      <w:r>
        <w:rPr>
          <w:spacing w:val="-3"/>
          <w:sz w:val="24"/>
        </w:rPr>
        <w:t xml:space="preserve"> </w:t>
      </w:r>
      <w:r>
        <w:rPr>
          <w:sz w:val="24"/>
        </w:rPr>
        <w:t>jurídicos</w:t>
      </w:r>
      <w:r>
        <w:rPr>
          <w:spacing w:val="-3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partes</w:t>
      </w:r>
      <w:r>
        <w:rPr>
          <w:spacing w:val="-3"/>
          <w:sz w:val="24"/>
        </w:rPr>
        <w:t xml:space="preserve"> </w:t>
      </w:r>
      <w:r>
        <w:rPr>
          <w:sz w:val="24"/>
        </w:rPr>
        <w:t>ni respecto de terceros.</w:t>
      </w:r>
    </w:p>
    <w:p w:rsidR="00BC1B50" w:rsidRDefault="00BC1B50">
      <w:pPr>
        <w:pStyle w:val="Textoindependiente"/>
        <w:spacing w:before="5"/>
        <w:rPr>
          <w:sz w:val="26"/>
        </w:rPr>
      </w:pPr>
    </w:p>
    <w:p w:rsidR="00BC1B50" w:rsidRDefault="005F0D65">
      <w:pPr>
        <w:pStyle w:val="Ttulo1"/>
        <w:spacing w:before="0"/>
        <w:ind w:left="3841" w:right="3685"/>
        <w:jc w:val="center"/>
      </w:pPr>
      <w:r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5"/>
        </w:rPr>
        <w:t>Ley</w:t>
      </w:r>
    </w:p>
    <w:p w:rsidR="00BC1B50" w:rsidRDefault="00BC1B50">
      <w:pPr>
        <w:pStyle w:val="Textoindependiente"/>
        <w:spacing w:before="7"/>
        <w:rPr>
          <w:b/>
          <w:sz w:val="28"/>
        </w:rPr>
      </w:pPr>
    </w:p>
    <w:p w:rsidR="00BC1B50" w:rsidRDefault="005F0D65">
      <w:pPr>
        <w:pStyle w:val="Textoindependiente"/>
        <w:spacing w:line="266" w:lineRule="auto"/>
        <w:ind w:left="259" w:right="100"/>
        <w:jc w:val="both"/>
      </w:pPr>
      <w:r>
        <w:rPr>
          <w:b/>
        </w:rPr>
        <w:t xml:space="preserve">Artículo único: </w:t>
      </w:r>
      <w:r>
        <w:t>Incorpórase en la ley Nº19.496, que establece normas sobre protección de los derechos de los consumidores, un artículo 39 D, nuevo, del siguiente tenor:</w:t>
      </w:r>
    </w:p>
    <w:p w:rsidR="00BC1B50" w:rsidRDefault="00BC1B50">
      <w:pPr>
        <w:pStyle w:val="Textoindependiente"/>
        <w:rPr>
          <w:sz w:val="26"/>
        </w:rPr>
      </w:pPr>
    </w:p>
    <w:p w:rsidR="00BC1B50" w:rsidRDefault="005F0D65">
      <w:pPr>
        <w:pStyle w:val="Textoindependiente"/>
        <w:spacing w:line="264" w:lineRule="auto"/>
        <w:ind w:left="259" w:right="100"/>
        <w:jc w:val="both"/>
      </w:pPr>
      <w:r>
        <w:t>“Los bancos, instituciones financieras y ca</w:t>
      </w:r>
      <w:r>
        <w:t>sas comerciales, para los efectos de otorgar créditos y tarjetas a estudiantes de educación superior, deberán exigir la acreditación de ingresos económicos suficientes o, en su defecto, solicitar una autorización notarial simple del</w:t>
      </w:r>
      <w:r>
        <w:rPr>
          <w:spacing w:val="-6"/>
        </w:rPr>
        <w:t xml:space="preserve"> </w:t>
      </w:r>
      <w:r>
        <w:t>sostenedor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estud</w:t>
      </w:r>
      <w:r>
        <w:t>ios.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constate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alguno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5"/>
        </w:rPr>
        <w:t>los</w:t>
      </w:r>
    </w:p>
    <w:p w:rsidR="00BC1B50" w:rsidRDefault="005F0D65">
      <w:pPr>
        <w:pStyle w:val="Textoindependiente"/>
        <w:spacing w:before="1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218824</wp:posOffset>
                </wp:positionV>
                <wp:extent cx="182880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50FC8" id="Graphic 3" o:spid="_x0000_s1026" style="position:absolute;margin-left:84.95pt;margin-top:17.25pt;width:2in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C1B50" w:rsidRDefault="005F0D65">
      <w:pPr>
        <w:spacing w:before="110" w:line="237" w:lineRule="auto"/>
        <w:ind w:left="259" w:right="98"/>
        <w:jc w:val="both"/>
        <w:rPr>
          <w:sz w:val="19"/>
        </w:rPr>
      </w:pPr>
      <w:r>
        <w:rPr>
          <w:rFonts w:ascii="Calibri" w:hAnsi="Calibri"/>
          <w:position w:val="7"/>
          <w:sz w:val="13"/>
        </w:rPr>
        <w:t>1</w:t>
      </w:r>
      <w:r>
        <w:rPr>
          <w:rFonts w:ascii="Calibri" w:hAnsi="Calibri"/>
          <w:spacing w:val="30"/>
          <w:position w:val="7"/>
          <w:sz w:val="13"/>
        </w:rPr>
        <w:t xml:space="preserve"> </w:t>
      </w:r>
      <w:r>
        <w:rPr>
          <w:rFonts w:ascii="Calibri" w:hAnsi="Calibri"/>
          <w:sz w:val="20"/>
        </w:rPr>
        <w:t>“</w:t>
      </w:r>
      <w:r>
        <w:rPr>
          <w:sz w:val="19"/>
        </w:rPr>
        <w:t>Casi 1.200 jóvenes de 18 años en Dicom: Expertos analizan razones detrás de alto endeudamiento y apuntan a prestamistas”. Emol. Disponible en: https://</w:t>
      </w:r>
      <w:hyperlink r:id="rId6">
        <w:r>
          <w:rPr>
            <w:sz w:val="19"/>
          </w:rPr>
          <w:t>www.emol.com/noticias/Economia/2023/01/30/1085165/jovenes-</w:t>
        </w:r>
      </w:hyperlink>
      <w:r>
        <w:rPr>
          <w:sz w:val="19"/>
        </w:rPr>
        <w:t xml:space="preserve"> </w:t>
      </w:r>
      <w:r>
        <w:rPr>
          <w:spacing w:val="-2"/>
          <w:sz w:val="19"/>
        </w:rPr>
        <w:t>morosos-dicom-deudas.html</w:t>
      </w:r>
    </w:p>
    <w:p w:rsidR="00BC1B50" w:rsidRDefault="005F0D65">
      <w:pPr>
        <w:spacing w:before="15"/>
        <w:ind w:left="259"/>
        <w:jc w:val="both"/>
        <w:rPr>
          <w:sz w:val="19"/>
        </w:rPr>
      </w:pPr>
      <w:r>
        <w:rPr>
          <w:rFonts w:ascii="Calibri" w:hAnsi="Calibri"/>
          <w:sz w:val="19"/>
          <w:vertAlign w:val="superscript"/>
        </w:rPr>
        <w:t>2</w:t>
      </w:r>
      <w:r>
        <w:rPr>
          <w:rFonts w:ascii="Calibri" w:hAnsi="Calibri"/>
          <w:spacing w:val="45"/>
          <w:sz w:val="19"/>
        </w:rPr>
        <w:t xml:space="preserve"> </w:t>
      </w:r>
      <w:r>
        <w:rPr>
          <w:sz w:val="19"/>
        </w:rPr>
        <w:t>Encuesta</w:t>
      </w:r>
      <w:r>
        <w:rPr>
          <w:spacing w:val="-2"/>
          <w:sz w:val="19"/>
        </w:rPr>
        <w:t xml:space="preserve"> </w:t>
      </w:r>
      <w:r>
        <w:rPr>
          <w:sz w:val="19"/>
        </w:rPr>
        <w:t>Nacional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2"/>
          <w:sz w:val="19"/>
        </w:rPr>
        <w:t xml:space="preserve"> </w:t>
      </w:r>
      <w:r>
        <w:rPr>
          <w:sz w:val="19"/>
        </w:rPr>
        <w:t>Juventudes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2"/>
          <w:sz w:val="19"/>
        </w:rPr>
        <w:t xml:space="preserve"> </w:t>
      </w:r>
      <w:r>
        <w:rPr>
          <w:sz w:val="19"/>
        </w:rPr>
        <w:t>2022.</w:t>
      </w:r>
      <w:r>
        <w:rPr>
          <w:spacing w:val="-2"/>
          <w:sz w:val="19"/>
        </w:rPr>
        <w:t xml:space="preserve"> </w:t>
      </w:r>
      <w:r>
        <w:rPr>
          <w:sz w:val="19"/>
        </w:rPr>
        <w:t>Instituto</w:t>
      </w:r>
      <w:r>
        <w:rPr>
          <w:spacing w:val="-3"/>
          <w:sz w:val="19"/>
        </w:rPr>
        <w:t xml:space="preserve"> </w:t>
      </w:r>
      <w:r>
        <w:rPr>
          <w:sz w:val="19"/>
        </w:rPr>
        <w:t>Nacional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2"/>
          <w:sz w:val="19"/>
        </w:rPr>
        <w:t xml:space="preserve"> </w:t>
      </w:r>
      <w:r>
        <w:rPr>
          <w:sz w:val="19"/>
        </w:rPr>
        <w:t>la</w:t>
      </w:r>
      <w:r>
        <w:rPr>
          <w:spacing w:val="-2"/>
          <w:sz w:val="19"/>
        </w:rPr>
        <w:t xml:space="preserve"> </w:t>
      </w:r>
      <w:r>
        <w:rPr>
          <w:sz w:val="19"/>
        </w:rPr>
        <w:t>juventud,</w:t>
      </w:r>
      <w:r>
        <w:rPr>
          <w:spacing w:val="-2"/>
          <w:sz w:val="19"/>
        </w:rPr>
        <w:t xml:space="preserve"> </w:t>
      </w:r>
      <w:r>
        <w:rPr>
          <w:sz w:val="19"/>
        </w:rPr>
        <w:t>pág.</w:t>
      </w:r>
      <w:r>
        <w:rPr>
          <w:spacing w:val="-3"/>
          <w:sz w:val="19"/>
        </w:rPr>
        <w:t xml:space="preserve"> </w:t>
      </w:r>
      <w:r>
        <w:rPr>
          <w:spacing w:val="-5"/>
          <w:sz w:val="19"/>
        </w:rPr>
        <w:t>59.</w:t>
      </w:r>
    </w:p>
    <w:p w:rsidR="00BC1B50" w:rsidRDefault="005F0D65">
      <w:pPr>
        <w:spacing w:before="2" w:line="237" w:lineRule="auto"/>
        <w:ind w:left="259" w:right="98"/>
        <w:jc w:val="both"/>
        <w:rPr>
          <w:sz w:val="19"/>
        </w:rPr>
      </w:pPr>
      <w:r>
        <w:rPr>
          <w:rFonts w:ascii="Calibri" w:hAnsi="Calibri"/>
          <w:position w:val="7"/>
          <w:sz w:val="13"/>
        </w:rPr>
        <w:t>3</w:t>
      </w:r>
      <w:r>
        <w:rPr>
          <w:rFonts w:ascii="Calibri" w:hAnsi="Calibri"/>
          <w:spacing w:val="30"/>
          <w:position w:val="7"/>
          <w:sz w:val="13"/>
        </w:rPr>
        <w:t xml:space="preserve"> </w:t>
      </w:r>
      <w:r>
        <w:rPr>
          <w:rFonts w:ascii="Calibri" w:hAnsi="Calibri"/>
          <w:sz w:val="20"/>
        </w:rPr>
        <w:t>“</w:t>
      </w:r>
      <w:r>
        <w:rPr>
          <w:sz w:val="19"/>
        </w:rPr>
        <w:t>Casi 1.200 jóvenes de 18 años en Dicom: Expertos analizan razones detrás de alto endeudamiento y apuntan a prestamistas”. Emol. Disponible en: https://</w:t>
      </w:r>
      <w:hyperlink r:id="rId7">
        <w:r>
          <w:rPr>
            <w:sz w:val="19"/>
          </w:rPr>
          <w:t>www.emol.com/noticia</w:t>
        </w:r>
        <w:r>
          <w:rPr>
            <w:sz w:val="19"/>
          </w:rPr>
          <w:t>s/Economia/2023/01/30/1085165/jovenes-</w:t>
        </w:r>
      </w:hyperlink>
      <w:r>
        <w:rPr>
          <w:sz w:val="19"/>
        </w:rPr>
        <w:t xml:space="preserve"> </w:t>
      </w:r>
      <w:r>
        <w:rPr>
          <w:spacing w:val="-2"/>
          <w:sz w:val="19"/>
        </w:rPr>
        <w:t>morosos-dicom-deudas.html</w:t>
      </w:r>
    </w:p>
    <w:p w:rsidR="00BC1B50" w:rsidRDefault="00BC1B50">
      <w:pPr>
        <w:spacing w:line="237" w:lineRule="auto"/>
        <w:jc w:val="both"/>
        <w:rPr>
          <w:sz w:val="19"/>
        </w:rPr>
        <w:sectPr w:rsidR="00BC1B50">
          <w:pgSz w:w="12240" w:h="15840"/>
          <w:pgMar w:top="1340" w:right="1600" w:bottom="280" w:left="1440" w:header="720" w:footer="720" w:gutter="0"/>
          <w:cols w:space="720"/>
        </w:sectPr>
      </w:pPr>
    </w:p>
    <w:p w:rsidR="00BC1B50" w:rsidRDefault="005F0D65">
      <w:pPr>
        <w:pStyle w:val="Textoindependiente"/>
        <w:spacing w:before="77" w:line="264" w:lineRule="auto"/>
        <w:ind w:left="259" w:right="100"/>
        <w:jc w:val="both"/>
      </w:pPr>
      <w:r>
        <w:lastRenderedPageBreak/>
        <w:t>dos requisitos antes enunciados será nulo y no producirá efectos jurídicos entre las partes ni respecto de terceros.</w:t>
      </w:r>
    </w:p>
    <w:p w:rsidR="00BC1B50" w:rsidRDefault="00BC1B50">
      <w:pPr>
        <w:pStyle w:val="Textoindependiente"/>
        <w:spacing w:before="6"/>
        <w:rPr>
          <w:sz w:val="26"/>
        </w:rPr>
      </w:pPr>
    </w:p>
    <w:p w:rsidR="00BC1B50" w:rsidRDefault="005F0D65">
      <w:pPr>
        <w:pStyle w:val="Textoindependiente"/>
        <w:spacing w:line="264" w:lineRule="auto"/>
        <w:ind w:left="259" w:right="100"/>
        <w:jc w:val="both"/>
      </w:pPr>
      <w:r>
        <w:t xml:space="preserve">Del mismo modo, las entidades señaladas en el inciso precedente tendrán la obligación de informar al eventual cliente sobre la aplicación </w:t>
      </w:r>
      <w:r>
        <w:t>de intereses, comisiones y costos asociados al producto de se trate.”.</w:t>
      </w:r>
    </w:p>
    <w:sectPr w:rsidR="00BC1B50">
      <w:pgSz w:w="12240" w:h="15840"/>
      <w:pgMar w:top="1340" w:right="16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31749"/>
    <w:multiLevelType w:val="hybridMultilevel"/>
    <w:tmpl w:val="1FCC2918"/>
    <w:lvl w:ilvl="0" w:tplc="F9A27712">
      <w:start w:val="1"/>
      <w:numFmt w:val="decimal"/>
      <w:lvlText w:val="%1."/>
      <w:lvlJc w:val="left"/>
      <w:pPr>
        <w:ind w:left="685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66B2504A">
      <w:numFmt w:val="bullet"/>
      <w:lvlText w:val="•"/>
      <w:lvlJc w:val="left"/>
      <w:pPr>
        <w:ind w:left="1532" w:hanging="426"/>
      </w:pPr>
      <w:rPr>
        <w:rFonts w:hint="default"/>
        <w:lang w:val="es-ES" w:eastAsia="en-US" w:bidi="ar-SA"/>
      </w:rPr>
    </w:lvl>
    <w:lvl w:ilvl="2" w:tplc="963A9B48">
      <w:numFmt w:val="bullet"/>
      <w:lvlText w:val="•"/>
      <w:lvlJc w:val="left"/>
      <w:pPr>
        <w:ind w:left="2384" w:hanging="426"/>
      </w:pPr>
      <w:rPr>
        <w:rFonts w:hint="default"/>
        <w:lang w:val="es-ES" w:eastAsia="en-US" w:bidi="ar-SA"/>
      </w:rPr>
    </w:lvl>
    <w:lvl w:ilvl="3" w:tplc="B14AE9B0">
      <w:numFmt w:val="bullet"/>
      <w:lvlText w:val="•"/>
      <w:lvlJc w:val="left"/>
      <w:pPr>
        <w:ind w:left="3236" w:hanging="426"/>
      </w:pPr>
      <w:rPr>
        <w:rFonts w:hint="default"/>
        <w:lang w:val="es-ES" w:eastAsia="en-US" w:bidi="ar-SA"/>
      </w:rPr>
    </w:lvl>
    <w:lvl w:ilvl="4" w:tplc="8A1A7F24">
      <w:numFmt w:val="bullet"/>
      <w:lvlText w:val="•"/>
      <w:lvlJc w:val="left"/>
      <w:pPr>
        <w:ind w:left="4088" w:hanging="426"/>
      </w:pPr>
      <w:rPr>
        <w:rFonts w:hint="default"/>
        <w:lang w:val="es-ES" w:eastAsia="en-US" w:bidi="ar-SA"/>
      </w:rPr>
    </w:lvl>
    <w:lvl w:ilvl="5" w:tplc="FCB2BB76">
      <w:numFmt w:val="bullet"/>
      <w:lvlText w:val="•"/>
      <w:lvlJc w:val="left"/>
      <w:pPr>
        <w:ind w:left="4940" w:hanging="426"/>
      </w:pPr>
      <w:rPr>
        <w:rFonts w:hint="default"/>
        <w:lang w:val="es-ES" w:eastAsia="en-US" w:bidi="ar-SA"/>
      </w:rPr>
    </w:lvl>
    <w:lvl w:ilvl="6" w:tplc="3B606356">
      <w:numFmt w:val="bullet"/>
      <w:lvlText w:val="•"/>
      <w:lvlJc w:val="left"/>
      <w:pPr>
        <w:ind w:left="5792" w:hanging="426"/>
      </w:pPr>
      <w:rPr>
        <w:rFonts w:hint="default"/>
        <w:lang w:val="es-ES" w:eastAsia="en-US" w:bidi="ar-SA"/>
      </w:rPr>
    </w:lvl>
    <w:lvl w:ilvl="7" w:tplc="4C76AEB4">
      <w:numFmt w:val="bullet"/>
      <w:lvlText w:val="•"/>
      <w:lvlJc w:val="left"/>
      <w:pPr>
        <w:ind w:left="6644" w:hanging="426"/>
      </w:pPr>
      <w:rPr>
        <w:rFonts w:hint="default"/>
        <w:lang w:val="es-ES" w:eastAsia="en-US" w:bidi="ar-SA"/>
      </w:rPr>
    </w:lvl>
    <w:lvl w:ilvl="8" w:tplc="C93800B6">
      <w:numFmt w:val="bullet"/>
      <w:lvlText w:val="•"/>
      <w:lvlJc w:val="left"/>
      <w:pPr>
        <w:ind w:left="7496" w:hanging="42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1B50"/>
    <w:rsid w:val="005F0D65"/>
    <w:rsid w:val="00BC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BE07B-80E1-4E9E-8B68-DEB3EBA7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90"/>
      <w:ind w:left="25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685" w:right="100" w:hanging="42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mol.com/noticias/Economia/2023/01/30/1085165/jovenes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mol.com/noticias/Economia/2023/01/30/1085165/jovenes-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Guillermo Diaz Vallejos</cp:lastModifiedBy>
  <cp:revision>1</cp:revision>
  <dcterms:created xsi:type="dcterms:W3CDTF">2023-10-24T18:49:00Z</dcterms:created>
  <dcterms:modified xsi:type="dcterms:W3CDTF">2023-10-25T14:07:00Z</dcterms:modified>
</cp:coreProperties>
</file>