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DEC" w:rsidRDefault="00A71C4D">
      <w:pPr>
        <w:pStyle w:val="Textoindependiente"/>
        <w:spacing w:before="80" w:line="381" w:lineRule="auto"/>
        <w:ind w:left="2910" w:hanging="2754"/>
      </w:pPr>
      <w:r>
        <w:rPr>
          <w:w w:val="115"/>
          <w:u w:val="single"/>
        </w:rPr>
        <w:t>PROYECTO</w:t>
      </w:r>
      <w:r>
        <w:rPr>
          <w:spacing w:val="-9"/>
          <w:w w:val="115"/>
          <w:u w:val="single"/>
        </w:rPr>
        <w:t xml:space="preserve"> </w:t>
      </w:r>
      <w:r>
        <w:rPr>
          <w:w w:val="115"/>
          <w:u w:val="single"/>
        </w:rPr>
        <w:t>DE</w:t>
      </w:r>
      <w:r>
        <w:rPr>
          <w:spacing w:val="-7"/>
          <w:w w:val="115"/>
          <w:u w:val="single"/>
        </w:rPr>
        <w:t xml:space="preserve"> </w:t>
      </w:r>
      <w:r>
        <w:rPr>
          <w:w w:val="115"/>
          <w:u w:val="single"/>
        </w:rPr>
        <w:t>LEY</w:t>
      </w:r>
      <w:r>
        <w:rPr>
          <w:spacing w:val="-8"/>
          <w:w w:val="115"/>
          <w:u w:val="single"/>
        </w:rPr>
        <w:t xml:space="preserve"> </w:t>
      </w:r>
      <w:r>
        <w:rPr>
          <w:w w:val="115"/>
          <w:u w:val="single"/>
        </w:rPr>
        <w:t>“VIVIENDA</w:t>
      </w:r>
      <w:r>
        <w:rPr>
          <w:spacing w:val="-9"/>
          <w:w w:val="115"/>
          <w:u w:val="single"/>
        </w:rPr>
        <w:t xml:space="preserve"> </w:t>
      </w:r>
      <w:r>
        <w:rPr>
          <w:w w:val="115"/>
          <w:u w:val="single"/>
        </w:rPr>
        <w:t>ASEGURADA”,</w:t>
      </w:r>
      <w:r>
        <w:rPr>
          <w:spacing w:val="-5"/>
          <w:w w:val="115"/>
          <w:u w:val="single"/>
        </w:rPr>
        <w:t xml:space="preserve"> </w:t>
      </w:r>
      <w:r>
        <w:rPr>
          <w:w w:val="115"/>
          <w:u w:val="single"/>
        </w:rPr>
        <w:t>QUE</w:t>
      </w:r>
      <w:r>
        <w:rPr>
          <w:spacing w:val="-6"/>
          <w:w w:val="115"/>
          <w:u w:val="single"/>
        </w:rPr>
        <w:t xml:space="preserve"> </w:t>
      </w:r>
      <w:r>
        <w:rPr>
          <w:w w:val="115"/>
          <w:u w:val="single"/>
        </w:rPr>
        <w:t>ESTABLECE</w:t>
      </w:r>
      <w:r>
        <w:rPr>
          <w:spacing w:val="-10"/>
          <w:w w:val="115"/>
          <w:u w:val="single"/>
        </w:rPr>
        <w:t xml:space="preserve"> </w:t>
      </w:r>
      <w:r>
        <w:rPr>
          <w:w w:val="115"/>
          <w:u w:val="single"/>
        </w:rPr>
        <w:t>LA</w:t>
      </w:r>
      <w:r>
        <w:rPr>
          <w:spacing w:val="-9"/>
          <w:w w:val="115"/>
          <w:u w:val="single"/>
        </w:rPr>
        <w:t xml:space="preserve"> </w:t>
      </w:r>
      <w:r>
        <w:rPr>
          <w:w w:val="115"/>
          <w:u w:val="single"/>
        </w:rPr>
        <w:t>INEMBARGABILIDAD</w:t>
      </w:r>
      <w:r>
        <w:rPr>
          <w:w w:val="115"/>
        </w:rPr>
        <w:t xml:space="preserve"> </w:t>
      </w:r>
      <w:r>
        <w:rPr>
          <w:w w:val="115"/>
          <w:u w:val="single"/>
        </w:rPr>
        <w:t>DE LAS VIVIENDAS QUE INDICA.</w:t>
      </w:r>
    </w:p>
    <w:p w:rsidR="00D85DEC" w:rsidRDefault="00A71C4D">
      <w:pPr>
        <w:pStyle w:val="Textoindependiente"/>
        <w:spacing w:before="2"/>
        <w:ind w:left="102"/>
      </w:pPr>
      <w:r>
        <w:rPr>
          <w:spacing w:val="-2"/>
          <w:w w:val="115"/>
          <w:u w:val="single"/>
        </w:rPr>
        <w:t>ANTECEDENTES:</w:t>
      </w:r>
    </w:p>
    <w:p w:rsidR="00D85DEC" w:rsidRDefault="00D85DEC">
      <w:pPr>
        <w:pStyle w:val="Textoindependiente"/>
        <w:rPr>
          <w:sz w:val="20"/>
        </w:rPr>
      </w:pPr>
    </w:p>
    <w:p w:rsidR="00D85DEC" w:rsidRDefault="00D85DEC">
      <w:pPr>
        <w:pStyle w:val="Textoindependiente"/>
        <w:rPr>
          <w:sz w:val="18"/>
        </w:rPr>
      </w:pPr>
    </w:p>
    <w:p w:rsidR="00D85DEC" w:rsidRDefault="00A71C4D">
      <w:pPr>
        <w:pStyle w:val="Textoindependiente"/>
        <w:spacing w:before="111" w:line="379" w:lineRule="auto"/>
        <w:ind w:left="102" w:right="116"/>
        <w:jc w:val="both"/>
      </w:pPr>
      <w:r>
        <w:rPr>
          <w:w w:val="115"/>
        </w:rPr>
        <w:t>1.- La crisis sanitaria por la pandemia Mundial de COVID 19, y la grave crisis económica producto</w:t>
      </w:r>
      <w:r>
        <w:rPr>
          <w:spacing w:val="-3"/>
          <w:w w:val="115"/>
        </w:rPr>
        <w:t xml:space="preserve"> </w:t>
      </w:r>
      <w:r>
        <w:rPr>
          <w:w w:val="115"/>
        </w:rPr>
        <w:t>de</w:t>
      </w:r>
      <w:r>
        <w:rPr>
          <w:spacing w:val="-3"/>
          <w:w w:val="115"/>
        </w:rPr>
        <w:t xml:space="preserve"> </w:t>
      </w:r>
      <w:r>
        <w:rPr>
          <w:w w:val="115"/>
        </w:rPr>
        <w:t>la</w:t>
      </w:r>
      <w:r>
        <w:rPr>
          <w:spacing w:val="-5"/>
          <w:w w:val="115"/>
        </w:rPr>
        <w:t xml:space="preserve"> </w:t>
      </w:r>
      <w:r>
        <w:rPr>
          <w:w w:val="115"/>
        </w:rPr>
        <w:t>misma,</w:t>
      </w:r>
      <w:r>
        <w:rPr>
          <w:spacing w:val="-3"/>
          <w:w w:val="115"/>
        </w:rPr>
        <w:t xml:space="preserve"> </w:t>
      </w:r>
      <w:r>
        <w:rPr>
          <w:w w:val="115"/>
        </w:rPr>
        <w:t>ha</w:t>
      </w:r>
      <w:r>
        <w:rPr>
          <w:spacing w:val="-6"/>
          <w:w w:val="115"/>
        </w:rPr>
        <w:t xml:space="preserve"> </w:t>
      </w:r>
      <w:r>
        <w:rPr>
          <w:w w:val="115"/>
        </w:rPr>
        <w:t>dejado</w:t>
      </w:r>
      <w:r>
        <w:rPr>
          <w:spacing w:val="-6"/>
          <w:w w:val="115"/>
        </w:rPr>
        <w:t xml:space="preserve"> </w:t>
      </w:r>
      <w:r>
        <w:rPr>
          <w:w w:val="115"/>
        </w:rPr>
        <w:t>en</w:t>
      </w:r>
      <w:r>
        <w:rPr>
          <w:spacing w:val="-3"/>
          <w:w w:val="115"/>
        </w:rPr>
        <w:t xml:space="preserve"> </w:t>
      </w:r>
      <w:r>
        <w:rPr>
          <w:w w:val="115"/>
        </w:rPr>
        <w:t>evidencia</w:t>
      </w:r>
      <w:r>
        <w:rPr>
          <w:spacing w:val="-3"/>
          <w:w w:val="115"/>
        </w:rPr>
        <w:t xml:space="preserve"> </w:t>
      </w:r>
      <w:r>
        <w:rPr>
          <w:w w:val="115"/>
        </w:rPr>
        <w:t>una</w:t>
      </w:r>
      <w:r>
        <w:rPr>
          <w:spacing w:val="-3"/>
          <w:w w:val="115"/>
        </w:rPr>
        <w:t xml:space="preserve"> </w:t>
      </w:r>
      <w:r>
        <w:rPr>
          <w:w w:val="115"/>
        </w:rPr>
        <w:t>serie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falencias</w:t>
      </w:r>
      <w:r>
        <w:rPr>
          <w:spacing w:val="-4"/>
          <w:w w:val="115"/>
        </w:rPr>
        <w:t xml:space="preserve"> </w:t>
      </w:r>
      <w:r>
        <w:rPr>
          <w:w w:val="115"/>
        </w:rPr>
        <w:t>en</w:t>
      </w:r>
      <w:r>
        <w:rPr>
          <w:spacing w:val="-8"/>
          <w:w w:val="115"/>
        </w:rPr>
        <w:t xml:space="preserve"> </w:t>
      </w:r>
      <w:r>
        <w:rPr>
          <w:w w:val="115"/>
        </w:rPr>
        <w:t>el</w:t>
      </w:r>
      <w:r>
        <w:rPr>
          <w:spacing w:val="-5"/>
          <w:w w:val="115"/>
        </w:rPr>
        <w:t xml:space="preserve"> </w:t>
      </w:r>
      <w:r>
        <w:rPr>
          <w:w w:val="115"/>
        </w:rPr>
        <w:t>sistema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5"/>
          <w:w w:val="115"/>
        </w:rPr>
        <w:t xml:space="preserve"> </w:t>
      </w:r>
      <w:r>
        <w:rPr>
          <w:w w:val="115"/>
        </w:rPr>
        <w:t>resguardo de los deudores y/o sus familias que cuentan con una única vivienda. Lo anterior, puesto que, de conformidad a la actual legislación, y el régimen vigente de inembargabilidad, no existe ningún</w:t>
      </w:r>
      <w:r>
        <w:rPr>
          <w:spacing w:val="-1"/>
          <w:w w:val="115"/>
        </w:rPr>
        <w:t xml:space="preserve"> </w:t>
      </w:r>
      <w:r>
        <w:rPr>
          <w:w w:val="115"/>
        </w:rPr>
        <w:t>imp</w:t>
      </w:r>
      <w:r>
        <w:rPr>
          <w:w w:val="115"/>
        </w:rPr>
        <w:t>edimento para</w:t>
      </w:r>
      <w:r>
        <w:rPr>
          <w:spacing w:val="-1"/>
          <w:w w:val="115"/>
        </w:rPr>
        <w:t xml:space="preserve"> </w:t>
      </w:r>
      <w:r>
        <w:rPr>
          <w:w w:val="115"/>
        </w:rPr>
        <w:t>que, por</w:t>
      </w:r>
      <w:r>
        <w:rPr>
          <w:spacing w:val="-2"/>
          <w:w w:val="115"/>
        </w:rPr>
        <w:t xml:space="preserve"> </w:t>
      </w:r>
      <w:r>
        <w:rPr>
          <w:w w:val="115"/>
        </w:rPr>
        <w:t>ejemplo, un</w:t>
      </w:r>
      <w:r>
        <w:rPr>
          <w:spacing w:val="-1"/>
          <w:w w:val="115"/>
        </w:rPr>
        <w:t xml:space="preserve"> </w:t>
      </w:r>
      <w:r>
        <w:rPr>
          <w:w w:val="115"/>
        </w:rPr>
        <w:t>grupo familiar completo pierda</w:t>
      </w:r>
      <w:r>
        <w:rPr>
          <w:spacing w:val="-1"/>
          <w:w w:val="115"/>
        </w:rPr>
        <w:t xml:space="preserve"> </w:t>
      </w:r>
      <w:r>
        <w:rPr>
          <w:w w:val="115"/>
        </w:rPr>
        <w:t>su</w:t>
      </w:r>
      <w:r>
        <w:rPr>
          <w:spacing w:val="-1"/>
          <w:w w:val="115"/>
        </w:rPr>
        <w:t xml:space="preserve"> </w:t>
      </w:r>
      <w:r>
        <w:rPr>
          <w:w w:val="115"/>
        </w:rPr>
        <w:t>única vivienda como consecuencia de haber sido rematada judicialmente por la insolvencia de su</w:t>
      </w:r>
      <w:r>
        <w:rPr>
          <w:w w:val="115"/>
        </w:rPr>
        <w:t xml:space="preserve"> dueño. Situación que se agrava ciertamente en los sectores más desprotegidos de la población, por carecer estos de los medios, o alternativas para optar a otra vivienda.</w:t>
      </w:r>
    </w:p>
    <w:p w:rsidR="00D85DEC" w:rsidRDefault="00D85DEC">
      <w:pPr>
        <w:pStyle w:val="Textoindependiente"/>
        <w:spacing w:before="10"/>
        <w:rPr>
          <w:sz w:val="34"/>
        </w:rPr>
      </w:pPr>
    </w:p>
    <w:p w:rsidR="00D85DEC" w:rsidRDefault="00A71C4D">
      <w:pPr>
        <w:pStyle w:val="Textoindependiente"/>
        <w:spacing w:line="379" w:lineRule="auto"/>
        <w:ind w:left="102" w:right="116"/>
        <w:jc w:val="both"/>
      </w:pPr>
      <w:r>
        <w:rPr>
          <w:w w:val="115"/>
        </w:rPr>
        <w:t>2.- Razones de justicia y solidaridad social, exigen incorporar al actual régimen de</w:t>
      </w:r>
      <w:r>
        <w:rPr>
          <w:w w:val="115"/>
        </w:rPr>
        <w:t xml:space="preserve"> inembargabilidad, a determinadas viviendas que cumplen el importantísimo rol de servir de sustento material y habitacional de las personas y/o sus familia, rol que hoy en día cobra aún mayor importancia por la disminución del poder adquisitivo de los chil</w:t>
      </w:r>
      <w:r>
        <w:rPr>
          <w:w w:val="115"/>
        </w:rPr>
        <w:t>enos y chilenas para adquirir viviendas, así como también, por la escasez y la brutal alza de las mismas que viene arrastrando nuestro país en los últimos años.</w:t>
      </w:r>
    </w:p>
    <w:p w:rsidR="00D85DEC" w:rsidRDefault="00D85DEC">
      <w:pPr>
        <w:pStyle w:val="Textoindependiente"/>
        <w:spacing w:before="11"/>
        <w:rPr>
          <w:sz w:val="34"/>
        </w:rPr>
      </w:pPr>
    </w:p>
    <w:p w:rsidR="00D85DEC" w:rsidRDefault="00A71C4D">
      <w:pPr>
        <w:pStyle w:val="Textoindependiente"/>
        <w:spacing w:line="379" w:lineRule="auto"/>
        <w:ind w:left="102" w:right="114"/>
        <w:jc w:val="both"/>
      </w:pPr>
      <w:r>
        <w:rPr>
          <w:w w:val="120"/>
        </w:rPr>
        <w:t>3.-</w:t>
      </w:r>
      <w:r>
        <w:rPr>
          <w:spacing w:val="-11"/>
          <w:w w:val="120"/>
        </w:rPr>
        <w:t xml:space="preserve"> </w:t>
      </w:r>
      <w:r>
        <w:rPr>
          <w:w w:val="120"/>
        </w:rPr>
        <w:t>Si</w:t>
      </w:r>
      <w:r>
        <w:rPr>
          <w:spacing w:val="-13"/>
          <w:w w:val="120"/>
        </w:rPr>
        <w:t xml:space="preserve"> </w:t>
      </w:r>
      <w:r>
        <w:rPr>
          <w:w w:val="120"/>
        </w:rPr>
        <w:t>bien</w:t>
      </w:r>
      <w:r>
        <w:rPr>
          <w:spacing w:val="-13"/>
          <w:w w:val="120"/>
        </w:rPr>
        <w:t xml:space="preserve"> </w:t>
      </w:r>
      <w:r>
        <w:rPr>
          <w:w w:val="120"/>
        </w:rPr>
        <w:t>han</w:t>
      </w:r>
      <w:r>
        <w:rPr>
          <w:spacing w:val="-15"/>
          <w:w w:val="120"/>
        </w:rPr>
        <w:t xml:space="preserve"> </w:t>
      </w:r>
      <w:r>
        <w:rPr>
          <w:w w:val="120"/>
        </w:rPr>
        <w:t>existido</w:t>
      </w:r>
      <w:r>
        <w:rPr>
          <w:spacing w:val="35"/>
          <w:w w:val="120"/>
        </w:rPr>
        <w:t xml:space="preserve"> </w:t>
      </w:r>
      <w:r>
        <w:rPr>
          <w:w w:val="120"/>
        </w:rPr>
        <w:t>esfuerzos</w:t>
      </w:r>
      <w:r>
        <w:rPr>
          <w:spacing w:val="-13"/>
          <w:w w:val="120"/>
        </w:rPr>
        <w:t xml:space="preserve"> </w:t>
      </w:r>
      <w:r>
        <w:rPr>
          <w:w w:val="120"/>
        </w:rPr>
        <w:t>legislativos,</w:t>
      </w:r>
      <w:r>
        <w:rPr>
          <w:spacing w:val="-14"/>
          <w:w w:val="120"/>
        </w:rPr>
        <w:t xml:space="preserve"> </w:t>
      </w:r>
      <w:r>
        <w:rPr>
          <w:w w:val="120"/>
        </w:rPr>
        <w:t>en</w:t>
      </w:r>
      <w:r>
        <w:rPr>
          <w:spacing w:val="-13"/>
          <w:w w:val="120"/>
        </w:rPr>
        <w:t xml:space="preserve"> </w:t>
      </w:r>
      <w:r>
        <w:rPr>
          <w:w w:val="120"/>
        </w:rPr>
        <w:t>orden</w:t>
      </w:r>
      <w:r>
        <w:rPr>
          <w:spacing w:val="-15"/>
          <w:w w:val="120"/>
        </w:rPr>
        <w:t xml:space="preserve"> </w:t>
      </w:r>
      <w:r>
        <w:rPr>
          <w:w w:val="120"/>
        </w:rPr>
        <w:t>a</w:t>
      </w:r>
      <w:r>
        <w:rPr>
          <w:spacing w:val="-11"/>
          <w:w w:val="120"/>
        </w:rPr>
        <w:t xml:space="preserve"> </w:t>
      </w:r>
      <w:r>
        <w:rPr>
          <w:w w:val="120"/>
        </w:rPr>
        <w:t>suspender</w:t>
      </w:r>
      <w:r>
        <w:rPr>
          <w:spacing w:val="-12"/>
          <w:w w:val="120"/>
        </w:rPr>
        <w:t xml:space="preserve"> </w:t>
      </w:r>
      <w:r>
        <w:rPr>
          <w:w w:val="120"/>
        </w:rPr>
        <w:t>durante</w:t>
      </w:r>
      <w:r>
        <w:rPr>
          <w:spacing w:val="-14"/>
          <w:w w:val="120"/>
        </w:rPr>
        <w:t xml:space="preserve"> </w:t>
      </w:r>
      <w:r>
        <w:rPr>
          <w:w w:val="120"/>
        </w:rPr>
        <w:t>la</w:t>
      </w:r>
      <w:r>
        <w:rPr>
          <w:spacing w:val="-11"/>
          <w:w w:val="120"/>
        </w:rPr>
        <w:t xml:space="preserve"> </w:t>
      </w:r>
      <w:r>
        <w:rPr>
          <w:w w:val="120"/>
        </w:rPr>
        <w:t>vigencia</w:t>
      </w:r>
      <w:r>
        <w:rPr>
          <w:spacing w:val="-14"/>
          <w:w w:val="120"/>
        </w:rPr>
        <w:t xml:space="preserve"> </w:t>
      </w:r>
      <w:r>
        <w:rPr>
          <w:w w:val="120"/>
        </w:rPr>
        <w:t>de</w:t>
      </w:r>
      <w:r>
        <w:rPr>
          <w:spacing w:val="-11"/>
          <w:w w:val="120"/>
        </w:rPr>
        <w:t xml:space="preserve"> </w:t>
      </w:r>
      <w:r>
        <w:rPr>
          <w:w w:val="120"/>
        </w:rPr>
        <w:t>l</w:t>
      </w:r>
      <w:r>
        <w:rPr>
          <w:w w:val="120"/>
        </w:rPr>
        <w:t>a crisis sanitaria de COVID, los remates judiciales sobre inmuebles, con el fin de proteger a aquellos deudores que producto de ella, no han podido responder con sus obligaciones económicas,</w:t>
      </w:r>
      <w:r>
        <w:rPr>
          <w:spacing w:val="-15"/>
          <w:w w:val="120"/>
        </w:rPr>
        <w:t xml:space="preserve"> </w:t>
      </w:r>
      <w:r>
        <w:rPr>
          <w:w w:val="120"/>
        </w:rPr>
        <w:t>dicha</w:t>
      </w:r>
      <w:r>
        <w:rPr>
          <w:spacing w:val="-14"/>
          <w:w w:val="120"/>
        </w:rPr>
        <w:t xml:space="preserve"> </w:t>
      </w:r>
      <w:r>
        <w:rPr>
          <w:w w:val="120"/>
        </w:rPr>
        <w:t>suspensión</w:t>
      </w:r>
      <w:r>
        <w:rPr>
          <w:spacing w:val="-16"/>
          <w:w w:val="120"/>
        </w:rPr>
        <w:t xml:space="preserve"> </w:t>
      </w:r>
      <w:r>
        <w:rPr>
          <w:w w:val="120"/>
        </w:rPr>
        <w:t>sólo</w:t>
      </w:r>
      <w:r>
        <w:rPr>
          <w:spacing w:val="-14"/>
          <w:w w:val="120"/>
        </w:rPr>
        <w:t xml:space="preserve"> </w:t>
      </w:r>
      <w:r>
        <w:rPr>
          <w:w w:val="120"/>
        </w:rPr>
        <w:t>ha</w:t>
      </w:r>
      <w:r>
        <w:rPr>
          <w:spacing w:val="-14"/>
          <w:w w:val="120"/>
        </w:rPr>
        <w:t xml:space="preserve"> </w:t>
      </w:r>
      <w:r>
        <w:rPr>
          <w:w w:val="120"/>
        </w:rPr>
        <w:t>sido</w:t>
      </w:r>
      <w:r>
        <w:rPr>
          <w:spacing w:val="-14"/>
          <w:w w:val="120"/>
        </w:rPr>
        <w:t xml:space="preserve"> </w:t>
      </w:r>
      <w:r>
        <w:rPr>
          <w:w w:val="120"/>
        </w:rPr>
        <w:t>de</w:t>
      </w:r>
      <w:r>
        <w:rPr>
          <w:spacing w:val="-14"/>
          <w:w w:val="120"/>
        </w:rPr>
        <w:t xml:space="preserve"> </w:t>
      </w:r>
      <w:r>
        <w:rPr>
          <w:w w:val="120"/>
        </w:rPr>
        <w:t>carácter</w:t>
      </w:r>
      <w:r>
        <w:rPr>
          <w:spacing w:val="-15"/>
          <w:w w:val="120"/>
        </w:rPr>
        <w:t xml:space="preserve"> </w:t>
      </w:r>
      <w:r>
        <w:rPr>
          <w:w w:val="120"/>
        </w:rPr>
        <w:t>provisorio</w:t>
      </w:r>
      <w:r>
        <w:rPr>
          <w:spacing w:val="-14"/>
          <w:w w:val="120"/>
        </w:rPr>
        <w:t xml:space="preserve"> </w:t>
      </w:r>
      <w:r>
        <w:rPr>
          <w:w w:val="120"/>
        </w:rPr>
        <w:t>y</w:t>
      </w:r>
      <w:r>
        <w:rPr>
          <w:spacing w:val="-15"/>
          <w:w w:val="120"/>
        </w:rPr>
        <w:t xml:space="preserve"> </w:t>
      </w:r>
      <w:r>
        <w:rPr>
          <w:w w:val="120"/>
        </w:rPr>
        <w:t>no</w:t>
      </w:r>
      <w:r>
        <w:rPr>
          <w:spacing w:val="-14"/>
          <w:w w:val="120"/>
        </w:rPr>
        <w:t xml:space="preserve"> </w:t>
      </w:r>
      <w:r>
        <w:rPr>
          <w:w w:val="120"/>
        </w:rPr>
        <w:t>aborda</w:t>
      </w:r>
      <w:r>
        <w:rPr>
          <w:spacing w:val="-14"/>
          <w:w w:val="120"/>
        </w:rPr>
        <w:t xml:space="preserve"> </w:t>
      </w:r>
      <w:r>
        <w:rPr>
          <w:w w:val="120"/>
        </w:rPr>
        <w:t>el</w:t>
      </w:r>
      <w:r>
        <w:rPr>
          <w:spacing w:val="-15"/>
          <w:w w:val="120"/>
        </w:rPr>
        <w:t xml:space="preserve"> </w:t>
      </w:r>
      <w:r>
        <w:rPr>
          <w:w w:val="120"/>
        </w:rPr>
        <w:t>problema</w:t>
      </w:r>
      <w:r>
        <w:rPr>
          <w:spacing w:val="-14"/>
          <w:w w:val="120"/>
        </w:rPr>
        <w:t xml:space="preserve"> </w:t>
      </w:r>
      <w:r>
        <w:rPr>
          <w:w w:val="120"/>
        </w:rPr>
        <w:t>en toda su magnitud, pues deja sin protección a viviendas que por su función social, debieran hallarse fuera del conjunto de bienes embargables en nuestro sistema jurídico en forma permanente,</w:t>
      </w:r>
      <w:r>
        <w:rPr>
          <w:spacing w:val="-6"/>
          <w:w w:val="120"/>
        </w:rPr>
        <w:t xml:space="preserve"> </w:t>
      </w:r>
      <w:r>
        <w:rPr>
          <w:w w:val="120"/>
        </w:rPr>
        <w:t>que</w:t>
      </w:r>
      <w:r>
        <w:rPr>
          <w:spacing w:val="-9"/>
          <w:w w:val="120"/>
        </w:rPr>
        <w:t xml:space="preserve"> </w:t>
      </w:r>
      <w:r>
        <w:rPr>
          <w:w w:val="120"/>
        </w:rPr>
        <w:t>permita</w:t>
      </w:r>
      <w:r>
        <w:rPr>
          <w:spacing w:val="-9"/>
          <w:w w:val="120"/>
        </w:rPr>
        <w:t xml:space="preserve"> </w:t>
      </w:r>
      <w:r>
        <w:rPr>
          <w:w w:val="120"/>
        </w:rPr>
        <w:t>entregar</w:t>
      </w:r>
      <w:r>
        <w:rPr>
          <w:spacing w:val="-8"/>
          <w:w w:val="120"/>
        </w:rPr>
        <w:t xml:space="preserve"> </w:t>
      </w:r>
      <w:r>
        <w:rPr>
          <w:w w:val="120"/>
        </w:rPr>
        <w:t>una</w:t>
      </w:r>
      <w:r>
        <w:rPr>
          <w:spacing w:val="-9"/>
          <w:w w:val="120"/>
        </w:rPr>
        <w:t xml:space="preserve"> </w:t>
      </w:r>
      <w:r>
        <w:rPr>
          <w:w w:val="120"/>
        </w:rPr>
        <w:t>estabilidad</w:t>
      </w:r>
      <w:r>
        <w:rPr>
          <w:spacing w:val="-10"/>
          <w:w w:val="120"/>
        </w:rPr>
        <w:t xml:space="preserve"> </w:t>
      </w:r>
      <w:r>
        <w:rPr>
          <w:w w:val="120"/>
        </w:rPr>
        <w:t>y</w:t>
      </w:r>
      <w:r>
        <w:rPr>
          <w:spacing w:val="-8"/>
          <w:w w:val="120"/>
        </w:rPr>
        <w:t xml:space="preserve"> </w:t>
      </w:r>
      <w:r>
        <w:rPr>
          <w:w w:val="120"/>
        </w:rPr>
        <w:t>seguridad</w:t>
      </w:r>
      <w:r>
        <w:rPr>
          <w:spacing w:val="-10"/>
          <w:w w:val="120"/>
        </w:rPr>
        <w:t xml:space="preserve"> </w:t>
      </w:r>
      <w:r>
        <w:rPr>
          <w:w w:val="120"/>
        </w:rPr>
        <w:t>jurídica</w:t>
      </w:r>
      <w:r>
        <w:rPr>
          <w:spacing w:val="-2"/>
          <w:w w:val="120"/>
        </w:rPr>
        <w:t xml:space="preserve"> </w:t>
      </w:r>
      <w:r>
        <w:rPr>
          <w:w w:val="120"/>
        </w:rPr>
        <w:t>sobre</w:t>
      </w:r>
      <w:r>
        <w:rPr>
          <w:spacing w:val="-9"/>
          <w:w w:val="120"/>
        </w:rPr>
        <w:t xml:space="preserve"> </w:t>
      </w:r>
      <w:r>
        <w:rPr>
          <w:w w:val="120"/>
        </w:rPr>
        <w:t>la</w:t>
      </w:r>
      <w:r>
        <w:rPr>
          <w:spacing w:val="-7"/>
          <w:w w:val="120"/>
        </w:rPr>
        <w:t xml:space="preserve"> </w:t>
      </w:r>
      <w:r>
        <w:rPr>
          <w:w w:val="120"/>
        </w:rPr>
        <w:t>propiedad</w:t>
      </w:r>
      <w:r>
        <w:rPr>
          <w:spacing w:val="-10"/>
          <w:w w:val="120"/>
        </w:rPr>
        <w:t xml:space="preserve"> </w:t>
      </w:r>
      <w:r>
        <w:rPr>
          <w:w w:val="120"/>
        </w:rPr>
        <w:t xml:space="preserve">de </w:t>
      </w:r>
      <w:r>
        <w:rPr>
          <w:w w:val="115"/>
        </w:rPr>
        <w:t xml:space="preserve">dichas viviendas de manera general, pero sobre todo, a aquellos sectores de nuestra sociedad </w:t>
      </w:r>
      <w:r>
        <w:rPr>
          <w:w w:val="120"/>
        </w:rPr>
        <w:t xml:space="preserve">que se encuentran vulnerables a las fluctuaciones financieras y económicas que enfrenta </w:t>
      </w:r>
      <w:r>
        <w:rPr>
          <w:spacing w:val="-2"/>
          <w:w w:val="120"/>
        </w:rPr>
        <w:t>nuestro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país,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y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por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tanto,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más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sus</w:t>
      </w:r>
      <w:r>
        <w:rPr>
          <w:spacing w:val="-2"/>
          <w:w w:val="120"/>
        </w:rPr>
        <w:t>ceptibles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sobrendeudamiento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que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redunde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finalmente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 xml:space="preserve">en </w:t>
      </w:r>
      <w:r>
        <w:rPr>
          <w:w w:val="120"/>
        </w:rPr>
        <w:t>la posibilidad de perder su única vivienda.</w:t>
      </w:r>
    </w:p>
    <w:p w:rsidR="00D85DEC" w:rsidRDefault="00D85DEC">
      <w:pPr>
        <w:spacing w:line="379" w:lineRule="auto"/>
        <w:jc w:val="both"/>
        <w:sectPr w:rsidR="00D85DEC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D85DEC" w:rsidRDefault="00A71C4D">
      <w:pPr>
        <w:pStyle w:val="Textoindependiente"/>
        <w:spacing w:before="86" w:line="379" w:lineRule="auto"/>
        <w:ind w:left="102" w:right="115"/>
        <w:jc w:val="both"/>
      </w:pPr>
      <w:r>
        <w:rPr>
          <w:w w:val="115"/>
        </w:rPr>
        <w:lastRenderedPageBreak/>
        <w:t xml:space="preserve">4.- En este sentido, el régimen de inembargabilidad que contempla el artículo 445 Nº 8 del Código de Procedimiento Civil, es restringido, y no </w:t>
      </w:r>
      <w:r>
        <w:rPr>
          <w:w w:val="115"/>
        </w:rPr>
        <w:t>se hace cargo de la realidad</w:t>
      </w:r>
      <w:r>
        <w:rPr>
          <w:spacing w:val="40"/>
          <w:w w:val="115"/>
        </w:rPr>
        <w:t xml:space="preserve"> </w:t>
      </w:r>
      <w:r>
        <w:rPr>
          <w:w w:val="115"/>
        </w:rPr>
        <w:t>socioeconómica que enfrenta nuestro país, y tampoco del deber del Estado de garantizar el derecho a la vivienda de las personas, considerado que la inembargabilidad actualmente consagrada, solo cubre a las viviendas conceptuali</w:t>
      </w:r>
      <w:r>
        <w:rPr>
          <w:w w:val="115"/>
        </w:rPr>
        <w:t>zadas como de emergencia, o de hasta 50 UTM de avalúo fiscal, razón por la cual el objetivo de esta iniciativa es adecuar la protección al valor real de las viviendas.</w:t>
      </w:r>
    </w:p>
    <w:p w:rsidR="00D85DEC" w:rsidRDefault="00D85DEC">
      <w:pPr>
        <w:pStyle w:val="Textoindependiente"/>
        <w:spacing w:before="3"/>
        <w:rPr>
          <w:sz w:val="21"/>
        </w:rPr>
      </w:pPr>
    </w:p>
    <w:p w:rsidR="00D85DEC" w:rsidRDefault="00A71C4D">
      <w:pPr>
        <w:pStyle w:val="Textoindependiente"/>
        <w:spacing w:before="1" w:line="379" w:lineRule="auto"/>
        <w:ind w:left="102" w:right="115"/>
        <w:jc w:val="both"/>
      </w:pPr>
      <w:r>
        <w:rPr>
          <w:w w:val="115"/>
        </w:rPr>
        <w:t>5.- El objetivo de la presente iniciativa busca ser omnicomprensiva</w:t>
      </w:r>
      <w:r>
        <w:rPr>
          <w:spacing w:val="40"/>
          <w:w w:val="115"/>
        </w:rPr>
        <w:t xml:space="preserve"> </w:t>
      </w:r>
      <w:r>
        <w:rPr>
          <w:w w:val="115"/>
        </w:rPr>
        <w:t>de aquellas viviend</w:t>
      </w:r>
      <w:r>
        <w:rPr>
          <w:w w:val="115"/>
        </w:rPr>
        <w:t>as que por</w:t>
      </w:r>
      <w:r>
        <w:rPr>
          <w:spacing w:val="-2"/>
          <w:w w:val="115"/>
        </w:rPr>
        <w:t xml:space="preserve"> </w:t>
      </w:r>
      <w:r>
        <w:rPr>
          <w:w w:val="115"/>
        </w:rPr>
        <w:t>sus</w:t>
      </w:r>
      <w:r>
        <w:rPr>
          <w:spacing w:val="-2"/>
          <w:w w:val="115"/>
        </w:rPr>
        <w:t xml:space="preserve"> </w:t>
      </w:r>
      <w:r>
        <w:rPr>
          <w:w w:val="115"/>
        </w:rPr>
        <w:t>características, fueron</w:t>
      </w:r>
      <w:r>
        <w:rPr>
          <w:spacing w:val="-5"/>
          <w:w w:val="115"/>
        </w:rPr>
        <w:t xml:space="preserve"> </w:t>
      </w:r>
      <w:r>
        <w:rPr>
          <w:w w:val="115"/>
        </w:rPr>
        <w:t>adquiridas</w:t>
      </w:r>
      <w:r>
        <w:rPr>
          <w:spacing w:val="-5"/>
          <w:w w:val="115"/>
        </w:rPr>
        <w:t xml:space="preserve"> </w:t>
      </w:r>
      <w:r>
        <w:rPr>
          <w:w w:val="115"/>
        </w:rPr>
        <w:t>a través</w:t>
      </w:r>
      <w:r>
        <w:rPr>
          <w:spacing w:val="-2"/>
          <w:w w:val="115"/>
        </w:rPr>
        <w:t xml:space="preserve"> </w:t>
      </w:r>
      <w:r>
        <w:rPr>
          <w:w w:val="115"/>
        </w:rPr>
        <w:t>de subsidios</w:t>
      </w:r>
      <w:r>
        <w:rPr>
          <w:spacing w:val="-5"/>
          <w:w w:val="115"/>
        </w:rPr>
        <w:t xml:space="preserve"> </w:t>
      </w:r>
      <w:r>
        <w:rPr>
          <w:w w:val="115"/>
        </w:rPr>
        <w:t>fiscales,</w:t>
      </w:r>
      <w:r>
        <w:rPr>
          <w:spacing w:val="40"/>
          <w:w w:val="115"/>
        </w:rPr>
        <w:t xml:space="preserve"> </w:t>
      </w:r>
      <w:r>
        <w:rPr>
          <w:w w:val="115"/>
        </w:rPr>
        <w:t>través</w:t>
      </w:r>
      <w:r>
        <w:rPr>
          <w:spacing w:val="-2"/>
          <w:w w:val="115"/>
        </w:rPr>
        <w:t xml:space="preserve"> </w:t>
      </w:r>
      <w:r>
        <w:rPr>
          <w:w w:val="115"/>
        </w:rPr>
        <w:t>de otros</w:t>
      </w:r>
      <w:r>
        <w:rPr>
          <w:spacing w:val="-2"/>
          <w:w w:val="115"/>
        </w:rPr>
        <w:t xml:space="preserve"> </w:t>
      </w:r>
      <w:r>
        <w:rPr>
          <w:w w:val="115"/>
        </w:rPr>
        <w:t>medios de financiamiento, o puedan ser catalogadas como sociales o económicas, y por tanto, merecedoras de la protección que ofrece la</w:t>
      </w:r>
      <w:r>
        <w:rPr>
          <w:w w:val="115"/>
        </w:rPr>
        <w:t xml:space="preserve"> inembargabilidad, por la función social que</w:t>
      </w:r>
      <w:r>
        <w:rPr>
          <w:spacing w:val="80"/>
          <w:w w:val="115"/>
        </w:rPr>
        <w:t xml:space="preserve"> </w:t>
      </w:r>
      <w:r>
        <w:rPr>
          <w:w w:val="115"/>
        </w:rPr>
        <w:t>cumplen y;</w:t>
      </w:r>
      <w:r>
        <w:rPr>
          <w:spacing w:val="80"/>
          <w:w w:val="115"/>
        </w:rPr>
        <w:t xml:space="preserve"> </w:t>
      </w:r>
      <w:r>
        <w:rPr>
          <w:w w:val="115"/>
        </w:rPr>
        <w:t>estableciendo además, un criterio económico para acceder a dicho beneficio, que se condiga con la realidad actual, en relación al valor de la viviendas.</w:t>
      </w:r>
    </w:p>
    <w:p w:rsidR="00D85DEC" w:rsidRDefault="00D85DEC">
      <w:pPr>
        <w:pStyle w:val="Textoindependiente"/>
        <w:spacing w:before="10"/>
        <w:rPr>
          <w:sz w:val="20"/>
        </w:rPr>
      </w:pPr>
    </w:p>
    <w:p w:rsidR="00D85DEC" w:rsidRDefault="00A71C4D">
      <w:pPr>
        <w:pStyle w:val="Textoindependiente"/>
        <w:spacing w:line="379" w:lineRule="auto"/>
        <w:ind w:left="102" w:right="115"/>
        <w:jc w:val="both"/>
      </w:pPr>
      <w:r>
        <w:rPr>
          <w:w w:val="115"/>
        </w:rPr>
        <w:t>6.- La presente iniciativa en</w:t>
      </w:r>
      <w:r>
        <w:rPr>
          <w:spacing w:val="-2"/>
          <w:w w:val="115"/>
        </w:rPr>
        <w:t xml:space="preserve"> </w:t>
      </w:r>
      <w:r>
        <w:rPr>
          <w:w w:val="115"/>
        </w:rPr>
        <w:t>consecuencia, intenta hacerse</w:t>
      </w:r>
      <w:r>
        <w:rPr>
          <w:spacing w:val="-3"/>
          <w:w w:val="115"/>
        </w:rPr>
        <w:t xml:space="preserve"> </w:t>
      </w:r>
      <w:r>
        <w:rPr>
          <w:w w:val="115"/>
        </w:rPr>
        <w:t>cargo,</w:t>
      </w:r>
      <w:r>
        <w:rPr>
          <w:spacing w:val="-2"/>
          <w:w w:val="115"/>
        </w:rPr>
        <w:t xml:space="preserve"> </w:t>
      </w:r>
      <w:r>
        <w:rPr>
          <w:w w:val="115"/>
        </w:rPr>
        <w:t>de la inexistencia</w:t>
      </w:r>
      <w:r>
        <w:rPr>
          <w:spacing w:val="-2"/>
          <w:w w:val="115"/>
        </w:rPr>
        <w:t xml:space="preserve"> </w:t>
      </w:r>
      <w:r>
        <w:rPr>
          <w:w w:val="115"/>
        </w:rPr>
        <w:t>en</w:t>
      </w:r>
      <w:r>
        <w:rPr>
          <w:spacing w:val="-2"/>
          <w:w w:val="115"/>
        </w:rPr>
        <w:t xml:space="preserve"> </w:t>
      </w:r>
      <w:r>
        <w:rPr>
          <w:w w:val="115"/>
        </w:rPr>
        <w:t>el</w:t>
      </w:r>
      <w:r>
        <w:rPr>
          <w:spacing w:val="-4"/>
          <w:w w:val="115"/>
        </w:rPr>
        <w:t xml:space="preserve"> </w:t>
      </w:r>
      <w:r>
        <w:rPr>
          <w:w w:val="115"/>
        </w:rPr>
        <w:t>actual régimen de inembargabilidad de bienes raíces del Código de Procedimiento Civil, de una referencia expresa al concepto de “vivienda social”, concepto que a cr</w:t>
      </w:r>
      <w:r>
        <w:rPr>
          <w:w w:val="115"/>
        </w:rPr>
        <w:t>iterio de estos mocionantes, debiera comprender, también, a aquellas</w:t>
      </w:r>
      <w:r>
        <w:rPr>
          <w:spacing w:val="80"/>
          <w:w w:val="115"/>
        </w:rPr>
        <w:t xml:space="preserve"> </w:t>
      </w:r>
      <w:r>
        <w:rPr>
          <w:w w:val="115"/>
        </w:rPr>
        <w:t>viviendas denominadas económicas,</w:t>
      </w:r>
      <w:r>
        <w:rPr>
          <w:spacing w:val="40"/>
          <w:w w:val="115"/>
        </w:rPr>
        <w:t xml:space="preserve"> </w:t>
      </w:r>
      <w:r>
        <w:rPr>
          <w:w w:val="115"/>
        </w:rPr>
        <w:t>de manera tal de establecer un estatuto amplio y directo de inembargabilidad para las mismas, en relación a la función social que cumplen, y de todas aqu</w:t>
      </w:r>
      <w:r>
        <w:rPr>
          <w:w w:val="115"/>
        </w:rPr>
        <w:t>ellas que cumplen la característica de ser la única vivienda del deudor y/o su familia, y un avalúo fiscal no superior a 800 UF,</w:t>
      </w:r>
      <w:r>
        <w:rPr>
          <w:spacing w:val="80"/>
          <w:w w:val="115"/>
        </w:rPr>
        <w:t xml:space="preserve"> </w:t>
      </w:r>
      <w:r>
        <w:rPr>
          <w:w w:val="115"/>
        </w:rPr>
        <w:t>y que esta moción pretende amparar.</w:t>
      </w:r>
    </w:p>
    <w:p w:rsidR="00D85DEC" w:rsidRDefault="00D85DEC">
      <w:pPr>
        <w:pStyle w:val="Textoindependiente"/>
        <w:spacing w:before="3"/>
        <w:rPr>
          <w:sz w:val="21"/>
        </w:rPr>
      </w:pPr>
    </w:p>
    <w:p w:rsidR="00D85DEC" w:rsidRDefault="00A71C4D">
      <w:pPr>
        <w:pStyle w:val="Textoindependiente"/>
        <w:spacing w:line="379" w:lineRule="auto"/>
        <w:ind w:left="102" w:right="116"/>
        <w:jc w:val="both"/>
      </w:pPr>
      <w:r>
        <w:rPr>
          <w:w w:val="115"/>
        </w:rPr>
        <w:t>7.- La presente propuesta, además, es consecuente y va en línea con lo sostenido por la Co</w:t>
      </w:r>
      <w:r>
        <w:rPr>
          <w:w w:val="115"/>
        </w:rPr>
        <w:t>ntraloría General de la República, en su dictamen número 50.892, el cual estableció que</w:t>
      </w:r>
      <w:r>
        <w:rPr>
          <w:spacing w:val="80"/>
          <w:w w:val="115"/>
        </w:rPr>
        <w:t xml:space="preserve"> </w:t>
      </w:r>
      <w:r>
        <w:rPr>
          <w:w w:val="115"/>
        </w:rPr>
        <w:t>solo basta cumplir con el requisito de tasación (400 o 520 UF, según corresponda) para certificarse como vivienda social, independientemente si fue realizada con recurs</w:t>
      </w:r>
      <w:r>
        <w:rPr>
          <w:w w:val="115"/>
        </w:rPr>
        <w:t>os públicos o privados. Es decir, es indiferente si la vivienda en cuestión fue construida gracias a aportes públicos o privados para ser catalogada de vivienda social. Dicho carácter, en definitiva, es certificado por el Director de Obras Municipales resp</w:t>
      </w:r>
      <w:r>
        <w:rPr>
          <w:w w:val="115"/>
        </w:rPr>
        <w:t>ectivo, de conformidad al artículo 6.1.4 de la Ordenanza General de Urbanismo y Construcciones.</w:t>
      </w:r>
    </w:p>
    <w:p w:rsidR="00D85DEC" w:rsidRDefault="00D85DEC">
      <w:pPr>
        <w:spacing w:line="379" w:lineRule="auto"/>
        <w:jc w:val="both"/>
        <w:sectPr w:rsidR="00D85DEC">
          <w:pgSz w:w="12240" w:h="15840"/>
          <w:pgMar w:top="1340" w:right="1580" w:bottom="280" w:left="1600" w:header="720" w:footer="720" w:gutter="0"/>
          <w:cols w:space="720"/>
        </w:sectPr>
      </w:pPr>
    </w:p>
    <w:p w:rsidR="00D85DEC" w:rsidRDefault="00A71C4D">
      <w:pPr>
        <w:pStyle w:val="Textoindependiente"/>
        <w:spacing w:before="86" w:line="379" w:lineRule="auto"/>
        <w:ind w:left="102" w:right="116"/>
        <w:jc w:val="both"/>
      </w:pPr>
      <w:r>
        <w:rPr>
          <w:w w:val="115"/>
        </w:rPr>
        <w:lastRenderedPageBreak/>
        <w:t>8.- Como fundamentos de la incorporación de un régimen de inembargabilidad expreso,</w:t>
      </w:r>
      <w:r>
        <w:rPr>
          <w:spacing w:val="80"/>
          <w:w w:val="115"/>
        </w:rPr>
        <w:t xml:space="preserve"> </w:t>
      </w:r>
      <w:r>
        <w:rPr>
          <w:w w:val="115"/>
        </w:rPr>
        <w:t>general y permanente</w:t>
      </w:r>
      <w:r>
        <w:rPr>
          <w:spacing w:val="13"/>
          <w:w w:val="115"/>
        </w:rPr>
        <w:t xml:space="preserve"> </w:t>
      </w:r>
      <w:r>
        <w:rPr>
          <w:w w:val="115"/>
        </w:rPr>
        <w:t>dentro de</w:t>
      </w:r>
      <w:r>
        <w:rPr>
          <w:spacing w:val="13"/>
          <w:w w:val="115"/>
        </w:rPr>
        <w:t xml:space="preserve"> </w:t>
      </w:r>
      <w:r>
        <w:rPr>
          <w:w w:val="115"/>
        </w:rPr>
        <w:t>nuestro</w:t>
      </w:r>
      <w:r>
        <w:rPr>
          <w:spacing w:val="13"/>
          <w:w w:val="115"/>
        </w:rPr>
        <w:t xml:space="preserve"> </w:t>
      </w:r>
      <w:r>
        <w:rPr>
          <w:w w:val="115"/>
        </w:rPr>
        <w:t>sistema, es evitar que</w:t>
      </w:r>
      <w:r>
        <w:rPr>
          <w:spacing w:val="13"/>
          <w:w w:val="115"/>
        </w:rPr>
        <w:t xml:space="preserve"> </w:t>
      </w:r>
      <w:r>
        <w:rPr>
          <w:w w:val="115"/>
        </w:rPr>
        <w:t>prod</w:t>
      </w:r>
      <w:r>
        <w:rPr>
          <w:w w:val="115"/>
        </w:rPr>
        <w:t>ucto de las crisis</w:t>
      </w:r>
      <w:r>
        <w:rPr>
          <w:spacing w:val="13"/>
          <w:w w:val="115"/>
        </w:rPr>
        <w:t xml:space="preserve"> </w:t>
      </w:r>
      <w:r>
        <w:rPr>
          <w:w w:val="115"/>
        </w:rPr>
        <w:t>que</w:t>
      </w:r>
      <w:r>
        <w:rPr>
          <w:spacing w:val="13"/>
          <w:w w:val="115"/>
        </w:rPr>
        <w:t xml:space="preserve"> </w:t>
      </w:r>
      <w:r>
        <w:rPr>
          <w:w w:val="115"/>
        </w:rPr>
        <w:t>vive</w:t>
      </w:r>
      <w:r>
        <w:rPr>
          <w:spacing w:val="40"/>
          <w:w w:val="115"/>
        </w:rPr>
        <w:t xml:space="preserve"> </w:t>
      </w:r>
      <w:r>
        <w:rPr>
          <w:w w:val="115"/>
        </w:rPr>
        <w:t>o puede vivir nuestro país, la inestabilidad del mercado financiero y/o laboral, estás viviendas sean sacadas a remate por sentencias judiciales debido a la insolvencia de sus dueños, pero también, y en forma general, resguardar</w:t>
      </w:r>
      <w:r>
        <w:rPr>
          <w:w w:val="115"/>
        </w:rPr>
        <w:t xml:space="preserve"> y amparar el dominio de estas viviendas de manera permanente, con la finalidad de conferir a sus dueños y su grupo familiar, la seguridad y tranquilidad</w:t>
      </w:r>
      <w:r>
        <w:rPr>
          <w:spacing w:val="-1"/>
          <w:w w:val="115"/>
        </w:rPr>
        <w:t xml:space="preserve"> </w:t>
      </w:r>
      <w:r>
        <w:rPr>
          <w:w w:val="115"/>
        </w:rPr>
        <w:t>de que no</w:t>
      </w:r>
      <w:r>
        <w:rPr>
          <w:spacing w:val="-1"/>
          <w:w w:val="115"/>
        </w:rPr>
        <w:t xml:space="preserve"> </w:t>
      </w:r>
      <w:r>
        <w:rPr>
          <w:w w:val="115"/>
        </w:rPr>
        <w:t>perderán</w:t>
      </w:r>
      <w:r>
        <w:rPr>
          <w:spacing w:val="-2"/>
          <w:w w:val="115"/>
        </w:rPr>
        <w:t xml:space="preserve"> </w:t>
      </w:r>
      <w:r>
        <w:rPr>
          <w:w w:val="115"/>
        </w:rPr>
        <w:t>su</w:t>
      </w:r>
      <w:r>
        <w:rPr>
          <w:spacing w:val="-2"/>
          <w:w w:val="115"/>
        </w:rPr>
        <w:t xml:space="preserve"> </w:t>
      </w:r>
      <w:r>
        <w:rPr>
          <w:w w:val="115"/>
        </w:rPr>
        <w:t>hogar</w:t>
      </w:r>
      <w:r>
        <w:rPr>
          <w:spacing w:val="-1"/>
          <w:w w:val="115"/>
        </w:rPr>
        <w:t xml:space="preserve"> </w:t>
      </w:r>
      <w:r>
        <w:rPr>
          <w:w w:val="115"/>
        </w:rPr>
        <w:t>a causa de deudas</w:t>
      </w:r>
      <w:r>
        <w:rPr>
          <w:spacing w:val="-1"/>
          <w:w w:val="115"/>
        </w:rPr>
        <w:t xml:space="preserve"> </w:t>
      </w:r>
      <w:r>
        <w:rPr>
          <w:w w:val="115"/>
        </w:rPr>
        <w:t>impagas, que asegure y</w:t>
      </w:r>
      <w:r>
        <w:rPr>
          <w:spacing w:val="-1"/>
          <w:w w:val="115"/>
        </w:rPr>
        <w:t xml:space="preserve"> </w:t>
      </w:r>
      <w:r>
        <w:rPr>
          <w:w w:val="115"/>
        </w:rPr>
        <w:t>garantice en términos prácticos e</w:t>
      </w:r>
      <w:r>
        <w:rPr>
          <w:w w:val="115"/>
        </w:rPr>
        <w:t>l derecho de las personas a una vida y vivienda digna.</w:t>
      </w:r>
    </w:p>
    <w:p w:rsidR="00D85DEC" w:rsidRDefault="00D85DEC">
      <w:pPr>
        <w:pStyle w:val="Textoindependiente"/>
        <w:spacing w:before="3"/>
        <w:rPr>
          <w:sz w:val="21"/>
        </w:rPr>
      </w:pPr>
    </w:p>
    <w:p w:rsidR="00D85DEC" w:rsidRDefault="00A71C4D">
      <w:pPr>
        <w:pStyle w:val="Textoindependiente"/>
        <w:spacing w:line="379" w:lineRule="auto"/>
        <w:ind w:left="102" w:right="116"/>
        <w:jc w:val="both"/>
      </w:pPr>
      <w:r>
        <w:rPr>
          <w:w w:val="115"/>
        </w:rPr>
        <w:t>9.- La razones humanitarias que fundan el esta iniciática, exigen llevar a cabo acciones concretas y urgentes, para amparar el dominio de esta clase de bienes, e impedir que a causa de deudas impagas,</w:t>
      </w:r>
      <w:r>
        <w:rPr>
          <w:w w:val="115"/>
        </w:rPr>
        <w:t xml:space="preserve"> las cuales muchas de las veces son contraídas para financiar la adquisición de alimentos u otros bienes básicos, indispensables para</w:t>
      </w:r>
      <w:r>
        <w:rPr>
          <w:spacing w:val="40"/>
          <w:w w:val="115"/>
        </w:rPr>
        <w:t xml:space="preserve"> </w:t>
      </w:r>
      <w:r>
        <w:rPr>
          <w:w w:val="115"/>
        </w:rPr>
        <w:t>la subsistencia diaria, se vean expuestos a perder el hogar en donde realizan sus vidas, y de este modo contribuir a rompe</w:t>
      </w:r>
      <w:r>
        <w:rPr>
          <w:w w:val="115"/>
        </w:rPr>
        <w:t>r el círculo vicioso de la pobreza en el que se encuentran millones de chilenos en la actualidad, y asimismo,</w:t>
      </w:r>
      <w:r>
        <w:rPr>
          <w:spacing w:val="26"/>
          <w:w w:val="115"/>
        </w:rPr>
        <w:t xml:space="preserve"> </w:t>
      </w:r>
      <w:r>
        <w:rPr>
          <w:w w:val="115"/>
        </w:rPr>
        <w:t>procurar en términos reales asegurar</w:t>
      </w:r>
      <w:r>
        <w:rPr>
          <w:spacing w:val="27"/>
          <w:w w:val="115"/>
        </w:rPr>
        <w:t xml:space="preserve"> </w:t>
      </w:r>
      <w:r>
        <w:rPr>
          <w:w w:val="115"/>
        </w:rPr>
        <w:t>una vida más tranquila, exenta</w:t>
      </w:r>
      <w:r>
        <w:rPr>
          <w:spacing w:val="40"/>
          <w:w w:val="115"/>
        </w:rPr>
        <w:t xml:space="preserve"> </w:t>
      </w:r>
      <w:r>
        <w:rPr>
          <w:w w:val="115"/>
        </w:rPr>
        <w:t>de la gran angustia que implica el estar a punto de perder la casa.</w:t>
      </w:r>
    </w:p>
    <w:p w:rsidR="00D85DEC" w:rsidRDefault="00D85DEC">
      <w:pPr>
        <w:pStyle w:val="Textoindependiente"/>
        <w:spacing w:before="1"/>
        <w:rPr>
          <w:sz w:val="35"/>
        </w:rPr>
      </w:pPr>
    </w:p>
    <w:p w:rsidR="00D85DEC" w:rsidRDefault="00A71C4D">
      <w:pPr>
        <w:pStyle w:val="Textoindependiente"/>
        <w:ind w:left="102"/>
        <w:jc w:val="both"/>
      </w:pPr>
      <w:r>
        <w:rPr>
          <w:w w:val="115"/>
          <w:u w:val="single"/>
        </w:rPr>
        <w:t>Objetivos</w:t>
      </w:r>
      <w:r>
        <w:rPr>
          <w:spacing w:val="6"/>
          <w:w w:val="115"/>
          <w:u w:val="single"/>
        </w:rPr>
        <w:t xml:space="preserve"> </w:t>
      </w:r>
      <w:r>
        <w:rPr>
          <w:w w:val="115"/>
          <w:u w:val="single"/>
        </w:rPr>
        <w:t>de</w:t>
      </w:r>
      <w:r>
        <w:rPr>
          <w:spacing w:val="8"/>
          <w:w w:val="115"/>
          <w:u w:val="single"/>
        </w:rPr>
        <w:t xml:space="preserve"> </w:t>
      </w:r>
      <w:r>
        <w:rPr>
          <w:w w:val="115"/>
          <w:u w:val="single"/>
        </w:rPr>
        <w:t>la</w:t>
      </w:r>
      <w:r>
        <w:rPr>
          <w:spacing w:val="7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Moción:</w:t>
      </w:r>
    </w:p>
    <w:p w:rsidR="00D85DEC" w:rsidRDefault="00A71C4D">
      <w:pPr>
        <w:pStyle w:val="Textoindependiente"/>
        <w:spacing w:before="146" w:line="379" w:lineRule="auto"/>
        <w:ind w:left="102" w:right="116"/>
        <w:jc w:val="both"/>
      </w:pPr>
      <w:r>
        <w:rPr>
          <w:w w:val="115"/>
        </w:rPr>
        <w:t>1.- Establecer legalmente el concepto de vivienda social en torno a su evalúo fiscal, independiente si fueron adquiridas o no a través de subsidios fiscales y la función que cumple en cuanto ser la única vivienda del deudor y su fam</w:t>
      </w:r>
      <w:r>
        <w:rPr>
          <w:w w:val="115"/>
        </w:rPr>
        <w:t>ilia.</w:t>
      </w:r>
    </w:p>
    <w:p w:rsidR="00D85DEC" w:rsidRDefault="00D85DEC">
      <w:pPr>
        <w:pStyle w:val="Textoindependiente"/>
        <w:spacing w:before="10"/>
        <w:rPr>
          <w:sz w:val="34"/>
        </w:rPr>
      </w:pPr>
    </w:p>
    <w:p w:rsidR="00D85DEC" w:rsidRDefault="00A71C4D">
      <w:pPr>
        <w:pStyle w:val="Textoindependiente"/>
        <w:spacing w:line="379" w:lineRule="auto"/>
        <w:ind w:left="102" w:right="116"/>
        <w:jc w:val="both"/>
      </w:pPr>
      <w:r>
        <w:rPr>
          <w:w w:val="115"/>
        </w:rPr>
        <w:t>2.- Establecer una inembargabilidad permanente respecto de aquellas viviendas que, conforme a la presente propuesta, puedan ser conceptualizadas como sociales.</w:t>
      </w:r>
    </w:p>
    <w:p w:rsidR="00D85DEC" w:rsidRDefault="00D85DEC">
      <w:pPr>
        <w:pStyle w:val="Textoindependiente"/>
        <w:spacing w:before="9"/>
        <w:rPr>
          <w:sz w:val="34"/>
        </w:rPr>
      </w:pPr>
    </w:p>
    <w:p w:rsidR="00D85DEC" w:rsidRDefault="00A71C4D">
      <w:pPr>
        <w:pStyle w:val="Textoindependiente"/>
        <w:spacing w:line="379" w:lineRule="auto"/>
        <w:ind w:left="102" w:right="115"/>
        <w:jc w:val="both"/>
      </w:pPr>
      <w:r>
        <w:rPr>
          <w:w w:val="115"/>
        </w:rPr>
        <w:t>3.- Dentro del concepto de vivienda social, se establece un máximo de valor para su inem</w:t>
      </w:r>
      <w:r>
        <w:rPr>
          <w:w w:val="115"/>
        </w:rPr>
        <w:t>bargabilidad más acorde con la actualidad, de los procesos inflacionarios que han</w:t>
      </w:r>
      <w:r>
        <w:rPr>
          <w:spacing w:val="80"/>
          <w:w w:val="115"/>
        </w:rPr>
        <w:t xml:space="preserve"> </w:t>
      </w:r>
      <w:r>
        <w:rPr>
          <w:w w:val="115"/>
        </w:rPr>
        <w:t>afectado al país, que han aumentado y continuaran aumentado considerablemente el valor de las viviendas, así como de la especulación inmobiliaria</w:t>
      </w:r>
    </w:p>
    <w:p w:rsidR="00D85DEC" w:rsidRDefault="00D85DEC">
      <w:pPr>
        <w:pStyle w:val="Textoindependiente"/>
        <w:spacing w:before="10"/>
        <w:rPr>
          <w:sz w:val="34"/>
        </w:rPr>
      </w:pPr>
    </w:p>
    <w:p w:rsidR="00D85DEC" w:rsidRDefault="00A71C4D">
      <w:pPr>
        <w:pStyle w:val="Textoindependiente"/>
        <w:spacing w:line="381" w:lineRule="auto"/>
        <w:ind w:left="102" w:right="114"/>
        <w:jc w:val="both"/>
      </w:pPr>
      <w:r>
        <w:rPr>
          <w:w w:val="115"/>
        </w:rPr>
        <w:t>4.- Establecer un límite ma</w:t>
      </w:r>
      <w:r>
        <w:rPr>
          <w:w w:val="115"/>
        </w:rPr>
        <w:t>yor en relación al avalúo del bien raíz, a 800 UF., para que sean objeto de protección, independiente que sea adquirido o no con subsidios estatales.</w:t>
      </w:r>
    </w:p>
    <w:p w:rsidR="00D85DEC" w:rsidRDefault="00D85DEC">
      <w:pPr>
        <w:spacing w:line="381" w:lineRule="auto"/>
        <w:jc w:val="both"/>
        <w:sectPr w:rsidR="00D85DEC">
          <w:pgSz w:w="12240" w:h="15840"/>
          <w:pgMar w:top="1340" w:right="1580" w:bottom="280" w:left="1600" w:header="720" w:footer="720" w:gutter="0"/>
          <w:cols w:space="720"/>
        </w:sectPr>
      </w:pPr>
    </w:p>
    <w:p w:rsidR="00D85DEC" w:rsidRDefault="00A71C4D">
      <w:pPr>
        <w:pStyle w:val="Textoindependiente"/>
        <w:spacing w:before="87" w:line="379" w:lineRule="auto"/>
        <w:ind w:left="102" w:right="118"/>
        <w:jc w:val="both"/>
      </w:pPr>
      <w:r>
        <w:rPr>
          <w:w w:val="120"/>
        </w:rPr>
        <w:t>5.- Establecer como única excepción a la inembargabilidad, la ejecución de hipotecas</w:t>
      </w:r>
      <w:r>
        <w:rPr>
          <w:w w:val="120"/>
        </w:rPr>
        <w:t xml:space="preserve"> que tengan por objeto garantizar créditos hipotecarios destinados a financiar su adquisición, construcción o mejora respectiva y sus sucesivas reprogramaciones, de modo de no desincentivar</w:t>
      </w:r>
      <w:r>
        <w:rPr>
          <w:spacing w:val="-2"/>
          <w:w w:val="120"/>
        </w:rPr>
        <w:t xml:space="preserve"> </w:t>
      </w:r>
      <w:r>
        <w:rPr>
          <w:w w:val="120"/>
        </w:rPr>
        <w:t>el</w:t>
      </w:r>
      <w:r>
        <w:rPr>
          <w:spacing w:val="-5"/>
          <w:w w:val="120"/>
        </w:rPr>
        <w:t xml:space="preserve"> </w:t>
      </w:r>
      <w:r>
        <w:rPr>
          <w:w w:val="120"/>
        </w:rPr>
        <w:t>otorgamiento</w:t>
      </w:r>
      <w:r>
        <w:rPr>
          <w:spacing w:val="-1"/>
          <w:w w:val="120"/>
        </w:rPr>
        <w:t xml:space="preserve"> </w:t>
      </w:r>
      <w:r>
        <w:rPr>
          <w:w w:val="120"/>
        </w:rPr>
        <w:t>de</w:t>
      </w:r>
      <w:r>
        <w:rPr>
          <w:spacing w:val="-4"/>
          <w:w w:val="120"/>
        </w:rPr>
        <w:t xml:space="preserve"> </w:t>
      </w:r>
      <w:r>
        <w:rPr>
          <w:w w:val="120"/>
        </w:rPr>
        <w:t>créditos</w:t>
      </w:r>
      <w:r>
        <w:rPr>
          <w:spacing w:val="-2"/>
          <w:w w:val="120"/>
        </w:rPr>
        <w:t xml:space="preserve"> </w:t>
      </w:r>
      <w:r>
        <w:rPr>
          <w:w w:val="120"/>
        </w:rPr>
        <w:t>para</w:t>
      </w:r>
      <w:r>
        <w:rPr>
          <w:spacing w:val="-1"/>
          <w:w w:val="120"/>
        </w:rPr>
        <w:t xml:space="preserve"> </w:t>
      </w:r>
      <w:r>
        <w:rPr>
          <w:w w:val="120"/>
        </w:rPr>
        <w:t>su</w:t>
      </w:r>
      <w:r>
        <w:rPr>
          <w:spacing w:val="-6"/>
          <w:w w:val="120"/>
        </w:rPr>
        <w:t xml:space="preserve"> </w:t>
      </w:r>
      <w:r>
        <w:rPr>
          <w:w w:val="120"/>
        </w:rPr>
        <w:t>adquisición</w:t>
      </w:r>
      <w:r>
        <w:rPr>
          <w:spacing w:val="-3"/>
          <w:w w:val="120"/>
        </w:rPr>
        <w:t xml:space="preserve"> </w:t>
      </w:r>
      <w:r>
        <w:rPr>
          <w:w w:val="120"/>
        </w:rPr>
        <w:t>y</w:t>
      </w:r>
      <w:r>
        <w:rPr>
          <w:spacing w:val="-2"/>
          <w:w w:val="120"/>
        </w:rPr>
        <w:t xml:space="preserve"> </w:t>
      </w:r>
      <w:r>
        <w:rPr>
          <w:w w:val="120"/>
        </w:rPr>
        <w:t>mejoramiento.</w:t>
      </w:r>
    </w:p>
    <w:p w:rsidR="00D85DEC" w:rsidRDefault="00D85DEC">
      <w:pPr>
        <w:pStyle w:val="Textoindependiente"/>
        <w:rPr>
          <w:sz w:val="26"/>
        </w:rPr>
      </w:pPr>
    </w:p>
    <w:p w:rsidR="00D85DEC" w:rsidRDefault="00D85DEC">
      <w:pPr>
        <w:pStyle w:val="Textoindependiente"/>
        <w:spacing w:before="9"/>
      </w:pPr>
    </w:p>
    <w:p w:rsidR="00D85DEC" w:rsidRDefault="00A71C4D">
      <w:pPr>
        <w:pStyle w:val="Textoindependiente"/>
        <w:ind w:left="102"/>
        <w:jc w:val="both"/>
      </w:pPr>
      <w:r>
        <w:rPr>
          <w:w w:val="120"/>
          <w:u w:val="single"/>
        </w:rPr>
        <w:t>Proyecto</w:t>
      </w:r>
      <w:r>
        <w:rPr>
          <w:spacing w:val="-13"/>
          <w:w w:val="120"/>
          <w:u w:val="single"/>
        </w:rPr>
        <w:t xml:space="preserve"> </w:t>
      </w:r>
      <w:r>
        <w:rPr>
          <w:w w:val="120"/>
          <w:u w:val="single"/>
        </w:rPr>
        <w:t>de</w:t>
      </w:r>
      <w:r>
        <w:rPr>
          <w:spacing w:val="-12"/>
          <w:w w:val="120"/>
          <w:u w:val="single"/>
        </w:rPr>
        <w:t xml:space="preserve"> </w:t>
      </w:r>
      <w:r>
        <w:rPr>
          <w:spacing w:val="-4"/>
          <w:w w:val="120"/>
          <w:u w:val="single"/>
        </w:rPr>
        <w:t>Ley:</w:t>
      </w:r>
    </w:p>
    <w:p w:rsidR="00D85DEC" w:rsidRDefault="00D85DEC">
      <w:pPr>
        <w:pStyle w:val="Textoindependiente"/>
        <w:spacing w:before="1"/>
        <w:rPr>
          <w:sz w:val="17"/>
        </w:rPr>
      </w:pPr>
    </w:p>
    <w:p w:rsidR="00D85DEC" w:rsidRDefault="00A71C4D">
      <w:pPr>
        <w:pStyle w:val="Textoindependiente"/>
        <w:spacing w:before="111" w:line="379" w:lineRule="auto"/>
        <w:ind w:left="102" w:right="121"/>
        <w:jc w:val="both"/>
      </w:pPr>
      <w:r>
        <w:rPr>
          <w:w w:val="115"/>
        </w:rPr>
        <w:t>Artículo primero: Para los efectos de esta Ley, se entenderá como vivienda social, aquella de carácter</w:t>
      </w:r>
      <w:r>
        <w:rPr>
          <w:spacing w:val="-3"/>
          <w:w w:val="115"/>
        </w:rPr>
        <w:t xml:space="preserve"> </w:t>
      </w:r>
      <w:r>
        <w:rPr>
          <w:w w:val="115"/>
        </w:rPr>
        <w:t>definitivo, que constituya la</w:t>
      </w:r>
      <w:r>
        <w:rPr>
          <w:spacing w:val="-1"/>
          <w:w w:val="115"/>
        </w:rPr>
        <w:t xml:space="preserve"> </w:t>
      </w:r>
      <w:r>
        <w:rPr>
          <w:w w:val="115"/>
        </w:rPr>
        <w:t>única</w:t>
      </w:r>
      <w:r>
        <w:rPr>
          <w:spacing w:val="-1"/>
          <w:w w:val="115"/>
        </w:rPr>
        <w:t xml:space="preserve"> </w:t>
      </w:r>
      <w:r>
        <w:rPr>
          <w:w w:val="115"/>
        </w:rPr>
        <w:t>vivienda</w:t>
      </w:r>
      <w:r>
        <w:rPr>
          <w:spacing w:val="-1"/>
          <w:w w:val="115"/>
        </w:rPr>
        <w:t xml:space="preserve"> </w:t>
      </w:r>
      <w:r>
        <w:rPr>
          <w:w w:val="115"/>
        </w:rPr>
        <w:t>del deudor y/o</w:t>
      </w:r>
      <w:r>
        <w:rPr>
          <w:spacing w:val="-1"/>
          <w:w w:val="115"/>
        </w:rPr>
        <w:t xml:space="preserve"> </w:t>
      </w:r>
      <w:r>
        <w:rPr>
          <w:w w:val="115"/>
        </w:rPr>
        <w:t>de su</w:t>
      </w:r>
      <w:r>
        <w:rPr>
          <w:spacing w:val="-4"/>
          <w:w w:val="115"/>
        </w:rPr>
        <w:t xml:space="preserve"> </w:t>
      </w:r>
      <w:r>
        <w:rPr>
          <w:w w:val="115"/>
        </w:rPr>
        <w:t>familia, y</w:t>
      </w:r>
      <w:r>
        <w:rPr>
          <w:spacing w:val="-3"/>
          <w:w w:val="115"/>
        </w:rPr>
        <w:t xml:space="preserve"> </w:t>
      </w:r>
      <w:r>
        <w:rPr>
          <w:w w:val="115"/>
        </w:rPr>
        <w:t>que</w:t>
      </w:r>
      <w:r>
        <w:rPr>
          <w:spacing w:val="-1"/>
          <w:w w:val="115"/>
        </w:rPr>
        <w:t xml:space="preserve"> </w:t>
      </w:r>
      <w:r>
        <w:rPr>
          <w:w w:val="115"/>
        </w:rPr>
        <w:t>adquirida o no a través de subsidio fiscal, tenga un avalúo fiscal que no excede de 800 UF.</w:t>
      </w:r>
    </w:p>
    <w:p w:rsidR="00D85DEC" w:rsidRDefault="00A71C4D">
      <w:pPr>
        <w:pStyle w:val="Textoindependiente"/>
        <w:spacing w:before="159" w:line="379" w:lineRule="auto"/>
        <w:ind w:left="102" w:right="117"/>
        <w:jc w:val="both"/>
      </w:pPr>
      <w:r>
        <w:rPr>
          <w:spacing w:val="-2"/>
          <w:w w:val="120"/>
        </w:rPr>
        <w:t>Artículo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segundo: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Las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viviendas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sociales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que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refiere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la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presente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Ley,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no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serán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 xml:space="preserve">embargables, </w:t>
      </w:r>
      <w:r>
        <w:rPr>
          <w:w w:val="120"/>
        </w:rPr>
        <w:t>excepto</w:t>
      </w:r>
      <w:r>
        <w:rPr>
          <w:spacing w:val="-16"/>
          <w:w w:val="120"/>
        </w:rPr>
        <w:t xml:space="preserve"> </w:t>
      </w:r>
      <w:r>
        <w:rPr>
          <w:w w:val="120"/>
        </w:rPr>
        <w:t>para</w:t>
      </w:r>
      <w:r>
        <w:rPr>
          <w:spacing w:val="-15"/>
          <w:w w:val="120"/>
        </w:rPr>
        <w:t xml:space="preserve"> </w:t>
      </w:r>
      <w:r>
        <w:rPr>
          <w:w w:val="120"/>
        </w:rPr>
        <w:t>la</w:t>
      </w:r>
      <w:r>
        <w:rPr>
          <w:spacing w:val="-15"/>
          <w:w w:val="120"/>
        </w:rPr>
        <w:t xml:space="preserve"> </w:t>
      </w:r>
      <w:r>
        <w:rPr>
          <w:w w:val="120"/>
        </w:rPr>
        <w:t>ejecución</w:t>
      </w:r>
      <w:r>
        <w:rPr>
          <w:spacing w:val="-15"/>
          <w:w w:val="120"/>
        </w:rPr>
        <w:t xml:space="preserve"> </w:t>
      </w:r>
      <w:r>
        <w:rPr>
          <w:w w:val="120"/>
        </w:rPr>
        <w:t>de</w:t>
      </w:r>
      <w:r>
        <w:rPr>
          <w:spacing w:val="-15"/>
          <w:w w:val="120"/>
        </w:rPr>
        <w:t xml:space="preserve"> </w:t>
      </w:r>
      <w:r>
        <w:rPr>
          <w:w w:val="120"/>
        </w:rPr>
        <w:t>hipotecas</w:t>
      </w:r>
      <w:r>
        <w:rPr>
          <w:spacing w:val="-15"/>
          <w:w w:val="120"/>
        </w:rPr>
        <w:t xml:space="preserve"> </w:t>
      </w:r>
      <w:r>
        <w:rPr>
          <w:w w:val="120"/>
        </w:rPr>
        <w:t>que</w:t>
      </w:r>
      <w:r>
        <w:rPr>
          <w:spacing w:val="-15"/>
          <w:w w:val="120"/>
        </w:rPr>
        <w:t xml:space="preserve"> </w:t>
      </w:r>
      <w:r>
        <w:rPr>
          <w:w w:val="120"/>
        </w:rPr>
        <w:t>tengan</w:t>
      </w:r>
      <w:r>
        <w:rPr>
          <w:spacing w:val="-15"/>
          <w:w w:val="120"/>
        </w:rPr>
        <w:t xml:space="preserve"> </w:t>
      </w:r>
      <w:r>
        <w:rPr>
          <w:w w:val="120"/>
        </w:rPr>
        <w:t>por</w:t>
      </w:r>
      <w:r>
        <w:rPr>
          <w:spacing w:val="-15"/>
          <w:w w:val="120"/>
        </w:rPr>
        <w:t xml:space="preserve"> </w:t>
      </w:r>
      <w:r>
        <w:rPr>
          <w:w w:val="120"/>
        </w:rPr>
        <w:t>objeto</w:t>
      </w:r>
      <w:r>
        <w:rPr>
          <w:spacing w:val="-15"/>
          <w:w w:val="120"/>
        </w:rPr>
        <w:t xml:space="preserve"> </w:t>
      </w:r>
      <w:r>
        <w:rPr>
          <w:w w:val="120"/>
        </w:rPr>
        <w:t>garantiza</w:t>
      </w:r>
      <w:r>
        <w:rPr>
          <w:w w:val="120"/>
        </w:rPr>
        <w:t>r</w:t>
      </w:r>
      <w:r>
        <w:rPr>
          <w:spacing w:val="-14"/>
          <w:w w:val="120"/>
        </w:rPr>
        <w:t xml:space="preserve"> </w:t>
      </w:r>
      <w:r>
        <w:rPr>
          <w:w w:val="120"/>
        </w:rPr>
        <w:t>créditos</w:t>
      </w:r>
      <w:r>
        <w:rPr>
          <w:spacing w:val="-14"/>
          <w:w w:val="120"/>
        </w:rPr>
        <w:t xml:space="preserve"> </w:t>
      </w:r>
      <w:r>
        <w:rPr>
          <w:w w:val="120"/>
        </w:rPr>
        <w:t xml:space="preserve">hipotecarios destinados a financiar su adquisición, construcción o mejora respectiva y sus sucesivas </w:t>
      </w:r>
      <w:r>
        <w:rPr>
          <w:spacing w:val="-2"/>
          <w:w w:val="120"/>
        </w:rPr>
        <w:t>reprogramaciones.</w:t>
      </w:r>
    </w:p>
    <w:p w:rsidR="00D85DEC" w:rsidRDefault="00D85DEC">
      <w:pPr>
        <w:pStyle w:val="Textoindependiente"/>
        <w:rPr>
          <w:sz w:val="20"/>
        </w:rPr>
      </w:pPr>
    </w:p>
    <w:p w:rsidR="00D85DEC" w:rsidRDefault="00D85DEC">
      <w:pPr>
        <w:pStyle w:val="Textoindependiente"/>
        <w:rPr>
          <w:sz w:val="20"/>
        </w:rPr>
      </w:pPr>
    </w:p>
    <w:p w:rsidR="00D85DEC" w:rsidRDefault="00D85DEC">
      <w:pPr>
        <w:pStyle w:val="Textoindependiente"/>
        <w:rPr>
          <w:sz w:val="20"/>
        </w:rPr>
      </w:pPr>
    </w:p>
    <w:p w:rsidR="00D85DEC" w:rsidRDefault="00D85DEC">
      <w:pPr>
        <w:pStyle w:val="Textoindependiente"/>
        <w:rPr>
          <w:sz w:val="20"/>
        </w:rPr>
      </w:pPr>
    </w:p>
    <w:p w:rsidR="00D85DEC" w:rsidRDefault="00A71C4D">
      <w:pPr>
        <w:pStyle w:val="Textoindependiente"/>
        <w:spacing w:before="1"/>
        <w:rPr>
          <w:sz w:val="12"/>
        </w:rPr>
      </w:pPr>
      <w:r>
        <w:pict>
          <v:group id="docshapegroup1" o:spid="_x0000_s1026" style="position:absolute;margin-left:194.25pt;margin-top:8.15pt;width:222pt;height:132pt;z-index:-251657216;mso-wrap-distance-left:0;mso-wrap-distance-right:0;mso-position-horizontal-relative:page" coordorigin="3885,163" coordsize="4440,2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3885;top:162;width:4440;height:264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3885;top:162;width:4440;height:2640" filled="f" stroked="f">
              <v:textbox inset="0,0,0,0">
                <w:txbxContent>
                  <w:p w:rsidR="00D85DEC" w:rsidRDefault="00D85DEC">
                    <w:pPr>
                      <w:rPr>
                        <w:sz w:val="26"/>
                      </w:rPr>
                    </w:pPr>
                  </w:p>
                  <w:p w:rsidR="00D85DEC" w:rsidRDefault="00D85DEC">
                    <w:pPr>
                      <w:rPr>
                        <w:sz w:val="26"/>
                      </w:rPr>
                    </w:pPr>
                  </w:p>
                  <w:p w:rsidR="00D85DEC" w:rsidRDefault="00D85DEC">
                    <w:pPr>
                      <w:rPr>
                        <w:sz w:val="26"/>
                      </w:rPr>
                    </w:pPr>
                  </w:p>
                  <w:p w:rsidR="00D85DEC" w:rsidRDefault="00D85DEC">
                    <w:pPr>
                      <w:spacing w:before="4"/>
                      <w:rPr>
                        <w:sz w:val="37"/>
                      </w:rPr>
                    </w:pPr>
                  </w:p>
                  <w:p w:rsidR="00D85DEC" w:rsidRDefault="00A71C4D">
                    <w:pPr>
                      <w:ind w:left="944" w:right="916"/>
                      <w:jc w:val="center"/>
                    </w:pPr>
                    <w:r>
                      <w:rPr>
                        <w:w w:val="115"/>
                      </w:rPr>
                      <w:t>Daniel</w:t>
                    </w:r>
                    <w:r>
                      <w:rPr>
                        <w:spacing w:val="12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Manouchehri</w:t>
                    </w:r>
                    <w:r>
                      <w:rPr>
                        <w:spacing w:val="13"/>
                        <w:w w:val="115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</w:rPr>
                      <w:t>Lobos.</w:t>
                    </w:r>
                  </w:p>
                  <w:p w:rsidR="00D85DEC" w:rsidRDefault="00D85DEC">
                    <w:pPr>
                      <w:spacing w:before="8"/>
                      <w:rPr>
                        <w:sz w:val="26"/>
                      </w:rPr>
                    </w:pPr>
                  </w:p>
                  <w:p w:rsidR="00D85DEC" w:rsidRDefault="00A71C4D">
                    <w:pPr>
                      <w:ind w:left="944" w:right="911"/>
                      <w:jc w:val="center"/>
                    </w:pPr>
                    <w:r>
                      <w:rPr>
                        <w:spacing w:val="-2"/>
                        <w:w w:val="120"/>
                      </w:rPr>
                      <w:t>Diputado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85DEC">
      <w:pgSz w:w="12240" w:h="15840"/>
      <w:pgMar w:top="17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5DEC"/>
    <w:rsid w:val="00A71C4D"/>
    <w:rsid w:val="00D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8CA3577-3CAE-4DE3-9B05-A282979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6798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 silva heredia</dc:creator>
  <cp:lastModifiedBy>Guillermo Diaz Vallejos</cp:lastModifiedBy>
  <cp:revision>1</cp:revision>
  <dcterms:created xsi:type="dcterms:W3CDTF">2022-10-19T18:56:00Z</dcterms:created>
  <dcterms:modified xsi:type="dcterms:W3CDTF">2023-11-06T21:27:00Z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2022-10-19T00:00:00Z</vt:filetime>
  </property>
  <property fmtid="{D5CDD505-2E9C-101B-9397-08002B2CF9AE}" pid="5" name="Producer">
    <vt:lpwstr>Microsoft® Word LTSC</vt:lpwstr>
  </property>
</Properties>
</file>