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292" w:rsidRDefault="00000000">
      <w:pPr>
        <w:tabs>
          <w:tab w:val="left" w:pos="7660"/>
        </w:tabs>
        <w:ind w:left="280"/>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23826"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23826" cy="914400"/>
                    </a:xfrm>
                    <a:prstGeom prst="rect">
                      <a:avLst/>
                    </a:prstGeom>
                  </pic:spPr>
                </pic:pic>
              </a:graphicData>
            </a:graphic>
          </wp:inline>
        </w:drawing>
      </w:r>
    </w:p>
    <w:p w:rsidR="00B10292" w:rsidRDefault="00B10292">
      <w:pPr>
        <w:pStyle w:val="Textoindependiente"/>
        <w:rPr>
          <w:rFonts w:ascii="Times New Roman"/>
          <w:sz w:val="20"/>
        </w:rPr>
      </w:pPr>
    </w:p>
    <w:p w:rsidR="00B10292" w:rsidRDefault="00B10292">
      <w:pPr>
        <w:pStyle w:val="Textoindependiente"/>
        <w:rPr>
          <w:rFonts w:ascii="Times New Roman"/>
          <w:sz w:val="20"/>
        </w:rPr>
      </w:pPr>
    </w:p>
    <w:p w:rsidR="00B10292" w:rsidRDefault="00B10292">
      <w:pPr>
        <w:pStyle w:val="Textoindependiente"/>
        <w:spacing w:before="9"/>
        <w:rPr>
          <w:rFonts w:ascii="Times New Roman"/>
          <w:sz w:val="29"/>
        </w:rPr>
      </w:pPr>
    </w:p>
    <w:p w:rsidR="00B10292" w:rsidRDefault="00000000">
      <w:pPr>
        <w:pStyle w:val="Ttulo1"/>
        <w:spacing w:before="101" w:line="480" w:lineRule="auto"/>
        <w:ind w:right="136"/>
        <w:jc w:val="both"/>
      </w:pPr>
      <w:r>
        <w:t xml:space="preserve">PROYECTO DE LEY QUE HACE APLICABLE EL SILENCIO ADMINISTRATIVO A LAS SOLICITUDES QUE NO SEAN RESUELTAS DENTRO DE PLAZO POR EL CONSEJO DE MONUMENTOS </w:t>
      </w:r>
      <w:r>
        <w:rPr>
          <w:spacing w:val="-2"/>
        </w:rPr>
        <w:t>NACIONALES</w:t>
      </w:r>
    </w:p>
    <w:p w:rsidR="00B10292" w:rsidRDefault="00B10292">
      <w:pPr>
        <w:pStyle w:val="Textoindependiente"/>
        <w:rPr>
          <w:b/>
          <w:sz w:val="26"/>
        </w:rPr>
      </w:pPr>
    </w:p>
    <w:p w:rsidR="00B10292" w:rsidRDefault="00B10292">
      <w:pPr>
        <w:pStyle w:val="Textoindependiente"/>
        <w:rPr>
          <w:b/>
          <w:sz w:val="26"/>
        </w:rPr>
      </w:pPr>
    </w:p>
    <w:p w:rsidR="00B10292" w:rsidRDefault="00B10292">
      <w:pPr>
        <w:pStyle w:val="Textoindependiente"/>
        <w:spacing w:before="1"/>
        <w:rPr>
          <w:b/>
        </w:rPr>
      </w:pPr>
    </w:p>
    <w:p w:rsidR="00B10292" w:rsidRDefault="00000000">
      <w:pPr>
        <w:spacing w:before="1"/>
        <w:ind w:left="100"/>
        <w:rPr>
          <w:b/>
          <w:sz w:val="24"/>
        </w:rPr>
      </w:pPr>
      <w:r>
        <w:rPr>
          <w:b/>
          <w:spacing w:val="-2"/>
          <w:sz w:val="24"/>
        </w:rPr>
        <w:t>Fundamentos</w:t>
      </w:r>
    </w:p>
    <w:p w:rsidR="00B10292" w:rsidRDefault="00B10292">
      <w:pPr>
        <w:pStyle w:val="Textoindependiente"/>
        <w:rPr>
          <w:b/>
          <w:sz w:val="38"/>
        </w:rPr>
      </w:pPr>
    </w:p>
    <w:p w:rsidR="00B10292" w:rsidRDefault="00000000">
      <w:pPr>
        <w:pStyle w:val="Textoindependiente"/>
        <w:spacing w:line="480" w:lineRule="auto"/>
        <w:ind w:left="100" w:right="134"/>
        <w:jc w:val="both"/>
      </w:pPr>
      <w:r>
        <w:t>La Ley 17.288 que legisla sobre Monumentos Nacionales y modifica otros cuerpos legales regula una serie de aspectos relativos a la cultura y el patrimonio nacional, entre los que encontramos la integración y competencias del Consejo de</w:t>
      </w:r>
      <w:r>
        <w:rPr>
          <w:spacing w:val="40"/>
        </w:rPr>
        <w:t xml:space="preserve"> </w:t>
      </w:r>
      <w:r>
        <w:t>Monumentos Nacionales; la definición y procedimientos de declaración de monumentos históricos, públicos, arqueológicos y paleontológicos; la conservación de caracteres ambientales; los santuarios de la naturaleza y la investigación</w:t>
      </w:r>
      <w:r>
        <w:rPr>
          <w:spacing w:val="40"/>
        </w:rPr>
        <w:t xml:space="preserve"> </w:t>
      </w:r>
      <w:r>
        <w:t>científica; los canjes y préstamos entre museos; su registro e inscripción; y las infracciones a dicha normativa con sus respectivas sanciones.</w:t>
      </w:r>
    </w:p>
    <w:p w:rsidR="00B10292" w:rsidRDefault="00000000">
      <w:pPr>
        <w:pStyle w:val="Textoindependiente"/>
        <w:spacing w:before="160" w:line="480" w:lineRule="auto"/>
        <w:ind w:left="100" w:right="136"/>
        <w:jc w:val="both"/>
      </w:pPr>
      <w:r>
        <w:t>El Consejo de Monumentos Nacionales (en adelante, CMN) es el organismo técnico del Estado encargado de la tuición y protección de los Monumentos Nacionales. Depende directamente del Ministerio de las Culturas, las Artes y el Patrimonio, y se encuentra compuesto por distintos actores, entre ellos, el Subsecretario de Patrimonio Cultural, quien lo preside, así como representantes de distintos ministerios</w:t>
      </w:r>
      <w:r>
        <w:rPr>
          <w:spacing w:val="74"/>
        </w:rPr>
        <w:t xml:space="preserve"> </w:t>
      </w:r>
      <w:r>
        <w:t>y</w:t>
      </w:r>
      <w:r>
        <w:rPr>
          <w:spacing w:val="74"/>
        </w:rPr>
        <w:t xml:space="preserve"> </w:t>
      </w:r>
      <w:r>
        <w:t>órganos</w:t>
      </w:r>
      <w:r>
        <w:rPr>
          <w:spacing w:val="59"/>
        </w:rPr>
        <w:t xml:space="preserve"> </w:t>
      </w:r>
      <w:r>
        <w:t>del</w:t>
      </w:r>
      <w:r>
        <w:rPr>
          <w:spacing w:val="59"/>
        </w:rPr>
        <w:t xml:space="preserve"> </w:t>
      </w:r>
      <w:r>
        <w:t>Estado,</w:t>
      </w:r>
      <w:r>
        <w:rPr>
          <w:spacing w:val="59"/>
        </w:rPr>
        <w:t xml:space="preserve"> </w:t>
      </w:r>
      <w:r>
        <w:t>de</w:t>
      </w:r>
      <w:r>
        <w:rPr>
          <w:spacing w:val="59"/>
        </w:rPr>
        <w:t xml:space="preserve"> </w:t>
      </w:r>
      <w:r>
        <w:t>los</w:t>
      </w:r>
      <w:r>
        <w:rPr>
          <w:spacing w:val="59"/>
        </w:rPr>
        <w:t xml:space="preserve"> </w:t>
      </w:r>
      <w:r>
        <w:t>museos,</w:t>
      </w:r>
      <w:r>
        <w:rPr>
          <w:spacing w:val="59"/>
        </w:rPr>
        <w:t xml:space="preserve"> </w:t>
      </w:r>
      <w:r>
        <w:t>sociedades</w:t>
      </w:r>
      <w:r>
        <w:rPr>
          <w:spacing w:val="59"/>
        </w:rPr>
        <w:t xml:space="preserve"> </w:t>
      </w:r>
      <w:r>
        <w:t>culturales,</w:t>
      </w:r>
      <w:r>
        <w:rPr>
          <w:spacing w:val="59"/>
        </w:rPr>
        <w:t xml:space="preserve"> </w:t>
      </w:r>
      <w:r>
        <w:rPr>
          <w:spacing w:val="-2"/>
        </w:rPr>
        <w:t>colegios</w:t>
      </w:r>
    </w:p>
    <w:p w:rsidR="00B10292" w:rsidRDefault="00B10292">
      <w:pPr>
        <w:spacing w:line="480" w:lineRule="auto"/>
        <w:jc w:val="both"/>
        <w:sectPr w:rsidR="00B10292" w:rsidSect="00415848">
          <w:type w:val="continuous"/>
          <w:pgSz w:w="11920" w:h="16840"/>
          <w:pgMar w:top="1620" w:right="1320" w:bottom="280" w:left="1340" w:header="720" w:footer="720" w:gutter="0"/>
          <w:cols w:space="720"/>
        </w:sectPr>
      </w:pPr>
    </w:p>
    <w:p w:rsidR="00B10292" w:rsidRDefault="00000000">
      <w:pPr>
        <w:pStyle w:val="Textoindependiente"/>
        <w:spacing w:before="80" w:line="480" w:lineRule="auto"/>
        <w:ind w:left="100" w:right="134"/>
        <w:jc w:val="both"/>
      </w:pPr>
      <w:r>
        <w:lastRenderedPageBreak/>
        <w:t>profesionales y la academia. Todos ellos sesionan periódicamente y concurren en la adopción de una gran cantidad de decisiones relativas a la conservación del patrimonio y la cultura de nuestro país. Entre las más relevantes, encontramos la declaración de monumentos nacionales y la solicitud del decreto supremo correspondiente, la elaboración</w:t>
      </w:r>
      <w:r>
        <w:rPr>
          <w:spacing w:val="-4"/>
        </w:rPr>
        <w:t xml:space="preserve"> </w:t>
      </w:r>
      <w:r>
        <w:t>de</w:t>
      </w:r>
      <w:r>
        <w:rPr>
          <w:spacing w:val="-4"/>
        </w:rPr>
        <w:t xml:space="preserve"> </w:t>
      </w:r>
      <w:r>
        <w:t>normas</w:t>
      </w:r>
      <w:r>
        <w:rPr>
          <w:spacing w:val="-4"/>
        </w:rPr>
        <w:t xml:space="preserve"> </w:t>
      </w:r>
      <w:r>
        <w:t>de</w:t>
      </w:r>
      <w:r>
        <w:rPr>
          <w:spacing w:val="-4"/>
        </w:rPr>
        <w:t xml:space="preserve"> </w:t>
      </w:r>
      <w:r>
        <w:t>restauración,</w:t>
      </w:r>
      <w:r>
        <w:rPr>
          <w:spacing w:val="-4"/>
        </w:rPr>
        <w:t xml:space="preserve"> </w:t>
      </w:r>
      <w:r>
        <w:t>reparación,</w:t>
      </w:r>
      <w:r>
        <w:rPr>
          <w:spacing w:val="-4"/>
        </w:rPr>
        <w:t xml:space="preserve"> </w:t>
      </w:r>
      <w:r>
        <w:t>conservación y señalización de los monumentos nacionales, así como la concesión de autorizaciones y permisos para excavaciones de carácter histórico, arqueológico, antropológico o paleontológico en</w:t>
      </w:r>
      <w:r>
        <w:rPr>
          <w:spacing w:val="-3"/>
        </w:rPr>
        <w:t xml:space="preserve"> </w:t>
      </w:r>
      <w:r>
        <w:t>cualquier</w:t>
      </w:r>
      <w:r>
        <w:rPr>
          <w:spacing w:val="-3"/>
        </w:rPr>
        <w:t xml:space="preserve"> </w:t>
      </w:r>
      <w:r>
        <w:t>punto</w:t>
      </w:r>
      <w:r>
        <w:rPr>
          <w:spacing w:val="-3"/>
        </w:rPr>
        <w:t xml:space="preserve"> </w:t>
      </w:r>
      <w:r>
        <w:t>del</w:t>
      </w:r>
      <w:r>
        <w:rPr>
          <w:spacing w:val="-3"/>
        </w:rPr>
        <w:t xml:space="preserve"> </w:t>
      </w:r>
      <w:r>
        <w:t>territorio</w:t>
      </w:r>
      <w:r>
        <w:rPr>
          <w:spacing w:val="-3"/>
        </w:rPr>
        <w:t xml:space="preserve"> </w:t>
      </w:r>
      <w:r>
        <w:t>nacional,</w:t>
      </w:r>
      <w:r>
        <w:rPr>
          <w:spacing w:val="-3"/>
        </w:rPr>
        <w:t xml:space="preserve"> </w:t>
      </w:r>
      <w:r>
        <w:t>entre</w:t>
      </w:r>
      <w:r>
        <w:rPr>
          <w:spacing w:val="-3"/>
        </w:rPr>
        <w:t xml:space="preserve"> </w:t>
      </w:r>
      <w:r>
        <w:t>otras importantes atribuciones que la ley le asigna.</w:t>
      </w:r>
    </w:p>
    <w:p w:rsidR="00B10292" w:rsidRDefault="00000000">
      <w:pPr>
        <w:pStyle w:val="Textoindependiente"/>
        <w:spacing w:before="160" w:line="480" w:lineRule="auto"/>
        <w:ind w:left="100" w:right="133"/>
        <w:jc w:val="both"/>
      </w:pPr>
      <w:r>
        <w:t>Esta institución presenta aspectos perfectibles, ya que son conocidas las problemáticas asociadas a su funcionamiento. Por un lado, presenta una estructura centralista y desconectada de la realidad local de los territorios sobre los que ejerce sus funciones, lo que se traduce indefectiblemente en una labor burocrática que genera lentitud en los tiempos de respuesta</w:t>
      </w:r>
      <w:r>
        <w:rPr>
          <w:spacing w:val="-3"/>
        </w:rPr>
        <w:t xml:space="preserve"> </w:t>
      </w:r>
      <w:r>
        <w:t>y,</w:t>
      </w:r>
      <w:r>
        <w:rPr>
          <w:spacing w:val="-3"/>
        </w:rPr>
        <w:t xml:space="preserve"> </w:t>
      </w:r>
      <w:r>
        <w:t>en</w:t>
      </w:r>
      <w:r>
        <w:rPr>
          <w:spacing w:val="-3"/>
        </w:rPr>
        <w:t xml:space="preserve"> </w:t>
      </w:r>
      <w:r>
        <w:t>definitiva,</w:t>
      </w:r>
      <w:r>
        <w:rPr>
          <w:spacing w:val="-3"/>
        </w:rPr>
        <w:t xml:space="preserve"> </w:t>
      </w:r>
      <w:r>
        <w:t>ineficiencia</w:t>
      </w:r>
      <w:r>
        <w:rPr>
          <w:spacing w:val="-3"/>
        </w:rPr>
        <w:t xml:space="preserve"> </w:t>
      </w:r>
      <w:r>
        <w:t>en</w:t>
      </w:r>
      <w:r>
        <w:rPr>
          <w:spacing w:val="-3"/>
        </w:rPr>
        <w:t xml:space="preserve"> </w:t>
      </w:r>
      <w:r>
        <w:t>la</w:t>
      </w:r>
      <w:r>
        <w:rPr>
          <w:spacing w:val="-3"/>
        </w:rPr>
        <w:t xml:space="preserve"> </w:t>
      </w:r>
      <w:r>
        <w:t>gestión efectiva del patrimonio. Por el</w:t>
      </w:r>
      <w:r>
        <w:rPr>
          <w:spacing w:val="-2"/>
        </w:rPr>
        <w:t xml:space="preserve"> </w:t>
      </w:r>
      <w:r>
        <w:t>otro,</w:t>
      </w:r>
      <w:r>
        <w:rPr>
          <w:spacing w:val="-2"/>
        </w:rPr>
        <w:t xml:space="preserve"> </w:t>
      </w:r>
      <w:r>
        <w:t>no</w:t>
      </w:r>
      <w:r>
        <w:rPr>
          <w:spacing w:val="-2"/>
        </w:rPr>
        <w:t xml:space="preserve"> </w:t>
      </w:r>
      <w:r>
        <w:t>existen</w:t>
      </w:r>
      <w:r>
        <w:rPr>
          <w:spacing w:val="-2"/>
        </w:rPr>
        <w:t xml:space="preserve"> </w:t>
      </w:r>
      <w:r>
        <w:t>mecanismos</w:t>
      </w:r>
      <w:r>
        <w:rPr>
          <w:spacing w:val="-2"/>
        </w:rPr>
        <w:t xml:space="preserve"> </w:t>
      </w:r>
      <w:r>
        <w:t>que</w:t>
      </w:r>
      <w:r>
        <w:rPr>
          <w:spacing w:val="-2"/>
        </w:rPr>
        <w:t xml:space="preserve"> </w:t>
      </w:r>
      <w:r>
        <w:t>supongan</w:t>
      </w:r>
      <w:r>
        <w:rPr>
          <w:spacing w:val="-2"/>
        </w:rPr>
        <w:t xml:space="preserve"> </w:t>
      </w:r>
      <w:r>
        <w:t>un</w:t>
      </w:r>
      <w:r>
        <w:rPr>
          <w:spacing w:val="-2"/>
        </w:rPr>
        <w:t xml:space="preserve"> </w:t>
      </w:r>
      <w:r>
        <w:t>control del órgano por las decisiones que adopta, y tampoco existe claridad normativa respecto de los efectos de la falta de respuesta. Esto es</w:t>
      </w:r>
      <w:r>
        <w:rPr>
          <w:spacing w:val="-2"/>
        </w:rPr>
        <w:t xml:space="preserve"> </w:t>
      </w:r>
      <w:r>
        <w:t>grave,</w:t>
      </w:r>
      <w:r>
        <w:rPr>
          <w:spacing w:val="-2"/>
        </w:rPr>
        <w:t xml:space="preserve"> </w:t>
      </w:r>
      <w:r>
        <w:t>ya</w:t>
      </w:r>
      <w:r>
        <w:rPr>
          <w:spacing w:val="-2"/>
        </w:rPr>
        <w:t xml:space="preserve"> </w:t>
      </w:r>
      <w:r>
        <w:t>que</w:t>
      </w:r>
      <w:r>
        <w:rPr>
          <w:spacing w:val="-2"/>
        </w:rPr>
        <w:t xml:space="preserve"> </w:t>
      </w:r>
      <w:r>
        <w:t>las</w:t>
      </w:r>
      <w:r>
        <w:rPr>
          <w:spacing w:val="-2"/>
        </w:rPr>
        <w:t xml:space="preserve"> </w:t>
      </w:r>
      <w:r>
        <w:t>atribuciones del Consejo</w:t>
      </w:r>
      <w:r>
        <w:rPr>
          <w:spacing w:val="-3"/>
        </w:rPr>
        <w:t xml:space="preserve"> </w:t>
      </w:r>
      <w:r>
        <w:t>inciden</w:t>
      </w:r>
      <w:r>
        <w:rPr>
          <w:spacing w:val="-3"/>
        </w:rPr>
        <w:t xml:space="preserve"> </w:t>
      </w:r>
      <w:r>
        <w:t>directamente</w:t>
      </w:r>
      <w:r>
        <w:rPr>
          <w:spacing w:val="-3"/>
        </w:rPr>
        <w:t xml:space="preserve"> </w:t>
      </w:r>
      <w:r>
        <w:t>en</w:t>
      </w:r>
      <w:r>
        <w:rPr>
          <w:spacing w:val="-3"/>
        </w:rPr>
        <w:t xml:space="preserve"> </w:t>
      </w:r>
      <w:r>
        <w:t>la</w:t>
      </w:r>
      <w:r>
        <w:rPr>
          <w:spacing w:val="-3"/>
        </w:rPr>
        <w:t xml:space="preserve"> </w:t>
      </w:r>
      <w:r>
        <w:t>viabilidad</w:t>
      </w:r>
      <w:r>
        <w:rPr>
          <w:spacing w:val="-3"/>
        </w:rPr>
        <w:t xml:space="preserve"> </w:t>
      </w:r>
      <w:r>
        <w:t>económica</w:t>
      </w:r>
      <w:r>
        <w:rPr>
          <w:spacing w:val="-3"/>
        </w:rPr>
        <w:t xml:space="preserve"> </w:t>
      </w:r>
      <w:r>
        <w:t>de</w:t>
      </w:r>
      <w:r>
        <w:rPr>
          <w:spacing w:val="-3"/>
        </w:rPr>
        <w:t xml:space="preserve"> </w:t>
      </w:r>
      <w:r>
        <w:t>una</w:t>
      </w:r>
      <w:r>
        <w:rPr>
          <w:spacing w:val="-3"/>
        </w:rPr>
        <w:t xml:space="preserve"> </w:t>
      </w:r>
      <w:r>
        <w:t>gran</w:t>
      </w:r>
      <w:r>
        <w:rPr>
          <w:spacing w:val="-3"/>
        </w:rPr>
        <w:t xml:space="preserve"> </w:t>
      </w:r>
      <w:r>
        <w:t>cantidad</w:t>
      </w:r>
      <w:r>
        <w:rPr>
          <w:spacing w:val="-3"/>
        </w:rPr>
        <w:t xml:space="preserve"> </w:t>
      </w:r>
      <w:r>
        <w:t>de proyectos, sin que existan consecuencias de ningún tipo que provean de certeza jurídica para los administrados.</w:t>
      </w:r>
    </w:p>
    <w:p w:rsidR="00B10292" w:rsidRDefault="00000000">
      <w:pPr>
        <w:pStyle w:val="Textoindependiente"/>
        <w:spacing w:before="160" w:line="480" w:lineRule="auto"/>
        <w:ind w:left="100" w:right="134"/>
        <w:jc w:val="both"/>
      </w:pPr>
      <w:r>
        <w:t>Pero además, el CMN ha tenido un rendimiento especialmente defectuoso en el último</w:t>
      </w:r>
      <w:r>
        <w:rPr>
          <w:spacing w:val="-2"/>
        </w:rPr>
        <w:t xml:space="preserve"> </w:t>
      </w:r>
      <w:r>
        <w:t>tiempo</w:t>
      </w:r>
      <w:r>
        <w:rPr>
          <w:spacing w:val="-2"/>
        </w:rPr>
        <w:t xml:space="preserve"> </w:t>
      </w:r>
      <w:r>
        <w:t>en</w:t>
      </w:r>
      <w:r>
        <w:rPr>
          <w:spacing w:val="-2"/>
        </w:rPr>
        <w:t xml:space="preserve"> </w:t>
      </w:r>
      <w:r>
        <w:t>la</w:t>
      </w:r>
      <w:r>
        <w:rPr>
          <w:spacing w:val="-2"/>
        </w:rPr>
        <w:t xml:space="preserve"> </w:t>
      </w:r>
      <w:r>
        <w:t>tramitación</w:t>
      </w:r>
      <w:r>
        <w:rPr>
          <w:spacing w:val="-2"/>
        </w:rPr>
        <w:t xml:space="preserve"> </w:t>
      </w:r>
      <w:r>
        <w:t>de</w:t>
      </w:r>
      <w:r>
        <w:rPr>
          <w:spacing w:val="-2"/>
        </w:rPr>
        <w:t xml:space="preserve"> </w:t>
      </w:r>
      <w:r>
        <w:t>las</w:t>
      </w:r>
      <w:r>
        <w:rPr>
          <w:spacing w:val="-2"/>
        </w:rPr>
        <w:t xml:space="preserve"> </w:t>
      </w:r>
      <w:r>
        <w:t>solicitudes</w:t>
      </w:r>
      <w:r>
        <w:rPr>
          <w:spacing w:val="-2"/>
        </w:rPr>
        <w:t xml:space="preserve"> </w:t>
      </w:r>
      <w:r>
        <w:t>que</w:t>
      </w:r>
      <w:r>
        <w:rPr>
          <w:spacing w:val="-2"/>
        </w:rPr>
        <w:t xml:space="preserve"> </w:t>
      </w:r>
      <w:r>
        <w:t>están</w:t>
      </w:r>
      <w:r>
        <w:rPr>
          <w:spacing w:val="-2"/>
        </w:rPr>
        <w:t xml:space="preserve"> </w:t>
      </w:r>
      <w:r>
        <w:t>dentro</w:t>
      </w:r>
      <w:r>
        <w:rPr>
          <w:spacing w:val="-2"/>
        </w:rPr>
        <w:t xml:space="preserve"> </w:t>
      </w:r>
      <w:r>
        <w:t>de</w:t>
      </w:r>
      <w:r>
        <w:rPr>
          <w:spacing w:val="-2"/>
        </w:rPr>
        <w:t xml:space="preserve"> </w:t>
      </w:r>
      <w:r>
        <w:t>la</w:t>
      </w:r>
      <w:r>
        <w:rPr>
          <w:spacing w:val="-2"/>
        </w:rPr>
        <w:t xml:space="preserve"> </w:t>
      </w:r>
      <w:r>
        <w:t>esfera</w:t>
      </w:r>
      <w:r>
        <w:rPr>
          <w:spacing w:val="-2"/>
        </w:rPr>
        <w:t xml:space="preserve"> </w:t>
      </w:r>
      <w:r>
        <w:t>de</w:t>
      </w:r>
      <w:r>
        <w:rPr>
          <w:spacing w:val="-2"/>
        </w:rPr>
        <w:t xml:space="preserve"> </w:t>
      </w:r>
      <w:r>
        <w:t xml:space="preserve">sus competencias. Muestra de ello es el aumento de </w:t>
      </w:r>
      <w:r>
        <w:rPr>
          <w:i/>
        </w:rPr>
        <w:t xml:space="preserve">stock </w:t>
      </w:r>
      <w:r>
        <w:t>experimentado al 31 de diciembre de 2022 en las tramitaciones pendientes detectado por el “Análisis de los permisos</w:t>
      </w:r>
      <w:r>
        <w:rPr>
          <w:spacing w:val="15"/>
        </w:rPr>
        <w:t xml:space="preserve"> </w:t>
      </w:r>
      <w:r>
        <w:t>sectoriales</w:t>
      </w:r>
      <w:r>
        <w:rPr>
          <w:spacing w:val="15"/>
        </w:rPr>
        <w:t xml:space="preserve"> </w:t>
      </w:r>
      <w:r>
        <w:t>prioritarios</w:t>
      </w:r>
      <w:r>
        <w:rPr>
          <w:spacing w:val="15"/>
        </w:rPr>
        <w:t xml:space="preserve"> </w:t>
      </w:r>
      <w:r>
        <w:t>para</w:t>
      </w:r>
      <w:r>
        <w:rPr>
          <w:spacing w:val="15"/>
        </w:rPr>
        <w:t xml:space="preserve"> </w:t>
      </w:r>
      <w:r>
        <w:t>la</w:t>
      </w:r>
      <w:r>
        <w:rPr>
          <w:spacing w:val="15"/>
        </w:rPr>
        <w:t xml:space="preserve"> </w:t>
      </w:r>
      <w:r>
        <w:t>inversión</w:t>
      </w:r>
      <w:r>
        <w:rPr>
          <w:spacing w:val="15"/>
        </w:rPr>
        <w:t xml:space="preserve"> </w:t>
      </w:r>
      <w:r>
        <w:t>en</w:t>
      </w:r>
      <w:r>
        <w:rPr>
          <w:spacing w:val="15"/>
        </w:rPr>
        <w:t xml:space="preserve"> </w:t>
      </w:r>
      <w:r>
        <w:t>Chile”</w:t>
      </w:r>
      <w:r>
        <w:rPr>
          <w:spacing w:val="15"/>
        </w:rPr>
        <w:t xml:space="preserve"> </w:t>
      </w:r>
      <w:r>
        <w:t xml:space="preserve">de la Comisión </w:t>
      </w:r>
      <w:r>
        <w:rPr>
          <w:spacing w:val="-2"/>
        </w:rPr>
        <w:t>Nacional</w:t>
      </w:r>
    </w:p>
    <w:p w:rsidR="00B10292" w:rsidRDefault="00B10292">
      <w:pPr>
        <w:spacing w:line="480" w:lineRule="auto"/>
        <w:jc w:val="both"/>
        <w:sectPr w:rsidR="00B10292" w:rsidSect="00415848">
          <w:pgSz w:w="11920" w:h="16840"/>
          <w:pgMar w:top="1360" w:right="1320" w:bottom="280" w:left="1340" w:header="720" w:footer="720" w:gutter="0"/>
          <w:cols w:space="720"/>
        </w:sectPr>
      </w:pPr>
    </w:p>
    <w:p w:rsidR="00B10292" w:rsidRDefault="00000000">
      <w:pPr>
        <w:pStyle w:val="Textoindependiente"/>
        <w:spacing w:before="80" w:line="480" w:lineRule="auto"/>
        <w:ind w:left="100" w:right="132"/>
        <w:jc w:val="both"/>
      </w:pPr>
      <w:r>
        <w:lastRenderedPageBreak/>
        <w:t>de Evaluación y Productividad, no obstante no tratarse de permisos que revisten mayor nivel de complejidad, según declara el propio documento. En este</w:t>
      </w:r>
      <w:r>
        <w:rPr>
          <w:spacing w:val="-3"/>
        </w:rPr>
        <w:t xml:space="preserve"> </w:t>
      </w:r>
      <w:r>
        <w:t>informe,</w:t>
      </w:r>
      <w:r>
        <w:rPr>
          <w:spacing w:val="-3"/>
        </w:rPr>
        <w:t xml:space="preserve"> </w:t>
      </w:r>
      <w:r>
        <w:t>el caso del CMN ha sido calificado como “especialmente complejo”</w:t>
      </w:r>
      <w:r>
        <w:rPr>
          <w:vertAlign w:val="superscript"/>
        </w:rPr>
        <w:t>1</w:t>
      </w:r>
      <w:r>
        <w:t>.</w:t>
      </w:r>
    </w:p>
    <w:p w:rsidR="00B10292" w:rsidRDefault="00B10292">
      <w:pPr>
        <w:pStyle w:val="Textoindependiente"/>
        <w:spacing w:before="8"/>
        <w:rPr>
          <w:sz w:val="16"/>
        </w:rPr>
      </w:pPr>
    </w:p>
    <w:p w:rsidR="00B10292" w:rsidRDefault="00000000">
      <w:pPr>
        <w:pStyle w:val="Textoindependiente"/>
        <w:ind w:left="130" w:right="-87"/>
        <w:rPr>
          <w:sz w:val="20"/>
        </w:rPr>
      </w:pPr>
      <w:r>
        <w:rPr>
          <w:noProof/>
          <w:sz w:val="20"/>
        </w:rPr>
        <w:drawing>
          <wp:inline distT="0" distB="0" distL="0" distR="0">
            <wp:extent cx="5824080" cy="310553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824080" cy="3105530"/>
                    </a:xfrm>
                    <a:prstGeom prst="rect">
                      <a:avLst/>
                    </a:prstGeom>
                  </pic:spPr>
                </pic:pic>
              </a:graphicData>
            </a:graphic>
          </wp:inline>
        </w:drawing>
      </w:r>
    </w:p>
    <w:p w:rsidR="00B10292" w:rsidRDefault="00B10292">
      <w:pPr>
        <w:pStyle w:val="Textoindependiente"/>
        <w:rPr>
          <w:sz w:val="20"/>
        </w:rPr>
      </w:pPr>
    </w:p>
    <w:p w:rsidR="00B10292" w:rsidRDefault="00B10292">
      <w:pPr>
        <w:pStyle w:val="Textoindependiente"/>
        <w:rPr>
          <w:sz w:val="20"/>
        </w:rPr>
      </w:pPr>
    </w:p>
    <w:p w:rsidR="00B10292" w:rsidRDefault="00B10292">
      <w:pPr>
        <w:pStyle w:val="Textoindependiente"/>
        <w:spacing w:before="9" w:after="1"/>
        <w:rPr>
          <w:sz w:val="11"/>
        </w:rPr>
      </w:pPr>
    </w:p>
    <w:p w:rsidR="00B10292" w:rsidRDefault="00000000">
      <w:pPr>
        <w:pStyle w:val="Textoindependiente"/>
        <w:ind w:left="130" w:right="-87"/>
        <w:rPr>
          <w:sz w:val="20"/>
        </w:rPr>
      </w:pPr>
      <w:r>
        <w:rPr>
          <w:noProof/>
          <w:sz w:val="20"/>
        </w:rPr>
        <w:drawing>
          <wp:inline distT="0" distB="0" distL="0" distR="0">
            <wp:extent cx="5822479" cy="321106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822479" cy="3211068"/>
                    </a:xfrm>
                    <a:prstGeom prst="rect">
                      <a:avLst/>
                    </a:prstGeom>
                  </pic:spPr>
                </pic:pic>
              </a:graphicData>
            </a:graphic>
          </wp:inline>
        </w:drawing>
      </w:r>
    </w:p>
    <w:p w:rsidR="00B10292" w:rsidRDefault="00B10292">
      <w:pPr>
        <w:pStyle w:val="Textoindependiente"/>
        <w:rPr>
          <w:sz w:val="20"/>
        </w:rPr>
      </w:pPr>
    </w:p>
    <w:p w:rsidR="00B10292" w:rsidRDefault="00B10292">
      <w:pPr>
        <w:pStyle w:val="Textoindependiente"/>
        <w:rPr>
          <w:sz w:val="20"/>
        </w:rPr>
      </w:pPr>
    </w:p>
    <w:p w:rsidR="00B10292" w:rsidRDefault="00B10292">
      <w:pPr>
        <w:pStyle w:val="Textoindependiente"/>
        <w:rPr>
          <w:sz w:val="20"/>
        </w:rPr>
      </w:pPr>
    </w:p>
    <w:p w:rsidR="00B10292" w:rsidRDefault="00B10292">
      <w:pPr>
        <w:pStyle w:val="Textoindependiente"/>
        <w:rPr>
          <w:sz w:val="20"/>
        </w:rPr>
      </w:pPr>
    </w:p>
    <w:p w:rsidR="00B10292" w:rsidRDefault="00000000">
      <w:pPr>
        <w:pStyle w:val="Textoindependiente"/>
        <w:spacing w:before="11"/>
        <w:rPr>
          <w:sz w:val="11"/>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101619</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2EC0B" id="Graphic 5" o:spid="_x0000_s1026" style="position:absolute;margin-left:1in;margin-top:8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" path="m,l1828800,e" filled="f">
                <v:path arrowok="t"/>
                <w10:wrap type="topAndBottom" anchorx="page"/>
              </v:shape>
            </w:pict>
          </mc:Fallback>
        </mc:AlternateContent>
      </w:r>
    </w:p>
    <w:p w:rsidR="00B10292" w:rsidRDefault="00000000">
      <w:pPr>
        <w:spacing w:before="104"/>
        <w:ind w:left="100" w:right="134"/>
        <w:rPr>
          <w:rFonts w:ascii="Arial" w:hAnsi="Arial"/>
          <w:sz w:val="18"/>
        </w:rPr>
      </w:pPr>
      <w:r>
        <w:rPr>
          <w:rFonts w:ascii="Arial" w:hAnsi="Arial"/>
          <w:sz w:val="18"/>
          <w:vertAlign w:val="superscript"/>
        </w:rPr>
        <w:t>1</w:t>
      </w:r>
      <w:r>
        <w:rPr>
          <w:rFonts w:ascii="Arial" w:hAnsi="Arial"/>
          <w:spacing w:val="40"/>
          <w:sz w:val="18"/>
        </w:rPr>
        <w:t xml:space="preserve"> </w:t>
      </w:r>
      <w:r>
        <w:rPr>
          <w:rFonts w:ascii="Arial" w:hAnsi="Arial"/>
          <w:sz w:val="18"/>
        </w:rPr>
        <w:t>“Análisis</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los</w:t>
      </w:r>
      <w:r>
        <w:rPr>
          <w:rFonts w:ascii="Arial" w:hAnsi="Arial"/>
          <w:spacing w:val="-3"/>
          <w:sz w:val="18"/>
        </w:rPr>
        <w:t xml:space="preserve"> </w:t>
      </w:r>
      <w:r>
        <w:rPr>
          <w:rFonts w:ascii="Arial" w:hAnsi="Arial"/>
          <w:sz w:val="18"/>
        </w:rPr>
        <w:t>permisos</w:t>
      </w:r>
      <w:r>
        <w:rPr>
          <w:rFonts w:ascii="Arial" w:hAnsi="Arial"/>
          <w:spacing w:val="-3"/>
          <w:sz w:val="18"/>
        </w:rPr>
        <w:t xml:space="preserve"> </w:t>
      </w:r>
      <w:r>
        <w:rPr>
          <w:rFonts w:ascii="Arial" w:hAnsi="Arial"/>
          <w:sz w:val="18"/>
        </w:rPr>
        <w:t>sectoriales</w:t>
      </w:r>
      <w:r>
        <w:rPr>
          <w:rFonts w:ascii="Arial" w:hAnsi="Arial"/>
          <w:spacing w:val="-3"/>
          <w:sz w:val="18"/>
        </w:rPr>
        <w:t xml:space="preserve"> </w:t>
      </w:r>
      <w:r>
        <w:rPr>
          <w:rFonts w:ascii="Arial" w:hAnsi="Arial"/>
          <w:sz w:val="18"/>
        </w:rPr>
        <w:t>prioritarios</w:t>
      </w:r>
      <w:r>
        <w:rPr>
          <w:rFonts w:ascii="Arial" w:hAnsi="Arial"/>
          <w:spacing w:val="-3"/>
          <w:sz w:val="18"/>
        </w:rPr>
        <w:t xml:space="preserve"> </w:t>
      </w:r>
      <w:r>
        <w:rPr>
          <w:rFonts w:ascii="Arial" w:hAnsi="Arial"/>
          <w:sz w:val="18"/>
        </w:rPr>
        <w:t>para</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inversión</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Chile”,</w:t>
      </w:r>
      <w:r>
        <w:rPr>
          <w:rFonts w:ascii="Arial" w:hAnsi="Arial"/>
          <w:spacing w:val="-3"/>
          <w:sz w:val="18"/>
        </w:rPr>
        <w:t xml:space="preserve"> </w:t>
      </w:r>
      <w:r>
        <w:rPr>
          <w:rFonts w:ascii="Arial" w:hAnsi="Arial"/>
          <w:sz w:val="18"/>
        </w:rPr>
        <w:t>Comisión</w:t>
      </w:r>
      <w:r>
        <w:rPr>
          <w:rFonts w:ascii="Arial" w:hAnsi="Arial"/>
          <w:spacing w:val="-3"/>
          <w:sz w:val="18"/>
        </w:rPr>
        <w:t xml:space="preserve"> </w:t>
      </w:r>
      <w:r>
        <w:rPr>
          <w:rFonts w:ascii="Arial" w:hAnsi="Arial"/>
          <w:sz w:val="18"/>
        </w:rPr>
        <w:t>Nacional</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Evaluación</w:t>
      </w:r>
      <w:r>
        <w:rPr>
          <w:rFonts w:ascii="Arial" w:hAnsi="Arial"/>
          <w:spacing w:val="-3"/>
          <w:sz w:val="18"/>
        </w:rPr>
        <w:t xml:space="preserve"> </w:t>
      </w:r>
      <w:r>
        <w:rPr>
          <w:rFonts w:ascii="Arial" w:hAnsi="Arial"/>
          <w:sz w:val="18"/>
        </w:rPr>
        <w:t>y Productividad, agosto de 2023, pág. 70.</w:t>
      </w:r>
    </w:p>
    <w:p w:rsidR="00B10292" w:rsidRDefault="00B10292">
      <w:pPr>
        <w:rPr>
          <w:rFonts w:ascii="Arial" w:hAnsi="Arial"/>
          <w:sz w:val="18"/>
        </w:rPr>
        <w:sectPr w:rsidR="00B10292" w:rsidSect="00415848">
          <w:pgSz w:w="11920" w:h="16840"/>
          <w:pgMar w:top="1360" w:right="1320" w:bottom="280" w:left="1340" w:header="720" w:footer="720" w:gutter="0"/>
          <w:cols w:space="720"/>
        </w:sectPr>
      </w:pPr>
    </w:p>
    <w:p w:rsidR="00B10292" w:rsidRDefault="00000000">
      <w:pPr>
        <w:pStyle w:val="Textoindependiente"/>
        <w:spacing w:before="80" w:line="480" w:lineRule="auto"/>
        <w:ind w:left="100" w:right="132"/>
        <w:jc w:val="both"/>
      </w:pPr>
      <w:r>
        <w:t>Como se observa en los gráficos del análisis antes mencionado, la cantidad de permisos y autorizaciones pendientes han aumentado drásticamente en las declaraciones de zonas típicas y de monumentos históricos durante el año 2022. La situación no es menos compleja en relación con los permisos de intervención de hallazgos arqueológicos o paleontológicos pendientes en lo que va del año 2023, como se muestra el siguiente cuadro:</w:t>
      </w:r>
    </w:p>
    <w:p w:rsidR="00B10292" w:rsidRDefault="00000000">
      <w:pPr>
        <w:pStyle w:val="Textoindependiente"/>
        <w:spacing w:before="6"/>
        <w:rPr>
          <w:sz w:val="14"/>
        </w:rPr>
      </w:pPr>
      <w:r>
        <w:rPr>
          <w:noProof/>
        </w:rPr>
        <w:drawing>
          <wp:anchor distT="0" distB="0" distL="0" distR="0" simplePos="0" relativeHeight="487588352" behindDoc="1" locked="0" layoutInCell="1" allowOverlap="1">
            <wp:simplePos x="0" y="0"/>
            <wp:positionH relativeFrom="page">
              <wp:posOffset>1019382</wp:posOffset>
            </wp:positionH>
            <wp:positionV relativeFrom="paragraph">
              <wp:posOffset>120650</wp:posOffset>
            </wp:positionV>
            <wp:extent cx="5457815" cy="157772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457815" cy="1577721"/>
                    </a:xfrm>
                    <a:prstGeom prst="rect">
                      <a:avLst/>
                    </a:prstGeom>
                  </pic:spPr>
                </pic:pic>
              </a:graphicData>
            </a:graphic>
          </wp:anchor>
        </w:drawing>
      </w:r>
    </w:p>
    <w:p w:rsidR="00B10292" w:rsidRDefault="00B10292">
      <w:pPr>
        <w:pStyle w:val="Textoindependiente"/>
        <w:rPr>
          <w:sz w:val="26"/>
        </w:rPr>
      </w:pPr>
    </w:p>
    <w:p w:rsidR="00B10292" w:rsidRDefault="00000000">
      <w:pPr>
        <w:spacing w:before="170"/>
        <w:ind w:left="100"/>
        <w:jc w:val="both"/>
        <w:rPr>
          <w:sz w:val="18"/>
        </w:rPr>
      </w:pPr>
      <w:r>
        <w:rPr>
          <w:sz w:val="18"/>
        </w:rPr>
        <w:t>Gráfico</w:t>
      </w:r>
      <w:r>
        <w:rPr>
          <w:spacing w:val="-2"/>
          <w:sz w:val="18"/>
        </w:rPr>
        <w:t xml:space="preserve"> </w:t>
      </w:r>
      <w:r>
        <w:rPr>
          <w:sz w:val="18"/>
        </w:rPr>
        <w:t xml:space="preserve">elaborado por Ex-Ante en base a encuesta a socios de la Cámara Chilena de la Construcción </w:t>
      </w:r>
      <w:r>
        <w:rPr>
          <w:spacing w:val="-2"/>
          <w:sz w:val="18"/>
        </w:rPr>
        <w:t>(CChC)</w:t>
      </w:r>
      <w:r>
        <w:rPr>
          <w:spacing w:val="-2"/>
          <w:sz w:val="18"/>
          <w:vertAlign w:val="superscript"/>
        </w:rPr>
        <w:t>2</w:t>
      </w:r>
      <w:r>
        <w:rPr>
          <w:spacing w:val="-2"/>
          <w:sz w:val="18"/>
        </w:rPr>
        <w:t>.</w:t>
      </w:r>
    </w:p>
    <w:p w:rsidR="00B10292" w:rsidRDefault="00B10292">
      <w:pPr>
        <w:pStyle w:val="Textoindependiente"/>
        <w:rPr>
          <w:sz w:val="20"/>
        </w:rPr>
      </w:pPr>
    </w:p>
    <w:p w:rsidR="00B10292" w:rsidRDefault="00000000">
      <w:pPr>
        <w:pStyle w:val="Textoindependiente"/>
        <w:spacing w:before="137" w:line="480" w:lineRule="auto"/>
        <w:ind w:left="100" w:right="132"/>
        <w:jc w:val="both"/>
      </w:pPr>
      <w:r>
        <w:t>La evidencia disponible muestra que el caso del CMN podría calificar dentro del fenómeno de la llamada “permisología”, es decir, la referencia al engorroso sistema de</w:t>
      </w:r>
      <w:r>
        <w:rPr>
          <w:spacing w:val="27"/>
        </w:rPr>
        <w:t xml:space="preserve"> </w:t>
      </w:r>
      <w:r>
        <w:t>permisos</w:t>
      </w:r>
      <w:r>
        <w:rPr>
          <w:spacing w:val="27"/>
        </w:rPr>
        <w:t xml:space="preserve"> </w:t>
      </w:r>
      <w:r>
        <w:t>en</w:t>
      </w:r>
      <w:r>
        <w:rPr>
          <w:spacing w:val="27"/>
        </w:rPr>
        <w:t xml:space="preserve"> </w:t>
      </w:r>
      <w:r>
        <w:t>el</w:t>
      </w:r>
      <w:r>
        <w:rPr>
          <w:spacing w:val="27"/>
        </w:rPr>
        <w:t xml:space="preserve"> </w:t>
      </w:r>
      <w:r>
        <w:t>desarrollo</w:t>
      </w:r>
      <w:r>
        <w:rPr>
          <w:spacing w:val="27"/>
        </w:rPr>
        <w:t xml:space="preserve"> </w:t>
      </w:r>
      <w:r>
        <w:t>de</w:t>
      </w:r>
      <w:r>
        <w:rPr>
          <w:spacing w:val="27"/>
        </w:rPr>
        <w:t xml:space="preserve"> </w:t>
      </w:r>
      <w:r>
        <w:t>proyectos e inversiones de Chile. En efecto, y como ha reconocido el propio ministro Mario Marcel, en Chile no existe "una política regulatoria</w:t>
      </w:r>
      <w:r>
        <w:rPr>
          <w:spacing w:val="-3"/>
        </w:rPr>
        <w:t xml:space="preserve"> </w:t>
      </w:r>
      <w:r>
        <w:t>que</w:t>
      </w:r>
      <w:r>
        <w:rPr>
          <w:spacing w:val="-3"/>
        </w:rPr>
        <w:t xml:space="preserve"> </w:t>
      </w:r>
      <w:r>
        <w:t>mire</w:t>
      </w:r>
      <w:r>
        <w:rPr>
          <w:spacing w:val="-3"/>
        </w:rPr>
        <w:t xml:space="preserve"> </w:t>
      </w:r>
      <w:r>
        <w:t>el</w:t>
      </w:r>
      <w:r>
        <w:rPr>
          <w:spacing w:val="-3"/>
        </w:rPr>
        <w:t xml:space="preserve"> </w:t>
      </w:r>
      <w:r>
        <w:t>conjunto</w:t>
      </w:r>
      <w:r>
        <w:rPr>
          <w:spacing w:val="-3"/>
        </w:rPr>
        <w:t xml:space="preserve"> </w:t>
      </w:r>
      <w:r>
        <w:t>de</w:t>
      </w:r>
      <w:r>
        <w:rPr>
          <w:spacing w:val="-3"/>
        </w:rPr>
        <w:t xml:space="preserve"> </w:t>
      </w:r>
      <w:r>
        <w:t>regulaciones</w:t>
      </w:r>
      <w:r>
        <w:rPr>
          <w:spacing w:val="-3"/>
        </w:rPr>
        <w:t xml:space="preserve"> </w:t>
      </w:r>
      <w:r>
        <w:t>en</w:t>
      </w:r>
      <w:r>
        <w:rPr>
          <w:spacing w:val="-3"/>
        </w:rPr>
        <w:t xml:space="preserve"> </w:t>
      </w:r>
      <w:r>
        <w:t>la</w:t>
      </w:r>
      <w:r>
        <w:rPr>
          <w:spacing w:val="-3"/>
        </w:rPr>
        <w:t xml:space="preserve"> </w:t>
      </w:r>
      <w:r>
        <w:t>economía,</w:t>
      </w:r>
      <w:r>
        <w:rPr>
          <w:spacing w:val="-3"/>
        </w:rPr>
        <w:t xml:space="preserve"> </w:t>
      </w:r>
      <w:r>
        <w:t>sino</w:t>
      </w:r>
      <w:r>
        <w:rPr>
          <w:spacing w:val="-3"/>
        </w:rPr>
        <w:t xml:space="preserve"> </w:t>
      </w:r>
      <w:r>
        <w:t>que</w:t>
      </w:r>
      <w:r>
        <w:rPr>
          <w:spacing w:val="-3"/>
        </w:rPr>
        <w:t xml:space="preserve"> </w:t>
      </w:r>
      <w:r>
        <w:t>cada</w:t>
      </w:r>
      <w:r>
        <w:rPr>
          <w:spacing w:val="-3"/>
        </w:rPr>
        <w:t xml:space="preserve"> </w:t>
      </w:r>
      <w:r>
        <w:t>sector tiene su regulación”</w:t>
      </w:r>
      <w:r>
        <w:rPr>
          <w:vertAlign w:val="superscript"/>
        </w:rPr>
        <w:t>3</w:t>
      </w:r>
      <w:r>
        <w:t>, lo que genera una dispersión difícil de abordar por</w:t>
      </w:r>
      <w:r>
        <w:rPr>
          <w:spacing w:val="-3"/>
        </w:rPr>
        <w:t xml:space="preserve"> </w:t>
      </w:r>
      <w:r>
        <w:t>los</w:t>
      </w:r>
      <w:r>
        <w:rPr>
          <w:spacing w:val="-3"/>
        </w:rPr>
        <w:t xml:space="preserve"> </w:t>
      </w:r>
      <w:r>
        <w:t xml:space="preserve">agentes </w:t>
      </w:r>
      <w:r>
        <w:rPr>
          <w:spacing w:val="-2"/>
        </w:rPr>
        <w:t>interesados.</w:t>
      </w:r>
    </w:p>
    <w:p w:rsidR="00B10292" w:rsidRDefault="00000000">
      <w:pPr>
        <w:pStyle w:val="Textoindependiente"/>
        <w:spacing w:before="160" w:line="480" w:lineRule="auto"/>
        <w:ind w:left="100" w:right="136"/>
        <w:jc w:val="both"/>
      </w:pPr>
      <w:r>
        <w:t>En el caso del CMN, esto es especialmente perjudicial, ya que el retraso en la concesión</w:t>
      </w:r>
      <w:r>
        <w:rPr>
          <w:spacing w:val="44"/>
        </w:rPr>
        <w:t xml:space="preserve"> </w:t>
      </w:r>
      <w:r>
        <w:t>de</w:t>
      </w:r>
      <w:r>
        <w:rPr>
          <w:spacing w:val="44"/>
        </w:rPr>
        <w:t xml:space="preserve"> </w:t>
      </w:r>
      <w:r>
        <w:t>permisos</w:t>
      </w:r>
      <w:r>
        <w:rPr>
          <w:spacing w:val="29"/>
        </w:rPr>
        <w:t xml:space="preserve"> </w:t>
      </w:r>
      <w:r>
        <w:t>y</w:t>
      </w:r>
      <w:r>
        <w:rPr>
          <w:spacing w:val="29"/>
        </w:rPr>
        <w:t xml:space="preserve"> </w:t>
      </w:r>
      <w:r>
        <w:t>autorizaciones</w:t>
      </w:r>
      <w:r>
        <w:rPr>
          <w:spacing w:val="29"/>
        </w:rPr>
        <w:t xml:space="preserve"> </w:t>
      </w:r>
      <w:r>
        <w:t>en</w:t>
      </w:r>
      <w:r>
        <w:rPr>
          <w:spacing w:val="29"/>
        </w:rPr>
        <w:t xml:space="preserve"> </w:t>
      </w:r>
      <w:r>
        <w:t>una</w:t>
      </w:r>
      <w:r>
        <w:rPr>
          <w:spacing w:val="29"/>
        </w:rPr>
        <w:t xml:space="preserve"> </w:t>
      </w:r>
      <w:r>
        <w:t>serie</w:t>
      </w:r>
      <w:r>
        <w:rPr>
          <w:spacing w:val="29"/>
        </w:rPr>
        <w:t xml:space="preserve"> </w:t>
      </w:r>
      <w:r>
        <w:t>de</w:t>
      </w:r>
      <w:r>
        <w:rPr>
          <w:spacing w:val="29"/>
        </w:rPr>
        <w:t xml:space="preserve"> </w:t>
      </w:r>
      <w:r>
        <w:t>materias</w:t>
      </w:r>
      <w:r>
        <w:rPr>
          <w:spacing w:val="29"/>
        </w:rPr>
        <w:t xml:space="preserve"> </w:t>
      </w:r>
      <w:r>
        <w:t>que</w:t>
      </w:r>
      <w:r>
        <w:rPr>
          <w:spacing w:val="29"/>
        </w:rPr>
        <w:t xml:space="preserve"> </w:t>
      </w:r>
      <w:r>
        <w:t>van</w:t>
      </w:r>
      <w:r>
        <w:rPr>
          <w:spacing w:val="29"/>
        </w:rPr>
        <w:t xml:space="preserve"> </w:t>
      </w:r>
      <w:r>
        <w:t>desde</w:t>
      </w:r>
      <w:r>
        <w:rPr>
          <w:spacing w:val="29"/>
        </w:rPr>
        <w:t xml:space="preserve"> </w:t>
      </w:r>
      <w:r>
        <w:rPr>
          <w:spacing w:val="-5"/>
        </w:rPr>
        <w:t>la</w:t>
      </w:r>
    </w:p>
    <w:p w:rsidR="00B10292" w:rsidRDefault="00000000">
      <w:pPr>
        <w:pStyle w:val="Textoindependiente"/>
        <w:spacing w:before="5"/>
        <w:rPr>
          <w:sz w:val="28"/>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220886</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2F1FEC" id="Graphic 7" o:spid="_x0000_s1026" style="position:absolute;margin-left:1in;margin-top:17.4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" path="m,l1828800,e" filled="f">
                <v:path arrowok="t"/>
                <w10:wrap type="topAndBottom" anchorx="page"/>
              </v:shape>
            </w:pict>
          </mc:Fallback>
        </mc:AlternateContent>
      </w:r>
    </w:p>
    <w:p w:rsidR="00B10292" w:rsidRDefault="00000000">
      <w:pPr>
        <w:spacing w:before="104"/>
        <w:ind w:left="100"/>
        <w:rPr>
          <w:rFonts w:ascii="Arial" w:hAnsi="Arial"/>
          <w:sz w:val="18"/>
        </w:rPr>
      </w:pPr>
      <w:r>
        <w:rPr>
          <w:rFonts w:ascii="Arial" w:hAnsi="Arial"/>
          <w:sz w:val="18"/>
          <w:vertAlign w:val="superscript"/>
        </w:rPr>
        <w:t>2</w:t>
      </w:r>
      <w:r>
        <w:rPr>
          <w:rFonts w:ascii="Arial" w:hAnsi="Arial"/>
          <w:spacing w:val="26"/>
          <w:sz w:val="18"/>
        </w:rPr>
        <w:t xml:space="preserve"> </w:t>
      </w:r>
      <w:r>
        <w:rPr>
          <w:rFonts w:ascii="Arial" w:hAnsi="Arial"/>
          <w:sz w:val="18"/>
        </w:rPr>
        <w:t>“Cómo</w:t>
      </w:r>
      <w:r>
        <w:rPr>
          <w:rFonts w:ascii="Arial" w:hAnsi="Arial"/>
          <w:spacing w:val="27"/>
          <w:sz w:val="18"/>
        </w:rPr>
        <w:t xml:space="preserve"> </w:t>
      </w:r>
      <w:r>
        <w:rPr>
          <w:rFonts w:ascii="Arial" w:hAnsi="Arial"/>
          <w:sz w:val="18"/>
        </w:rPr>
        <w:t>funciona</w:t>
      </w:r>
      <w:r>
        <w:rPr>
          <w:rFonts w:ascii="Arial" w:hAnsi="Arial"/>
          <w:spacing w:val="27"/>
          <w:sz w:val="18"/>
        </w:rPr>
        <w:t xml:space="preserve"> </w:t>
      </w:r>
      <w:r>
        <w:rPr>
          <w:rFonts w:ascii="Arial" w:hAnsi="Arial"/>
          <w:sz w:val="18"/>
        </w:rPr>
        <w:t>y</w:t>
      </w:r>
      <w:r>
        <w:rPr>
          <w:rFonts w:ascii="Arial" w:hAnsi="Arial"/>
          <w:spacing w:val="27"/>
          <w:sz w:val="18"/>
        </w:rPr>
        <w:t xml:space="preserve"> </w:t>
      </w:r>
      <w:r>
        <w:rPr>
          <w:rFonts w:ascii="Arial" w:hAnsi="Arial"/>
          <w:sz w:val="18"/>
        </w:rPr>
        <w:t>qué</w:t>
      </w:r>
      <w:r>
        <w:rPr>
          <w:rFonts w:ascii="Arial" w:hAnsi="Arial"/>
          <w:spacing w:val="27"/>
          <w:sz w:val="18"/>
        </w:rPr>
        <w:t xml:space="preserve"> </w:t>
      </w:r>
      <w:r>
        <w:rPr>
          <w:rFonts w:ascii="Arial" w:hAnsi="Arial"/>
          <w:sz w:val="18"/>
        </w:rPr>
        <w:t>cambios</w:t>
      </w:r>
      <w:r>
        <w:rPr>
          <w:rFonts w:ascii="Arial" w:hAnsi="Arial"/>
          <w:spacing w:val="27"/>
          <w:sz w:val="18"/>
        </w:rPr>
        <w:t xml:space="preserve"> </w:t>
      </w:r>
      <w:r>
        <w:rPr>
          <w:rFonts w:ascii="Arial" w:hAnsi="Arial"/>
          <w:sz w:val="18"/>
        </w:rPr>
        <w:t>se</w:t>
      </w:r>
      <w:r>
        <w:rPr>
          <w:rFonts w:ascii="Arial" w:hAnsi="Arial"/>
          <w:spacing w:val="27"/>
          <w:sz w:val="18"/>
        </w:rPr>
        <w:t xml:space="preserve"> </w:t>
      </w:r>
      <w:r>
        <w:rPr>
          <w:rFonts w:ascii="Arial" w:hAnsi="Arial"/>
          <w:sz w:val="18"/>
        </w:rPr>
        <w:t>estudian</w:t>
      </w:r>
      <w:r>
        <w:rPr>
          <w:rFonts w:ascii="Arial" w:hAnsi="Arial"/>
          <w:spacing w:val="27"/>
          <w:sz w:val="18"/>
        </w:rPr>
        <w:t xml:space="preserve"> </w:t>
      </w:r>
      <w:r>
        <w:rPr>
          <w:rFonts w:ascii="Arial" w:hAnsi="Arial"/>
          <w:sz w:val="18"/>
        </w:rPr>
        <w:t>para</w:t>
      </w:r>
      <w:r>
        <w:rPr>
          <w:rFonts w:ascii="Arial" w:hAnsi="Arial"/>
          <w:spacing w:val="27"/>
          <w:sz w:val="18"/>
        </w:rPr>
        <w:t xml:space="preserve"> </w:t>
      </w:r>
      <w:r>
        <w:rPr>
          <w:rFonts w:ascii="Arial" w:hAnsi="Arial"/>
          <w:sz w:val="18"/>
        </w:rPr>
        <w:t>el</w:t>
      </w:r>
      <w:r>
        <w:rPr>
          <w:rFonts w:ascii="Arial" w:hAnsi="Arial"/>
          <w:spacing w:val="27"/>
          <w:sz w:val="18"/>
        </w:rPr>
        <w:t xml:space="preserve"> </w:t>
      </w:r>
      <w:r>
        <w:rPr>
          <w:rFonts w:ascii="Arial" w:hAnsi="Arial"/>
          <w:sz w:val="18"/>
        </w:rPr>
        <w:t>Consejo</w:t>
      </w:r>
      <w:r>
        <w:rPr>
          <w:rFonts w:ascii="Arial" w:hAnsi="Arial"/>
          <w:spacing w:val="27"/>
          <w:sz w:val="18"/>
        </w:rPr>
        <w:t xml:space="preserve"> </w:t>
      </w:r>
      <w:r>
        <w:rPr>
          <w:rFonts w:ascii="Arial" w:hAnsi="Arial"/>
          <w:sz w:val="18"/>
        </w:rPr>
        <w:t>de</w:t>
      </w:r>
      <w:r>
        <w:rPr>
          <w:rFonts w:ascii="Arial" w:hAnsi="Arial"/>
          <w:spacing w:val="27"/>
          <w:sz w:val="18"/>
        </w:rPr>
        <w:t xml:space="preserve"> </w:t>
      </w:r>
      <w:r>
        <w:rPr>
          <w:rFonts w:ascii="Arial" w:hAnsi="Arial"/>
          <w:sz w:val="18"/>
        </w:rPr>
        <w:t>Monumentos Nacionales (al que culpan de frenar las inversiones)”. Fuente: Ex-Ante. Consultado en:</w:t>
      </w:r>
    </w:p>
    <w:p w:rsidR="00B10292" w:rsidRDefault="00000000">
      <w:pPr>
        <w:ind w:left="100"/>
        <w:rPr>
          <w:rFonts w:ascii="Arial"/>
          <w:sz w:val="18"/>
        </w:rPr>
      </w:pPr>
      <w:hyperlink r:id="rId9">
        <w:r>
          <w:rPr>
            <w:rFonts w:ascii="Arial"/>
            <w:color w:val="1154CC"/>
            <w:spacing w:val="-2"/>
            <w:sz w:val="18"/>
            <w:u w:val="thick" w:color="1154CC"/>
          </w:rPr>
          <w:t>https://www.ex-ante.cl/como-funciona-y-que-cambios-se-estudian-para-el-consejo-de-monumentos-nacionales-</w:t>
        </w:r>
        <w:r>
          <w:rPr>
            <w:rFonts w:ascii="Arial"/>
            <w:color w:val="1154CC"/>
            <w:spacing w:val="-5"/>
            <w:sz w:val="18"/>
            <w:u w:val="thick" w:color="1154CC"/>
          </w:rPr>
          <w:t>al</w:t>
        </w:r>
      </w:hyperlink>
    </w:p>
    <w:p w:rsidR="00B10292" w:rsidRDefault="00000000">
      <w:pPr>
        <w:ind w:left="100"/>
        <w:rPr>
          <w:rFonts w:ascii="Arial"/>
          <w:sz w:val="18"/>
        </w:rPr>
      </w:pPr>
      <w:hyperlink r:id="rId10">
        <w:r>
          <w:rPr>
            <w:rFonts w:ascii="Arial"/>
            <w:color w:val="1154CC"/>
            <w:sz w:val="18"/>
            <w:u w:val="thick" w:color="1154CC"/>
          </w:rPr>
          <w:t>-que-culpan-de-frenar-las-</w:t>
        </w:r>
        <w:r>
          <w:rPr>
            <w:rFonts w:ascii="Arial"/>
            <w:color w:val="1154CC"/>
            <w:spacing w:val="-2"/>
            <w:sz w:val="18"/>
            <w:u w:val="thick" w:color="1154CC"/>
          </w:rPr>
          <w:t>inversiones/</w:t>
        </w:r>
      </w:hyperlink>
    </w:p>
    <w:p w:rsidR="00B10292" w:rsidRDefault="00000000">
      <w:pPr>
        <w:ind w:left="100" w:right="134"/>
        <w:rPr>
          <w:rFonts w:ascii="Arial" w:hAnsi="Arial"/>
          <w:sz w:val="18"/>
        </w:rPr>
      </w:pPr>
      <w:r>
        <w:rPr>
          <w:rFonts w:ascii="Arial" w:hAnsi="Arial"/>
          <w:sz w:val="18"/>
          <w:vertAlign w:val="superscript"/>
        </w:rPr>
        <w:t>3</w:t>
      </w:r>
      <w:r>
        <w:rPr>
          <w:rFonts w:ascii="Arial" w:hAnsi="Arial"/>
          <w:spacing w:val="80"/>
          <w:sz w:val="18"/>
        </w:rPr>
        <w:t xml:space="preserve"> </w:t>
      </w:r>
      <w:r>
        <w:rPr>
          <w:rFonts w:ascii="Arial" w:hAnsi="Arial"/>
          <w:sz w:val="18"/>
        </w:rPr>
        <w:t>“Consejo</w:t>
      </w:r>
      <w:r>
        <w:rPr>
          <w:rFonts w:ascii="Arial" w:hAnsi="Arial"/>
          <w:spacing w:val="80"/>
          <w:sz w:val="18"/>
        </w:rPr>
        <w:t xml:space="preserve"> </w:t>
      </w:r>
      <w:r>
        <w:rPr>
          <w:rFonts w:ascii="Arial" w:hAnsi="Arial"/>
          <w:sz w:val="18"/>
        </w:rPr>
        <w:t>de</w:t>
      </w:r>
      <w:r>
        <w:rPr>
          <w:rFonts w:ascii="Arial" w:hAnsi="Arial"/>
          <w:spacing w:val="80"/>
          <w:sz w:val="18"/>
        </w:rPr>
        <w:t xml:space="preserve"> </w:t>
      </w:r>
      <w:r>
        <w:rPr>
          <w:rFonts w:ascii="Arial" w:hAnsi="Arial"/>
          <w:sz w:val="18"/>
        </w:rPr>
        <w:t>monumentos,</w:t>
      </w:r>
      <w:r>
        <w:rPr>
          <w:rFonts w:ascii="Arial" w:hAnsi="Arial"/>
          <w:spacing w:val="80"/>
          <w:sz w:val="18"/>
        </w:rPr>
        <w:t xml:space="preserve"> </w:t>
      </w:r>
      <w:r>
        <w:rPr>
          <w:rFonts w:ascii="Arial" w:hAnsi="Arial"/>
          <w:sz w:val="18"/>
        </w:rPr>
        <w:t>permisos</w:t>
      </w:r>
      <w:r>
        <w:rPr>
          <w:rFonts w:ascii="Arial" w:hAnsi="Arial"/>
          <w:spacing w:val="80"/>
          <w:sz w:val="18"/>
        </w:rPr>
        <w:t xml:space="preserve"> </w:t>
      </w:r>
      <w:r>
        <w:rPr>
          <w:rFonts w:ascii="Arial" w:hAnsi="Arial"/>
          <w:sz w:val="18"/>
        </w:rPr>
        <w:t>medioambientales</w:t>
      </w:r>
      <w:r>
        <w:rPr>
          <w:rFonts w:ascii="Arial" w:hAnsi="Arial"/>
          <w:spacing w:val="80"/>
          <w:sz w:val="18"/>
        </w:rPr>
        <w:t xml:space="preserve"> </w:t>
      </w:r>
      <w:r>
        <w:rPr>
          <w:rFonts w:ascii="Arial" w:hAnsi="Arial"/>
          <w:sz w:val="18"/>
        </w:rPr>
        <w:t>e</w:t>
      </w:r>
      <w:r>
        <w:rPr>
          <w:rFonts w:ascii="Arial" w:hAnsi="Arial"/>
          <w:spacing w:val="80"/>
          <w:sz w:val="18"/>
        </w:rPr>
        <w:t xml:space="preserve"> </w:t>
      </w:r>
      <w:r>
        <w:rPr>
          <w:rFonts w:ascii="Arial" w:hAnsi="Arial"/>
          <w:sz w:val="18"/>
        </w:rPr>
        <w:t>incerteza:</w:t>
      </w:r>
      <w:r>
        <w:rPr>
          <w:rFonts w:ascii="Arial" w:hAnsi="Arial"/>
          <w:spacing w:val="80"/>
          <w:sz w:val="18"/>
        </w:rPr>
        <w:t xml:space="preserve"> </w:t>
      </w:r>
      <w:r>
        <w:rPr>
          <w:rFonts w:ascii="Arial" w:hAnsi="Arial"/>
          <w:sz w:val="18"/>
        </w:rPr>
        <w:t>Los</w:t>
      </w:r>
      <w:r>
        <w:rPr>
          <w:rFonts w:ascii="Arial" w:hAnsi="Arial"/>
          <w:spacing w:val="80"/>
          <w:sz w:val="18"/>
        </w:rPr>
        <w:t xml:space="preserve"> </w:t>
      </w:r>
      <w:r>
        <w:rPr>
          <w:rFonts w:ascii="Arial" w:hAnsi="Arial"/>
          <w:sz w:val="18"/>
        </w:rPr>
        <w:t>principales</w:t>
      </w:r>
      <w:r>
        <w:rPr>
          <w:rFonts w:ascii="Arial" w:hAnsi="Arial"/>
          <w:spacing w:val="80"/>
          <w:sz w:val="18"/>
        </w:rPr>
        <w:t xml:space="preserve"> </w:t>
      </w:r>
      <w:r>
        <w:rPr>
          <w:rFonts w:ascii="Arial" w:hAnsi="Arial"/>
          <w:sz w:val="18"/>
        </w:rPr>
        <w:t>escollos</w:t>
      </w:r>
      <w:r>
        <w:rPr>
          <w:rFonts w:ascii="Arial" w:hAnsi="Arial"/>
          <w:spacing w:val="80"/>
          <w:sz w:val="18"/>
        </w:rPr>
        <w:t xml:space="preserve"> </w:t>
      </w:r>
      <w:r>
        <w:rPr>
          <w:rFonts w:ascii="Arial" w:hAnsi="Arial"/>
          <w:sz w:val="18"/>
        </w:rPr>
        <w:t>de</w:t>
      </w:r>
      <w:r>
        <w:rPr>
          <w:rFonts w:ascii="Arial" w:hAnsi="Arial"/>
          <w:spacing w:val="80"/>
          <w:sz w:val="18"/>
        </w:rPr>
        <w:t xml:space="preserve"> </w:t>
      </w:r>
      <w:r>
        <w:rPr>
          <w:rFonts w:ascii="Arial" w:hAnsi="Arial"/>
          <w:sz w:val="18"/>
        </w:rPr>
        <w:t xml:space="preserve">la "permisología". Fuente: Emol.com. Consultado en: </w:t>
      </w:r>
      <w:hyperlink r:id="rId11">
        <w:r>
          <w:rPr>
            <w:rFonts w:ascii="Arial" w:hAnsi="Arial"/>
            <w:color w:val="1154CC"/>
            <w:spacing w:val="-2"/>
            <w:sz w:val="18"/>
            <w:u w:val="thick" w:color="1154CC"/>
          </w:rPr>
          <w:t>https://www.emol.com/noticias/Economia/2023/10/15/1109920/permisologia-inversion-pacto-fiscal.htm</w:t>
        </w:r>
        <w:r>
          <w:rPr>
            <w:rFonts w:ascii="Arial" w:hAnsi="Arial"/>
            <w:color w:val="1154CC"/>
            <w:spacing w:val="-2"/>
            <w:sz w:val="18"/>
          </w:rPr>
          <w:t>l</w:t>
        </w:r>
      </w:hyperlink>
    </w:p>
    <w:p w:rsidR="00B10292" w:rsidRDefault="00B10292">
      <w:pPr>
        <w:rPr>
          <w:rFonts w:ascii="Arial" w:hAnsi="Arial"/>
          <w:sz w:val="18"/>
        </w:rPr>
        <w:sectPr w:rsidR="00B10292" w:rsidSect="00415848">
          <w:pgSz w:w="11920" w:h="16840"/>
          <w:pgMar w:top="1360" w:right="1320" w:bottom="280" w:left="1340" w:header="720" w:footer="720" w:gutter="0"/>
          <w:cols w:space="720"/>
        </w:sectPr>
      </w:pPr>
    </w:p>
    <w:p w:rsidR="00B10292" w:rsidRDefault="00000000">
      <w:pPr>
        <w:pStyle w:val="Textoindependiente"/>
        <w:spacing w:before="80" w:line="480" w:lineRule="auto"/>
        <w:ind w:left="100" w:right="135"/>
        <w:jc w:val="both"/>
      </w:pPr>
      <w:r>
        <w:t>intervención de hallazgos arqueológicos hasta la declaración de monumentos nacionales supone un importante grado de incertidumbre para los inversionistas, y conlleva a su turno un estancamiento que afecta a proyectos de la más diversa naturaleza. La paralización de obras por largos periodos de tiempo disminuye la capacidad de nuestro país de atraer inversión, y lo pone en desventaja respecto de otros Estados donde las autorizaciones administrativas se resuelven con mayor celeridad. Por supuesto, nada de esto supone que deban reducirse las exigencias ni relajarse los criterios para la concesión de los permisos.</w:t>
      </w:r>
    </w:p>
    <w:p w:rsidR="00B10292" w:rsidRDefault="00000000">
      <w:pPr>
        <w:pStyle w:val="Textoindependiente"/>
        <w:spacing w:before="160" w:line="480" w:lineRule="auto"/>
        <w:ind w:left="100" w:right="132"/>
        <w:jc w:val="both"/>
      </w:pPr>
      <w:r>
        <w:t>Frente a tales problemáticas, es importante insistir en el diagnóstico de que nuestra institucionalidad patrimonial adolece de deficiencias estructurales,</w:t>
      </w:r>
      <w:r>
        <w:rPr>
          <w:spacing w:val="-4"/>
        </w:rPr>
        <w:t xml:space="preserve"> </w:t>
      </w:r>
      <w:r>
        <w:t>con</w:t>
      </w:r>
      <w:r>
        <w:rPr>
          <w:spacing w:val="-4"/>
        </w:rPr>
        <w:t xml:space="preserve"> </w:t>
      </w:r>
      <w:r>
        <w:t>una</w:t>
      </w:r>
      <w:r>
        <w:rPr>
          <w:spacing w:val="-4"/>
        </w:rPr>
        <w:t xml:space="preserve"> </w:t>
      </w:r>
      <w:r>
        <w:t>orgánica centralista sobrecargada de atribuciones, ausencia de contrapesos adecuados que contribuyan a mejorar los rendimientos, categorías patrimoniales desactualizadas o derechamente obsoletas, y una mirada estrecha sobre la gestión del patrimonio en toda</w:t>
      </w:r>
      <w:r>
        <w:rPr>
          <w:spacing w:val="40"/>
        </w:rPr>
        <w:t xml:space="preserve"> </w:t>
      </w:r>
      <w:r>
        <w:t>su</w:t>
      </w:r>
      <w:r>
        <w:rPr>
          <w:spacing w:val="40"/>
        </w:rPr>
        <w:t xml:space="preserve"> </w:t>
      </w:r>
      <w:r>
        <w:t>variedad. Es por ello que para avanzar en estos aspectos, es vital que se ponga urgencia al proyecto de ley de Patrimonio Cultural que se encuentra en el Senado. Sin embargo, en el intertanto se están frustrando muchas oportunidades,</w:t>
      </w:r>
      <w:r>
        <w:rPr>
          <w:spacing w:val="40"/>
        </w:rPr>
        <w:t xml:space="preserve"> </w:t>
      </w:r>
      <w:r>
        <w:t>por lo que como solución temporal que se haga cargo de la gran cantidad de solicitudes pendientes y la incertidumbre que generan, surgen algunas vías para enmendar</w:t>
      </w:r>
      <w:r>
        <w:rPr>
          <w:spacing w:val="26"/>
        </w:rPr>
        <w:t xml:space="preserve"> </w:t>
      </w:r>
      <w:r>
        <w:t>la situación. Una de ellas es la aplicación del silencio administrativo ante la ausencia de pronunciamiento por parte del CMN.</w:t>
      </w:r>
    </w:p>
    <w:p w:rsidR="00B10292" w:rsidRDefault="00000000">
      <w:pPr>
        <w:pStyle w:val="Textoindependiente"/>
        <w:spacing w:before="160" w:line="480" w:lineRule="auto"/>
        <w:ind w:left="100" w:right="133"/>
        <w:jc w:val="both"/>
      </w:pPr>
      <w:r>
        <w:t>Como indica Luis</w:t>
      </w:r>
      <w:r>
        <w:rPr>
          <w:spacing w:val="-3"/>
        </w:rPr>
        <w:t xml:space="preserve"> </w:t>
      </w:r>
      <w:r>
        <w:t>Cordero,</w:t>
      </w:r>
      <w:r>
        <w:rPr>
          <w:spacing w:val="-3"/>
        </w:rPr>
        <w:t xml:space="preserve"> </w:t>
      </w:r>
      <w:r>
        <w:t>“ante</w:t>
      </w:r>
      <w:r>
        <w:rPr>
          <w:spacing w:val="-3"/>
        </w:rPr>
        <w:t xml:space="preserve"> </w:t>
      </w:r>
      <w:r>
        <w:t>la</w:t>
      </w:r>
      <w:r>
        <w:rPr>
          <w:spacing w:val="-3"/>
        </w:rPr>
        <w:t xml:space="preserve"> </w:t>
      </w:r>
      <w:r>
        <w:t>ausencia</w:t>
      </w:r>
      <w:r>
        <w:rPr>
          <w:spacing w:val="-3"/>
        </w:rPr>
        <w:t xml:space="preserve"> </w:t>
      </w:r>
      <w:r>
        <w:t>de</w:t>
      </w:r>
      <w:r>
        <w:rPr>
          <w:spacing w:val="-3"/>
        </w:rPr>
        <w:t xml:space="preserve"> </w:t>
      </w:r>
      <w:r>
        <w:t>una</w:t>
      </w:r>
      <w:r>
        <w:rPr>
          <w:spacing w:val="-3"/>
        </w:rPr>
        <w:t xml:space="preserve"> </w:t>
      </w:r>
      <w:r>
        <w:t>voluntad</w:t>
      </w:r>
      <w:r>
        <w:rPr>
          <w:spacing w:val="-3"/>
        </w:rPr>
        <w:t xml:space="preserve"> </w:t>
      </w:r>
      <w:r>
        <w:t>administrativa</w:t>
      </w:r>
      <w:r>
        <w:rPr>
          <w:spacing w:val="-3"/>
        </w:rPr>
        <w:t xml:space="preserve"> </w:t>
      </w:r>
      <w:r>
        <w:t>expresa, la ley normalmente sustituye por sí misma esta voluntad inexistente, presumiendo ciertos efectos. Estos efectos podrán ser negativos, cuando desestimen la petición, o bien, positivos, cuando la acojan. Es indudable que este silencio deberá tener un alcance</w:t>
      </w:r>
      <w:r>
        <w:rPr>
          <w:spacing w:val="15"/>
        </w:rPr>
        <w:t xml:space="preserve"> </w:t>
      </w:r>
      <w:r>
        <w:t>o</w:t>
      </w:r>
      <w:r>
        <w:rPr>
          <w:spacing w:val="15"/>
        </w:rPr>
        <w:t xml:space="preserve"> </w:t>
      </w:r>
      <w:r>
        <w:t xml:space="preserve">interpretación jurídica definida”. Añade el mismo autor que “(…) el </w:t>
      </w:r>
      <w:r>
        <w:rPr>
          <w:spacing w:val="-2"/>
        </w:rPr>
        <w:t>silencio</w:t>
      </w:r>
    </w:p>
    <w:p w:rsidR="00B10292" w:rsidRDefault="00B10292">
      <w:pPr>
        <w:spacing w:line="480" w:lineRule="auto"/>
        <w:jc w:val="both"/>
        <w:sectPr w:rsidR="00B10292" w:rsidSect="00415848">
          <w:pgSz w:w="11920" w:h="16840"/>
          <w:pgMar w:top="1360" w:right="1320" w:bottom="280" w:left="1340" w:header="720" w:footer="720" w:gutter="0"/>
          <w:cols w:space="720"/>
        </w:sectPr>
      </w:pPr>
    </w:p>
    <w:p w:rsidR="00B10292" w:rsidRDefault="00000000">
      <w:pPr>
        <w:pStyle w:val="Textoindependiente"/>
        <w:spacing w:before="80" w:line="480" w:lineRule="auto"/>
        <w:ind w:left="100" w:right="134"/>
        <w:jc w:val="both"/>
      </w:pPr>
      <w:r>
        <w:t>administrativo no es una forma de terminar el procedimiento propiamente tal, sino que</w:t>
      </w:r>
      <w:r>
        <w:rPr>
          <w:spacing w:val="-3"/>
        </w:rPr>
        <w:t xml:space="preserve"> </w:t>
      </w:r>
      <w:r>
        <w:t>constituye</w:t>
      </w:r>
      <w:r>
        <w:rPr>
          <w:spacing w:val="-3"/>
        </w:rPr>
        <w:t xml:space="preserve"> </w:t>
      </w:r>
      <w:r>
        <w:t>una</w:t>
      </w:r>
      <w:r>
        <w:rPr>
          <w:spacing w:val="-3"/>
        </w:rPr>
        <w:t xml:space="preserve"> </w:t>
      </w:r>
      <w:r>
        <w:t>presunción</w:t>
      </w:r>
      <w:r>
        <w:rPr>
          <w:spacing w:val="-3"/>
        </w:rPr>
        <w:t xml:space="preserve"> </w:t>
      </w:r>
      <w:r>
        <w:t>que</w:t>
      </w:r>
      <w:r>
        <w:rPr>
          <w:spacing w:val="-3"/>
        </w:rPr>
        <w:t xml:space="preserve"> </w:t>
      </w:r>
      <w:r>
        <w:t>la</w:t>
      </w:r>
      <w:r>
        <w:rPr>
          <w:spacing w:val="-3"/>
        </w:rPr>
        <w:t xml:space="preserve"> </w:t>
      </w:r>
      <w:r>
        <w:t>ley</w:t>
      </w:r>
      <w:r>
        <w:rPr>
          <w:spacing w:val="-3"/>
        </w:rPr>
        <w:t xml:space="preserve"> </w:t>
      </w:r>
      <w:r>
        <w:t>establece,</w:t>
      </w:r>
      <w:r>
        <w:rPr>
          <w:spacing w:val="-3"/>
        </w:rPr>
        <w:t xml:space="preserve"> </w:t>
      </w:r>
      <w:r>
        <w:t>en</w:t>
      </w:r>
      <w:r>
        <w:rPr>
          <w:spacing w:val="-3"/>
        </w:rPr>
        <w:t xml:space="preserve"> </w:t>
      </w:r>
      <w:r>
        <w:t>garantía</w:t>
      </w:r>
      <w:r>
        <w:rPr>
          <w:spacing w:val="-3"/>
        </w:rPr>
        <w:t xml:space="preserve"> </w:t>
      </w:r>
      <w:r>
        <w:t>del</w:t>
      </w:r>
      <w:r>
        <w:rPr>
          <w:spacing w:val="-3"/>
        </w:rPr>
        <w:t xml:space="preserve"> </w:t>
      </w:r>
      <w:r>
        <w:t>recurrente,</w:t>
      </w:r>
      <w:r>
        <w:rPr>
          <w:spacing w:val="-3"/>
        </w:rPr>
        <w:t xml:space="preserve"> </w:t>
      </w:r>
      <w:r>
        <w:t>ante</w:t>
      </w:r>
      <w:r>
        <w:rPr>
          <w:spacing w:val="-3"/>
        </w:rPr>
        <w:t xml:space="preserve"> </w:t>
      </w:r>
      <w:r>
        <w:t>la pasividad de la Administración para responder. Esta omisión vulnera el principio básico de</w:t>
      </w:r>
      <w:r>
        <w:rPr>
          <w:spacing w:val="-3"/>
        </w:rPr>
        <w:t xml:space="preserve"> </w:t>
      </w:r>
      <w:r>
        <w:t>la</w:t>
      </w:r>
      <w:r>
        <w:rPr>
          <w:spacing w:val="-3"/>
        </w:rPr>
        <w:t xml:space="preserve"> </w:t>
      </w:r>
      <w:r>
        <w:t>servicialidad</w:t>
      </w:r>
      <w:r>
        <w:rPr>
          <w:spacing w:val="-3"/>
        </w:rPr>
        <w:t xml:space="preserve"> </w:t>
      </w:r>
      <w:r>
        <w:t>de</w:t>
      </w:r>
      <w:r>
        <w:rPr>
          <w:spacing w:val="-3"/>
        </w:rPr>
        <w:t xml:space="preserve"> </w:t>
      </w:r>
      <w:r>
        <w:t>la</w:t>
      </w:r>
      <w:r>
        <w:rPr>
          <w:spacing w:val="-3"/>
        </w:rPr>
        <w:t xml:space="preserve"> </w:t>
      </w:r>
      <w:r>
        <w:t>Administración</w:t>
      </w:r>
      <w:r>
        <w:rPr>
          <w:spacing w:val="-3"/>
        </w:rPr>
        <w:t xml:space="preserve"> </w:t>
      </w:r>
      <w:r>
        <w:t>del</w:t>
      </w:r>
      <w:r>
        <w:rPr>
          <w:spacing w:val="-3"/>
        </w:rPr>
        <w:t xml:space="preserve"> </w:t>
      </w:r>
      <w:r>
        <w:t>Estado,</w:t>
      </w:r>
      <w:r>
        <w:rPr>
          <w:spacing w:val="-3"/>
        </w:rPr>
        <w:t xml:space="preserve"> </w:t>
      </w:r>
      <w:r>
        <w:t>que</w:t>
      </w:r>
      <w:r>
        <w:rPr>
          <w:spacing w:val="-3"/>
        </w:rPr>
        <w:t xml:space="preserve"> </w:t>
      </w:r>
      <w:r>
        <w:t>establece</w:t>
      </w:r>
      <w:r>
        <w:rPr>
          <w:spacing w:val="-3"/>
        </w:rPr>
        <w:t xml:space="preserve"> </w:t>
      </w:r>
      <w:r>
        <w:t>la</w:t>
      </w:r>
      <w:r>
        <w:rPr>
          <w:spacing w:val="-3"/>
        </w:rPr>
        <w:t xml:space="preserve"> </w:t>
      </w:r>
      <w:r>
        <w:t>obligación del órgano administrativo de mantenerse en funcionamiento permanente, efectuando, en la ocasión precisa, las prestaciones que la</w:t>
      </w:r>
      <w:r>
        <w:rPr>
          <w:spacing w:val="-3"/>
        </w:rPr>
        <w:t xml:space="preserve"> </w:t>
      </w:r>
      <w:r>
        <w:t>ley</w:t>
      </w:r>
      <w:r>
        <w:rPr>
          <w:spacing w:val="-3"/>
        </w:rPr>
        <w:t xml:space="preserve"> </w:t>
      </w:r>
      <w:r>
        <w:t>le</w:t>
      </w:r>
      <w:r>
        <w:rPr>
          <w:spacing w:val="-3"/>
        </w:rPr>
        <w:t xml:space="preserve"> </w:t>
      </w:r>
      <w:r>
        <w:t>encomiende,</w:t>
      </w:r>
      <w:r>
        <w:rPr>
          <w:spacing w:val="-3"/>
        </w:rPr>
        <w:t xml:space="preserve"> </w:t>
      </w:r>
      <w:r>
        <w:t>dándole adecuada, oportuna y necesaria respuesta a los administrados”</w:t>
      </w:r>
      <w:r>
        <w:rPr>
          <w:vertAlign w:val="superscript"/>
        </w:rPr>
        <w:t>4</w:t>
      </w:r>
      <w:r>
        <w:t>.</w:t>
      </w:r>
    </w:p>
    <w:p w:rsidR="00B10292" w:rsidRDefault="00000000">
      <w:pPr>
        <w:pStyle w:val="Textoindependiente"/>
        <w:spacing w:before="160" w:line="480" w:lineRule="auto"/>
        <w:ind w:left="100" w:right="135"/>
        <w:jc w:val="both"/>
      </w:pPr>
      <w:r>
        <w:t>La falta de oportunidad en las decisiones de los órganos administrativos constituye una fuente de enormes incertidumbres, las que perjudican gravemente la capacidad de nuestro país de contar con proyectos ambiciosos y construir una economía pujante. Dada la trascendencia que tienen las solicitudes que debe resolver el CNM para el desarrollo cultural, la conservación patrimonial y el progreso económico, parece razonable declarar la aplicabilidad general de la institución del silencio administrativo a los procedimientos en que interviene el órgano como forma de dar claridad normativa y certeza jurídica</w:t>
      </w:r>
      <w:r>
        <w:rPr>
          <w:spacing w:val="-3"/>
        </w:rPr>
        <w:t xml:space="preserve"> </w:t>
      </w:r>
      <w:r>
        <w:t>sobre</w:t>
      </w:r>
      <w:r>
        <w:rPr>
          <w:spacing w:val="-3"/>
        </w:rPr>
        <w:t xml:space="preserve"> </w:t>
      </w:r>
      <w:r>
        <w:t>los</w:t>
      </w:r>
      <w:r>
        <w:rPr>
          <w:spacing w:val="-3"/>
        </w:rPr>
        <w:t xml:space="preserve"> </w:t>
      </w:r>
      <w:r>
        <w:t>efectos</w:t>
      </w:r>
      <w:r>
        <w:rPr>
          <w:spacing w:val="-3"/>
        </w:rPr>
        <w:t xml:space="preserve"> </w:t>
      </w:r>
      <w:r>
        <w:t>de</w:t>
      </w:r>
      <w:r>
        <w:rPr>
          <w:spacing w:val="-3"/>
        </w:rPr>
        <w:t xml:space="preserve"> </w:t>
      </w:r>
      <w:r>
        <w:t>las</w:t>
      </w:r>
      <w:r>
        <w:rPr>
          <w:spacing w:val="-3"/>
        </w:rPr>
        <w:t xml:space="preserve"> </w:t>
      </w:r>
      <w:r>
        <w:t>omisiones</w:t>
      </w:r>
      <w:r>
        <w:rPr>
          <w:spacing w:val="-3"/>
        </w:rPr>
        <w:t xml:space="preserve"> </w:t>
      </w:r>
      <w:r>
        <w:t>graves</w:t>
      </w:r>
      <w:r>
        <w:rPr>
          <w:spacing w:val="-3"/>
        </w:rPr>
        <w:t xml:space="preserve"> </w:t>
      </w:r>
      <w:r>
        <w:t>en</w:t>
      </w:r>
      <w:r>
        <w:rPr>
          <w:spacing w:val="-3"/>
        </w:rPr>
        <w:t xml:space="preserve"> </w:t>
      </w:r>
      <w:r>
        <w:t>que incurre la Administración del Estado.</w:t>
      </w:r>
    </w:p>
    <w:p w:rsidR="00B10292" w:rsidRDefault="00000000">
      <w:pPr>
        <w:pStyle w:val="Textoindependiente"/>
        <w:spacing w:before="160" w:line="480" w:lineRule="auto"/>
        <w:ind w:left="100" w:right="134"/>
        <w:jc w:val="both"/>
      </w:pPr>
      <w:r>
        <w:t>Sobre el particular, existen antecedentes contradictorios acerca de la aplicación del silencio administrativo en los procedimientos del CMN. En un principio, el propio CMN reconoció la aplicabilidad de dicha institución en las solicitudes respecto de bienes arqueológicos, los que por tratarse de bienes fiscales, harían que opere el silencio en sentido negativo</w:t>
      </w:r>
      <w:r>
        <w:rPr>
          <w:vertAlign w:val="superscript"/>
        </w:rPr>
        <w:t>5</w:t>
      </w:r>
      <w:r>
        <w:t>. Por su parte, la Contraloría también reconoció, de manera implícita, que las disposiciones de los artículos 64 y 65 de la Ley N° 19.880 resultan,</w:t>
      </w:r>
      <w:r>
        <w:rPr>
          <w:spacing w:val="-1"/>
        </w:rPr>
        <w:t xml:space="preserve"> </w:t>
      </w:r>
      <w:r>
        <w:t>en</w:t>
      </w:r>
      <w:r>
        <w:rPr>
          <w:spacing w:val="-1"/>
        </w:rPr>
        <w:t xml:space="preserve"> </w:t>
      </w:r>
      <w:r>
        <w:t>principio,</w:t>
      </w:r>
      <w:r>
        <w:rPr>
          <w:spacing w:val="-1"/>
        </w:rPr>
        <w:t xml:space="preserve"> </w:t>
      </w:r>
      <w:r>
        <w:t>aplicables a</w:t>
      </w:r>
      <w:r>
        <w:rPr>
          <w:spacing w:val="-1"/>
        </w:rPr>
        <w:t xml:space="preserve"> </w:t>
      </w:r>
      <w:r>
        <w:t>los</w:t>
      </w:r>
      <w:r>
        <w:rPr>
          <w:spacing w:val="-1"/>
        </w:rPr>
        <w:t xml:space="preserve"> </w:t>
      </w:r>
      <w:r>
        <w:t>procedimientos</w:t>
      </w:r>
      <w:r>
        <w:rPr>
          <w:spacing w:val="-1"/>
        </w:rPr>
        <w:t xml:space="preserve"> </w:t>
      </w:r>
      <w:r>
        <w:t>desarrollados por</w:t>
      </w:r>
      <w:r>
        <w:rPr>
          <w:spacing w:val="-1"/>
        </w:rPr>
        <w:t xml:space="preserve"> </w:t>
      </w:r>
      <w:r>
        <w:t>el</w:t>
      </w:r>
      <w:r>
        <w:rPr>
          <w:spacing w:val="-1"/>
        </w:rPr>
        <w:t xml:space="preserve"> </w:t>
      </w:r>
      <w:r>
        <w:t>CMN</w:t>
      </w:r>
      <w:r>
        <w:rPr>
          <w:vertAlign w:val="superscript"/>
        </w:rPr>
        <w:t>6</w:t>
      </w:r>
      <w:r>
        <w:t>.</w:t>
      </w:r>
      <w:r>
        <w:rPr>
          <w:spacing w:val="-1"/>
        </w:rPr>
        <w:t xml:space="preserve"> </w:t>
      </w:r>
      <w:r>
        <w:rPr>
          <w:spacing w:val="-5"/>
        </w:rPr>
        <w:t>Sin</w:t>
      </w:r>
    </w:p>
    <w:p w:rsidR="00B10292" w:rsidRDefault="00000000">
      <w:pPr>
        <w:pStyle w:val="Textoindependiente"/>
        <w:spacing w:before="7"/>
        <w:rPr>
          <w:sz w:val="9"/>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84782</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8626E" id="Graphic 8" o:spid="_x0000_s1026" style="position:absolute;margin-left:1in;margin-top:6.7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" path="m,l1828800,e" filled="f">
                <v:path arrowok="t"/>
                <w10:wrap type="topAndBottom" anchorx="page"/>
              </v:shape>
            </w:pict>
          </mc:Fallback>
        </mc:AlternateContent>
      </w:r>
    </w:p>
    <w:p w:rsidR="00B10292" w:rsidRDefault="00000000">
      <w:pPr>
        <w:spacing w:before="102"/>
        <w:ind w:left="100"/>
        <w:rPr>
          <w:rFonts w:ascii="Arial" w:hAnsi="Arial"/>
          <w:sz w:val="18"/>
        </w:rPr>
      </w:pPr>
      <w:r>
        <w:rPr>
          <w:rFonts w:ascii="Arial" w:hAnsi="Arial"/>
          <w:sz w:val="18"/>
          <w:vertAlign w:val="superscript"/>
        </w:rPr>
        <w:t>4</w:t>
      </w:r>
      <w:r>
        <w:rPr>
          <w:rFonts w:ascii="Arial" w:hAnsi="Arial"/>
          <w:spacing w:val="25"/>
          <w:sz w:val="18"/>
        </w:rPr>
        <w:t xml:space="preserve"> </w:t>
      </w:r>
      <w:r>
        <w:rPr>
          <w:rFonts w:ascii="Arial" w:hAnsi="Arial"/>
          <w:sz w:val="18"/>
        </w:rPr>
        <w:t>Cordero,</w:t>
      </w:r>
      <w:r>
        <w:rPr>
          <w:rFonts w:ascii="Arial" w:hAnsi="Arial"/>
          <w:spacing w:val="26"/>
          <w:sz w:val="18"/>
        </w:rPr>
        <w:t xml:space="preserve"> </w:t>
      </w:r>
      <w:r>
        <w:rPr>
          <w:rFonts w:ascii="Arial" w:hAnsi="Arial"/>
          <w:sz w:val="18"/>
        </w:rPr>
        <w:t xml:space="preserve">Luis. </w:t>
      </w:r>
      <w:r>
        <w:rPr>
          <w:rFonts w:ascii="Arial" w:hAnsi="Arial"/>
          <w:i/>
          <w:sz w:val="18"/>
        </w:rPr>
        <w:t>Lecciones de Derecho Administrativo</w:t>
      </w:r>
      <w:r>
        <w:rPr>
          <w:rFonts w:ascii="Arial" w:hAnsi="Arial"/>
          <w:sz w:val="18"/>
        </w:rPr>
        <w:t>. Legal Publishing Chile. Segunda edición, abril de 2015. Página 283.</w:t>
      </w:r>
    </w:p>
    <w:p w:rsidR="00B10292" w:rsidRDefault="00000000">
      <w:pPr>
        <w:spacing w:before="18"/>
        <w:ind w:left="100"/>
        <w:rPr>
          <w:rFonts w:ascii="Arial" w:hAnsi="Arial"/>
          <w:sz w:val="18"/>
        </w:rPr>
      </w:pPr>
      <w:r>
        <w:rPr>
          <w:rFonts w:ascii="Arial" w:hAnsi="Arial"/>
          <w:sz w:val="18"/>
          <w:vertAlign w:val="superscript"/>
        </w:rPr>
        <w:t>5</w:t>
      </w:r>
      <w:r>
        <w:rPr>
          <w:rFonts w:ascii="Arial" w:hAnsi="Arial"/>
          <w:spacing w:val="-4"/>
          <w:sz w:val="18"/>
        </w:rPr>
        <w:t xml:space="preserve"> </w:t>
      </w:r>
      <w:r>
        <w:rPr>
          <w:rFonts w:ascii="Arial" w:hAnsi="Arial"/>
          <w:sz w:val="18"/>
        </w:rPr>
        <w:t>Ordinario N° 1776-2014 del Consejo</w:t>
      </w:r>
      <w:r>
        <w:rPr>
          <w:rFonts w:ascii="Arial" w:hAnsi="Arial"/>
          <w:spacing w:val="-1"/>
          <w:sz w:val="18"/>
        </w:rPr>
        <w:t xml:space="preserve"> </w:t>
      </w:r>
      <w:r>
        <w:rPr>
          <w:rFonts w:ascii="Arial" w:hAnsi="Arial"/>
          <w:sz w:val="18"/>
        </w:rPr>
        <w:t>de Monumentos Nacionales, págs. 2-</w:t>
      </w:r>
      <w:r>
        <w:rPr>
          <w:rFonts w:ascii="Arial" w:hAnsi="Arial"/>
          <w:spacing w:val="-5"/>
          <w:sz w:val="18"/>
        </w:rPr>
        <w:t>3.</w:t>
      </w:r>
    </w:p>
    <w:p w:rsidR="00B10292" w:rsidRDefault="00000000">
      <w:pPr>
        <w:spacing w:before="5"/>
        <w:ind w:left="100"/>
        <w:rPr>
          <w:rFonts w:ascii="Arial" w:hAnsi="Arial"/>
          <w:sz w:val="18"/>
        </w:rPr>
      </w:pPr>
      <w:r>
        <w:rPr>
          <w:rFonts w:ascii="Arial" w:hAnsi="Arial"/>
          <w:sz w:val="18"/>
          <w:vertAlign w:val="superscript"/>
        </w:rPr>
        <w:t>6</w:t>
      </w:r>
      <w:r>
        <w:rPr>
          <w:rFonts w:ascii="Arial" w:hAnsi="Arial"/>
          <w:spacing w:val="-4"/>
          <w:sz w:val="18"/>
        </w:rPr>
        <w:t xml:space="preserve"> </w:t>
      </w:r>
      <w:r>
        <w:rPr>
          <w:rFonts w:ascii="Arial" w:hAnsi="Arial"/>
          <w:sz w:val="18"/>
        </w:rPr>
        <w:t>Dictamen N° 28.545 de Contraloría General de</w:t>
      </w:r>
      <w:r>
        <w:rPr>
          <w:rFonts w:ascii="Arial" w:hAnsi="Arial"/>
          <w:spacing w:val="-1"/>
          <w:sz w:val="18"/>
        </w:rPr>
        <w:t xml:space="preserve"> </w:t>
      </w:r>
      <w:r>
        <w:rPr>
          <w:rFonts w:ascii="Arial" w:hAnsi="Arial"/>
          <w:sz w:val="18"/>
        </w:rPr>
        <w:t xml:space="preserve">la República de 1 de agosto de </w:t>
      </w:r>
      <w:r>
        <w:rPr>
          <w:rFonts w:ascii="Arial" w:hAnsi="Arial"/>
          <w:spacing w:val="-2"/>
          <w:sz w:val="18"/>
        </w:rPr>
        <w:t>2017.</w:t>
      </w:r>
    </w:p>
    <w:p w:rsidR="00B10292" w:rsidRDefault="00B10292">
      <w:pPr>
        <w:rPr>
          <w:rFonts w:ascii="Arial" w:hAnsi="Arial"/>
          <w:sz w:val="18"/>
        </w:rPr>
        <w:sectPr w:rsidR="00B10292" w:rsidSect="00415848">
          <w:pgSz w:w="11920" w:h="16840"/>
          <w:pgMar w:top="1360" w:right="1320" w:bottom="280" w:left="1340" w:header="720" w:footer="720" w:gutter="0"/>
          <w:cols w:space="720"/>
        </w:sectPr>
      </w:pPr>
    </w:p>
    <w:p w:rsidR="00B10292" w:rsidRDefault="00000000">
      <w:pPr>
        <w:pStyle w:val="Textoindependiente"/>
        <w:spacing w:before="80" w:line="480" w:lineRule="auto"/>
        <w:ind w:left="100" w:right="133"/>
        <w:jc w:val="both"/>
      </w:pPr>
      <w:r>
        <w:t>embargo, el propio órgano contralor echó pie atrás respecto de</w:t>
      </w:r>
      <w:r>
        <w:rPr>
          <w:spacing w:val="-3"/>
        </w:rPr>
        <w:t xml:space="preserve"> </w:t>
      </w:r>
      <w:r>
        <w:t>dicha</w:t>
      </w:r>
      <w:r>
        <w:rPr>
          <w:spacing w:val="-3"/>
        </w:rPr>
        <w:t xml:space="preserve"> </w:t>
      </w:r>
      <w:r>
        <w:t>interpretación, al sostener con posterioridad que aún cuando la propia Ley N°17.288 no contiene regulación de procedimientos administrativos especiales, ni fija un plazo dentro del cual el órgano debe resolver las diversas peticiones que se le formulen, el pronunciamiento del CMN implica efectuar un análisis altamente técnico de las solicitudes, por lo que la institución del silencio administrativo no sería aplicable a sus procedimientos por no ser compatible con su naturaleza</w:t>
      </w:r>
      <w:r>
        <w:rPr>
          <w:vertAlign w:val="superscript"/>
        </w:rPr>
        <w:t>7</w:t>
      </w:r>
      <w:r>
        <w:t>.</w:t>
      </w:r>
    </w:p>
    <w:p w:rsidR="00B10292" w:rsidRDefault="00000000">
      <w:pPr>
        <w:pStyle w:val="Textoindependiente"/>
        <w:spacing w:before="160" w:line="480" w:lineRule="auto"/>
        <w:ind w:left="100" w:right="133"/>
        <w:jc w:val="both"/>
      </w:pPr>
      <w:r>
        <w:t>Como se observa, la situación normativa del silencio administrativo en los procedimientos del CMN ha variado en el tiempo, y el escenario resultante es sin duda insatisfactorio. Por un lado, y por más técnicas que sean las solicitudes que tramita el CMN, se cuenta con un tiempo razonable para resolverlas</w:t>
      </w:r>
      <w:r>
        <w:rPr>
          <w:vertAlign w:val="superscript"/>
        </w:rPr>
        <w:t>8</w:t>
      </w:r>
      <w:r>
        <w:t>. Y por otro, se profundiza la incertidumbre jurídica para los proyectos que se desarrollan a nivel nacional y en los que tiene injerencia, en algún punto, el CMN. Aún</w:t>
      </w:r>
      <w:r>
        <w:rPr>
          <w:spacing w:val="-2"/>
        </w:rPr>
        <w:t xml:space="preserve"> </w:t>
      </w:r>
      <w:r>
        <w:t>más,</w:t>
      </w:r>
      <w:r>
        <w:rPr>
          <w:spacing w:val="-2"/>
        </w:rPr>
        <w:t xml:space="preserve"> </w:t>
      </w:r>
      <w:r>
        <w:t>esta</w:t>
      </w:r>
      <w:r>
        <w:rPr>
          <w:spacing w:val="-2"/>
        </w:rPr>
        <w:t xml:space="preserve"> </w:t>
      </w:r>
      <w:r>
        <w:t>forma de operar ha traído como consecuencia que se deba recurrir a tribunales, para que sean estos los que ordenen y pongan plazos judiciales al órgano para resolver las solicitudes que se le formulan y con ello cerrar estos extensos periodos de incerteza para los interesados</w:t>
      </w:r>
      <w:r>
        <w:rPr>
          <w:vertAlign w:val="superscript"/>
        </w:rPr>
        <w:t>9</w:t>
      </w:r>
      <w:r>
        <w:t>.</w:t>
      </w:r>
    </w:p>
    <w:p w:rsidR="00B10292" w:rsidRDefault="00000000">
      <w:pPr>
        <w:pStyle w:val="Textoindependiente"/>
        <w:spacing w:before="160" w:line="480" w:lineRule="auto"/>
        <w:ind w:left="100" w:right="133"/>
        <w:jc w:val="both"/>
      </w:pPr>
      <w:r>
        <w:t>Por ende, una norma como la propuesta, que reafirme y explicite la aplicabilidad de del silencio administrativo a los procedimientos del CMN, contribuiría a proveer certeza jurídica a los administrados respecto de las peticiones que se realizan a la autoridad, ya que</w:t>
      </w:r>
      <w:r>
        <w:rPr>
          <w:spacing w:val="-3"/>
        </w:rPr>
        <w:t xml:space="preserve"> </w:t>
      </w:r>
      <w:r>
        <w:t>una</w:t>
      </w:r>
      <w:r>
        <w:rPr>
          <w:spacing w:val="-3"/>
        </w:rPr>
        <w:t xml:space="preserve"> </w:t>
      </w:r>
      <w:r>
        <w:t>vez</w:t>
      </w:r>
      <w:r>
        <w:rPr>
          <w:spacing w:val="-3"/>
        </w:rPr>
        <w:t xml:space="preserve"> </w:t>
      </w:r>
      <w:r>
        <w:t>transcurridos</w:t>
      </w:r>
      <w:r>
        <w:rPr>
          <w:spacing w:val="-3"/>
        </w:rPr>
        <w:t xml:space="preserve"> </w:t>
      </w:r>
      <w:r>
        <w:t>los</w:t>
      </w:r>
      <w:r>
        <w:rPr>
          <w:spacing w:val="-3"/>
        </w:rPr>
        <w:t xml:space="preserve"> </w:t>
      </w:r>
      <w:r>
        <w:t>plazos</w:t>
      </w:r>
      <w:r>
        <w:rPr>
          <w:spacing w:val="-3"/>
        </w:rPr>
        <w:t xml:space="preserve"> </w:t>
      </w:r>
      <w:r>
        <w:t>para</w:t>
      </w:r>
      <w:r>
        <w:rPr>
          <w:spacing w:val="-3"/>
        </w:rPr>
        <w:t xml:space="preserve"> </w:t>
      </w:r>
      <w:r>
        <w:t>el</w:t>
      </w:r>
      <w:r>
        <w:rPr>
          <w:spacing w:val="-3"/>
        </w:rPr>
        <w:t xml:space="preserve"> </w:t>
      </w:r>
      <w:r>
        <w:t>pronunciamiento</w:t>
      </w:r>
      <w:r>
        <w:rPr>
          <w:spacing w:val="-3"/>
        </w:rPr>
        <w:t xml:space="preserve"> </w:t>
      </w:r>
      <w:r>
        <w:t>por</w:t>
      </w:r>
      <w:r>
        <w:rPr>
          <w:spacing w:val="-3"/>
        </w:rPr>
        <w:t xml:space="preserve"> </w:t>
      </w:r>
      <w:r>
        <w:t>parte del CMN, se tendrá seguridad de que</w:t>
      </w:r>
      <w:r>
        <w:rPr>
          <w:spacing w:val="-3"/>
        </w:rPr>
        <w:t xml:space="preserve"> </w:t>
      </w:r>
      <w:r>
        <w:t>se</w:t>
      </w:r>
      <w:r>
        <w:rPr>
          <w:spacing w:val="-3"/>
        </w:rPr>
        <w:t xml:space="preserve"> </w:t>
      </w:r>
      <w:r>
        <w:t>aplica</w:t>
      </w:r>
      <w:r>
        <w:rPr>
          <w:spacing w:val="-3"/>
        </w:rPr>
        <w:t xml:space="preserve"> </w:t>
      </w:r>
      <w:r>
        <w:t>el</w:t>
      </w:r>
      <w:r>
        <w:rPr>
          <w:spacing w:val="-3"/>
        </w:rPr>
        <w:t xml:space="preserve"> </w:t>
      </w:r>
      <w:r>
        <w:t>silencio</w:t>
      </w:r>
      <w:r>
        <w:rPr>
          <w:spacing w:val="-3"/>
        </w:rPr>
        <w:t xml:space="preserve"> </w:t>
      </w:r>
      <w:r>
        <w:t>administrativo,</w:t>
      </w:r>
      <w:r>
        <w:rPr>
          <w:spacing w:val="-3"/>
        </w:rPr>
        <w:t xml:space="preserve"> </w:t>
      </w:r>
      <w:r>
        <w:t>y</w:t>
      </w:r>
      <w:r>
        <w:rPr>
          <w:spacing w:val="-3"/>
        </w:rPr>
        <w:t xml:space="preserve"> </w:t>
      </w:r>
      <w:r>
        <w:t>por</w:t>
      </w:r>
      <w:r>
        <w:rPr>
          <w:spacing w:val="-3"/>
        </w:rPr>
        <w:t xml:space="preserve"> </w:t>
      </w:r>
      <w:r>
        <w:t>tanto, se</w:t>
      </w:r>
      <w:r>
        <w:rPr>
          <w:spacing w:val="75"/>
          <w:w w:val="150"/>
        </w:rPr>
        <w:t xml:space="preserve"> </w:t>
      </w:r>
      <w:r>
        <w:t>abren</w:t>
      </w:r>
      <w:r>
        <w:rPr>
          <w:spacing w:val="60"/>
          <w:w w:val="150"/>
        </w:rPr>
        <w:t xml:space="preserve"> </w:t>
      </w:r>
      <w:r>
        <w:t>una</w:t>
      </w:r>
      <w:r>
        <w:rPr>
          <w:spacing w:val="60"/>
          <w:w w:val="150"/>
        </w:rPr>
        <w:t xml:space="preserve"> </w:t>
      </w:r>
      <w:r>
        <w:t>serie</w:t>
      </w:r>
      <w:r>
        <w:rPr>
          <w:spacing w:val="60"/>
          <w:w w:val="150"/>
        </w:rPr>
        <w:t xml:space="preserve"> </w:t>
      </w:r>
      <w:r>
        <w:t>de</w:t>
      </w:r>
      <w:r>
        <w:rPr>
          <w:spacing w:val="60"/>
          <w:w w:val="150"/>
        </w:rPr>
        <w:t xml:space="preserve"> </w:t>
      </w:r>
      <w:r>
        <w:t>opciones</w:t>
      </w:r>
      <w:r>
        <w:rPr>
          <w:spacing w:val="60"/>
          <w:w w:val="150"/>
        </w:rPr>
        <w:t xml:space="preserve"> </w:t>
      </w:r>
      <w:r>
        <w:t>para</w:t>
      </w:r>
      <w:r>
        <w:rPr>
          <w:spacing w:val="60"/>
          <w:w w:val="150"/>
        </w:rPr>
        <w:t xml:space="preserve"> </w:t>
      </w:r>
      <w:r>
        <w:t>el</w:t>
      </w:r>
      <w:r>
        <w:rPr>
          <w:spacing w:val="60"/>
          <w:w w:val="150"/>
        </w:rPr>
        <w:t xml:space="preserve"> </w:t>
      </w:r>
      <w:r>
        <w:t>solicitante.</w:t>
      </w:r>
      <w:r>
        <w:rPr>
          <w:spacing w:val="60"/>
          <w:w w:val="150"/>
        </w:rPr>
        <w:t xml:space="preserve"> </w:t>
      </w:r>
      <w:r>
        <w:t>Como</w:t>
      </w:r>
      <w:r>
        <w:rPr>
          <w:spacing w:val="60"/>
          <w:w w:val="150"/>
        </w:rPr>
        <w:t xml:space="preserve"> </w:t>
      </w:r>
      <w:r>
        <w:t>dijimos,</w:t>
      </w:r>
      <w:r>
        <w:rPr>
          <w:spacing w:val="60"/>
          <w:w w:val="150"/>
        </w:rPr>
        <w:t xml:space="preserve"> </w:t>
      </w:r>
      <w:r>
        <w:t>el</w:t>
      </w:r>
      <w:r>
        <w:rPr>
          <w:spacing w:val="60"/>
          <w:w w:val="150"/>
        </w:rPr>
        <w:t xml:space="preserve"> </w:t>
      </w:r>
      <w:r>
        <w:rPr>
          <w:spacing w:val="-2"/>
        </w:rPr>
        <w:t>silencio</w:t>
      </w:r>
    </w:p>
    <w:p w:rsidR="00B10292" w:rsidRDefault="00000000">
      <w:pPr>
        <w:pStyle w:val="Textoindependiente"/>
        <w:spacing w:before="10"/>
        <w:rPr>
          <w:sz w:val="10"/>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94307</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4F9AE" id="Graphic 9" o:spid="_x0000_s1026" style="position:absolute;margin-left:1in;margin-top:7.4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" path="m,l1828800,e" filled="f">
                <v:path arrowok="t"/>
                <w10:wrap type="topAndBottom" anchorx="page"/>
              </v:shape>
            </w:pict>
          </mc:Fallback>
        </mc:AlternateContent>
      </w:r>
    </w:p>
    <w:p w:rsidR="00B10292" w:rsidRDefault="00000000">
      <w:pPr>
        <w:spacing w:before="110"/>
        <w:ind w:left="100"/>
        <w:rPr>
          <w:rFonts w:ascii="Arial" w:hAnsi="Arial"/>
          <w:sz w:val="18"/>
        </w:rPr>
      </w:pPr>
      <w:r>
        <w:rPr>
          <w:rFonts w:ascii="Arial" w:hAnsi="Arial"/>
          <w:sz w:val="18"/>
          <w:vertAlign w:val="superscript"/>
        </w:rPr>
        <w:t>7</w:t>
      </w:r>
      <w:r>
        <w:rPr>
          <w:rFonts w:ascii="Arial" w:hAnsi="Arial"/>
          <w:spacing w:val="-4"/>
          <w:sz w:val="18"/>
        </w:rPr>
        <w:t xml:space="preserve"> </w:t>
      </w:r>
      <w:r>
        <w:rPr>
          <w:rFonts w:ascii="Arial" w:hAnsi="Arial"/>
          <w:sz w:val="18"/>
        </w:rPr>
        <w:t>Dictamen N° 65.723 de Contraloría General de</w:t>
      </w:r>
      <w:r>
        <w:rPr>
          <w:rFonts w:ascii="Arial" w:hAnsi="Arial"/>
          <w:spacing w:val="-1"/>
          <w:sz w:val="18"/>
        </w:rPr>
        <w:t xml:space="preserve"> </w:t>
      </w:r>
      <w:r>
        <w:rPr>
          <w:rFonts w:ascii="Arial" w:hAnsi="Arial"/>
          <w:sz w:val="18"/>
        </w:rPr>
        <w:t xml:space="preserve">la República de 5 de enero de </w:t>
      </w:r>
      <w:r>
        <w:rPr>
          <w:rFonts w:ascii="Arial" w:hAnsi="Arial"/>
          <w:spacing w:val="-2"/>
          <w:sz w:val="18"/>
        </w:rPr>
        <w:t>2021.</w:t>
      </w:r>
    </w:p>
    <w:p w:rsidR="00B10292" w:rsidRDefault="00000000">
      <w:pPr>
        <w:ind w:left="100"/>
        <w:rPr>
          <w:rFonts w:ascii="Arial" w:hAnsi="Arial"/>
          <w:sz w:val="18"/>
        </w:rPr>
      </w:pPr>
      <w:r>
        <w:rPr>
          <w:rFonts w:ascii="Arial" w:hAnsi="Arial"/>
          <w:sz w:val="18"/>
          <w:vertAlign w:val="superscript"/>
        </w:rPr>
        <w:t>8</w:t>
      </w:r>
      <w:r>
        <w:rPr>
          <w:rFonts w:ascii="Arial" w:hAnsi="Arial"/>
          <w:spacing w:val="26"/>
          <w:sz w:val="18"/>
        </w:rPr>
        <w:t xml:space="preserve"> </w:t>
      </w:r>
      <w:r>
        <w:rPr>
          <w:rFonts w:ascii="Arial" w:hAnsi="Arial"/>
          <w:sz w:val="18"/>
        </w:rPr>
        <w:t>Conforme</w:t>
      </w:r>
      <w:r>
        <w:rPr>
          <w:rFonts w:ascii="Arial" w:hAnsi="Arial"/>
          <w:spacing w:val="27"/>
          <w:sz w:val="18"/>
        </w:rPr>
        <w:t xml:space="preserve"> </w:t>
      </w:r>
      <w:r>
        <w:rPr>
          <w:rFonts w:ascii="Arial" w:hAnsi="Arial"/>
          <w:sz w:val="18"/>
        </w:rPr>
        <w:t>al</w:t>
      </w:r>
      <w:r>
        <w:rPr>
          <w:rFonts w:ascii="Arial" w:hAnsi="Arial"/>
          <w:spacing w:val="27"/>
          <w:sz w:val="18"/>
        </w:rPr>
        <w:t xml:space="preserve"> </w:t>
      </w:r>
      <w:r>
        <w:rPr>
          <w:rFonts w:ascii="Arial" w:hAnsi="Arial"/>
          <w:sz w:val="18"/>
        </w:rPr>
        <w:t>artículo</w:t>
      </w:r>
      <w:r>
        <w:rPr>
          <w:rFonts w:ascii="Arial" w:hAnsi="Arial"/>
          <w:spacing w:val="27"/>
          <w:sz w:val="18"/>
        </w:rPr>
        <w:t xml:space="preserve"> </w:t>
      </w:r>
      <w:r>
        <w:rPr>
          <w:rFonts w:ascii="Arial" w:hAnsi="Arial"/>
          <w:sz w:val="18"/>
        </w:rPr>
        <w:t>27</w:t>
      </w:r>
      <w:r>
        <w:rPr>
          <w:rFonts w:ascii="Arial" w:hAnsi="Arial"/>
          <w:spacing w:val="27"/>
          <w:sz w:val="18"/>
        </w:rPr>
        <w:t xml:space="preserve"> </w:t>
      </w:r>
      <w:r>
        <w:rPr>
          <w:rFonts w:ascii="Arial" w:hAnsi="Arial"/>
          <w:sz w:val="18"/>
        </w:rPr>
        <w:t>de</w:t>
      </w:r>
      <w:r>
        <w:rPr>
          <w:rFonts w:ascii="Arial" w:hAnsi="Arial"/>
          <w:spacing w:val="27"/>
          <w:sz w:val="18"/>
        </w:rPr>
        <w:t xml:space="preserve"> </w:t>
      </w:r>
      <w:r>
        <w:rPr>
          <w:rFonts w:ascii="Arial" w:hAnsi="Arial"/>
          <w:sz w:val="18"/>
        </w:rPr>
        <w:t>la</w:t>
      </w:r>
      <w:r>
        <w:rPr>
          <w:rFonts w:ascii="Arial" w:hAnsi="Arial"/>
          <w:spacing w:val="27"/>
          <w:sz w:val="18"/>
        </w:rPr>
        <w:t xml:space="preserve"> </w:t>
      </w:r>
      <w:r>
        <w:rPr>
          <w:rFonts w:ascii="Arial" w:hAnsi="Arial"/>
          <w:sz w:val="18"/>
        </w:rPr>
        <w:t>Ley</w:t>
      </w:r>
      <w:r>
        <w:rPr>
          <w:rFonts w:ascii="Arial" w:hAnsi="Arial"/>
          <w:spacing w:val="27"/>
          <w:sz w:val="18"/>
        </w:rPr>
        <w:t xml:space="preserve"> </w:t>
      </w:r>
      <w:r>
        <w:rPr>
          <w:rFonts w:ascii="Arial" w:hAnsi="Arial"/>
          <w:sz w:val="18"/>
        </w:rPr>
        <w:t>N°</w:t>
      </w:r>
      <w:r>
        <w:rPr>
          <w:rFonts w:ascii="Arial" w:hAnsi="Arial"/>
          <w:spacing w:val="27"/>
          <w:sz w:val="18"/>
        </w:rPr>
        <w:t xml:space="preserve"> </w:t>
      </w:r>
      <w:r>
        <w:rPr>
          <w:rFonts w:ascii="Arial" w:hAnsi="Arial"/>
          <w:sz w:val="18"/>
        </w:rPr>
        <w:t>19.880,</w:t>
      </w:r>
      <w:r>
        <w:rPr>
          <w:rFonts w:ascii="Arial" w:hAnsi="Arial"/>
          <w:spacing w:val="27"/>
          <w:sz w:val="18"/>
        </w:rPr>
        <w:t xml:space="preserve"> </w:t>
      </w:r>
      <w:r>
        <w:rPr>
          <w:rFonts w:ascii="Arial" w:hAnsi="Arial"/>
          <w:sz w:val="18"/>
        </w:rPr>
        <w:t>el</w:t>
      </w:r>
      <w:r>
        <w:rPr>
          <w:rFonts w:ascii="Arial" w:hAnsi="Arial"/>
          <w:spacing w:val="27"/>
          <w:sz w:val="18"/>
        </w:rPr>
        <w:t xml:space="preserve"> </w:t>
      </w:r>
      <w:r>
        <w:rPr>
          <w:rFonts w:ascii="Arial" w:hAnsi="Arial"/>
          <w:sz w:val="18"/>
        </w:rPr>
        <w:t>plazo</w:t>
      </w:r>
      <w:r>
        <w:rPr>
          <w:rFonts w:ascii="Arial" w:hAnsi="Arial"/>
          <w:spacing w:val="27"/>
          <w:sz w:val="18"/>
        </w:rPr>
        <w:t xml:space="preserve"> </w:t>
      </w:r>
      <w:r>
        <w:rPr>
          <w:rFonts w:ascii="Arial" w:hAnsi="Arial"/>
          <w:sz w:val="18"/>
        </w:rPr>
        <w:t>máximo</w:t>
      </w:r>
      <w:r>
        <w:rPr>
          <w:rFonts w:ascii="Arial" w:hAnsi="Arial"/>
          <w:spacing w:val="27"/>
          <w:sz w:val="18"/>
        </w:rPr>
        <w:t xml:space="preserve"> </w:t>
      </w:r>
      <w:r>
        <w:rPr>
          <w:rFonts w:ascii="Arial" w:hAnsi="Arial"/>
          <w:sz w:val="18"/>
        </w:rPr>
        <w:t>de</w:t>
      </w:r>
      <w:r>
        <w:rPr>
          <w:rFonts w:ascii="Arial" w:hAnsi="Arial"/>
          <w:spacing w:val="27"/>
          <w:sz w:val="18"/>
        </w:rPr>
        <w:t xml:space="preserve"> </w:t>
      </w:r>
      <w:r>
        <w:rPr>
          <w:rFonts w:ascii="Arial" w:hAnsi="Arial"/>
          <w:sz w:val="18"/>
        </w:rPr>
        <w:t>un</w:t>
      </w:r>
      <w:r>
        <w:rPr>
          <w:rFonts w:ascii="Arial" w:hAnsi="Arial"/>
          <w:spacing w:val="27"/>
          <w:sz w:val="18"/>
        </w:rPr>
        <w:t xml:space="preserve"> </w:t>
      </w:r>
      <w:r>
        <w:rPr>
          <w:rFonts w:ascii="Arial" w:hAnsi="Arial"/>
          <w:sz w:val="18"/>
        </w:rPr>
        <w:t>procedimiento</w:t>
      </w:r>
      <w:r>
        <w:rPr>
          <w:rFonts w:ascii="Arial" w:hAnsi="Arial"/>
          <w:spacing w:val="27"/>
          <w:sz w:val="18"/>
        </w:rPr>
        <w:t xml:space="preserve"> </w:t>
      </w:r>
      <w:r>
        <w:rPr>
          <w:rFonts w:ascii="Arial" w:hAnsi="Arial"/>
          <w:sz w:val="18"/>
        </w:rPr>
        <w:t>administrativo</w:t>
      </w:r>
      <w:r>
        <w:rPr>
          <w:rFonts w:ascii="Arial" w:hAnsi="Arial"/>
          <w:spacing w:val="13"/>
          <w:sz w:val="18"/>
        </w:rPr>
        <w:t xml:space="preserve"> </w:t>
      </w:r>
      <w:r>
        <w:rPr>
          <w:rFonts w:ascii="Arial" w:hAnsi="Arial"/>
          <w:sz w:val="18"/>
        </w:rPr>
        <w:t>es</w:t>
      </w:r>
      <w:r>
        <w:rPr>
          <w:rFonts w:ascii="Arial" w:hAnsi="Arial"/>
          <w:spacing w:val="13"/>
          <w:sz w:val="18"/>
        </w:rPr>
        <w:t xml:space="preserve"> </w:t>
      </w:r>
      <w:r>
        <w:rPr>
          <w:rFonts w:ascii="Arial" w:hAnsi="Arial"/>
          <w:sz w:val="18"/>
        </w:rPr>
        <w:t>de</w:t>
      </w:r>
      <w:r>
        <w:rPr>
          <w:rFonts w:ascii="Arial" w:hAnsi="Arial"/>
          <w:spacing w:val="13"/>
          <w:sz w:val="18"/>
        </w:rPr>
        <w:t xml:space="preserve"> </w:t>
      </w:r>
      <w:r>
        <w:rPr>
          <w:rFonts w:ascii="Arial" w:hAnsi="Arial"/>
          <w:sz w:val="18"/>
        </w:rPr>
        <w:t>6 meses desde su iniciación hasta la fecha en que se emita la decisión final.</w:t>
      </w:r>
    </w:p>
    <w:p w:rsidR="00B10292" w:rsidRDefault="00000000">
      <w:pPr>
        <w:ind w:left="100"/>
        <w:rPr>
          <w:rFonts w:ascii="Arial" w:hAnsi="Arial"/>
          <w:sz w:val="18"/>
        </w:rPr>
      </w:pPr>
      <w:r>
        <w:rPr>
          <w:rFonts w:ascii="Arial" w:hAnsi="Arial"/>
          <w:sz w:val="18"/>
          <w:vertAlign w:val="superscript"/>
        </w:rPr>
        <w:t>9</w:t>
      </w:r>
      <w:r>
        <w:rPr>
          <w:rFonts w:ascii="Arial" w:hAnsi="Arial"/>
          <w:spacing w:val="-4"/>
          <w:sz w:val="18"/>
        </w:rPr>
        <w:t xml:space="preserve"> </w:t>
      </w:r>
      <w:r>
        <w:rPr>
          <w:rFonts w:ascii="Arial" w:hAnsi="Arial"/>
          <w:sz w:val="18"/>
        </w:rPr>
        <w:t>Véase,</w:t>
      </w:r>
      <w:r>
        <w:rPr>
          <w:rFonts w:ascii="Arial" w:hAnsi="Arial"/>
          <w:spacing w:val="-1"/>
          <w:sz w:val="18"/>
        </w:rPr>
        <w:t xml:space="preserve"> </w:t>
      </w:r>
      <w:r>
        <w:rPr>
          <w:rFonts w:ascii="Arial" w:hAnsi="Arial"/>
          <w:sz w:val="18"/>
        </w:rPr>
        <w:t>a</w:t>
      </w:r>
      <w:r>
        <w:rPr>
          <w:rFonts w:ascii="Arial" w:hAnsi="Arial"/>
          <w:spacing w:val="-1"/>
          <w:sz w:val="18"/>
        </w:rPr>
        <w:t xml:space="preserve"> </w:t>
      </w:r>
      <w:r>
        <w:rPr>
          <w:rFonts w:ascii="Arial" w:hAnsi="Arial"/>
          <w:sz w:val="18"/>
        </w:rPr>
        <w:t>modo</w:t>
      </w:r>
      <w:r>
        <w:rPr>
          <w:rFonts w:ascii="Arial" w:hAnsi="Arial"/>
          <w:spacing w:val="-1"/>
          <w:sz w:val="18"/>
        </w:rPr>
        <w:t xml:space="preserve"> </w:t>
      </w:r>
      <w:r>
        <w:rPr>
          <w:rFonts w:ascii="Arial" w:hAnsi="Arial"/>
          <w:sz w:val="18"/>
        </w:rPr>
        <w:t>ejemplar, la</w:t>
      </w:r>
      <w:r>
        <w:rPr>
          <w:rFonts w:ascii="Arial" w:hAnsi="Arial"/>
          <w:spacing w:val="-1"/>
          <w:sz w:val="18"/>
        </w:rPr>
        <w:t xml:space="preserve"> </w:t>
      </w:r>
      <w:r>
        <w:rPr>
          <w:rFonts w:ascii="Arial" w:hAnsi="Arial"/>
          <w:sz w:val="18"/>
        </w:rPr>
        <w:t>Sentencia</w:t>
      </w:r>
      <w:r>
        <w:rPr>
          <w:rFonts w:ascii="Arial" w:hAnsi="Arial"/>
          <w:spacing w:val="-1"/>
          <w:sz w:val="18"/>
        </w:rPr>
        <w:t xml:space="preserve"> </w:t>
      </w:r>
      <w:r>
        <w:rPr>
          <w:rFonts w:ascii="Arial" w:hAnsi="Arial"/>
          <w:sz w:val="18"/>
        </w:rPr>
        <w:t>Rol</w:t>
      </w:r>
      <w:r>
        <w:rPr>
          <w:rFonts w:ascii="Arial" w:hAnsi="Arial"/>
          <w:spacing w:val="-1"/>
          <w:sz w:val="18"/>
        </w:rPr>
        <w:t xml:space="preserve"> </w:t>
      </w:r>
      <w:r>
        <w:rPr>
          <w:rFonts w:ascii="Arial" w:hAnsi="Arial"/>
          <w:sz w:val="18"/>
        </w:rPr>
        <w:t>601-2022</w:t>
      </w:r>
      <w:r>
        <w:rPr>
          <w:rFonts w:ascii="Arial" w:hAnsi="Arial"/>
          <w:spacing w:val="-1"/>
          <w:sz w:val="18"/>
        </w:rPr>
        <w:t xml:space="preserve"> </w:t>
      </w:r>
      <w:r>
        <w:rPr>
          <w:rFonts w:ascii="Arial" w:hAnsi="Arial"/>
          <w:sz w:val="18"/>
        </w:rPr>
        <w:t>de la</w:t>
      </w:r>
      <w:r>
        <w:rPr>
          <w:rFonts w:ascii="Arial" w:hAnsi="Arial"/>
          <w:spacing w:val="-1"/>
          <w:sz w:val="18"/>
        </w:rPr>
        <w:t xml:space="preserve"> </w:t>
      </w:r>
      <w:r>
        <w:rPr>
          <w:rFonts w:ascii="Arial" w:hAnsi="Arial"/>
          <w:sz w:val="18"/>
        </w:rPr>
        <w:t>Corte</w:t>
      </w:r>
      <w:r>
        <w:rPr>
          <w:rFonts w:ascii="Arial" w:hAnsi="Arial"/>
          <w:spacing w:val="-1"/>
          <w:sz w:val="18"/>
        </w:rPr>
        <w:t xml:space="preserve"> </w:t>
      </w:r>
      <w:r>
        <w:rPr>
          <w:rFonts w:ascii="Arial" w:hAnsi="Arial"/>
          <w:sz w:val="18"/>
        </w:rPr>
        <w:t>de</w:t>
      </w:r>
      <w:r>
        <w:rPr>
          <w:rFonts w:ascii="Arial" w:hAnsi="Arial"/>
          <w:spacing w:val="-1"/>
          <w:sz w:val="18"/>
        </w:rPr>
        <w:t xml:space="preserve"> </w:t>
      </w:r>
      <w:r>
        <w:rPr>
          <w:rFonts w:ascii="Arial" w:hAnsi="Arial"/>
          <w:sz w:val="18"/>
        </w:rPr>
        <w:t>Apelaciones</w:t>
      </w:r>
      <w:r>
        <w:rPr>
          <w:rFonts w:ascii="Arial" w:hAnsi="Arial"/>
          <w:spacing w:val="-1"/>
          <w:sz w:val="18"/>
        </w:rPr>
        <w:t xml:space="preserve"> </w:t>
      </w:r>
      <w:r>
        <w:rPr>
          <w:rFonts w:ascii="Arial" w:hAnsi="Arial"/>
          <w:sz w:val="18"/>
        </w:rPr>
        <w:t xml:space="preserve">de </w:t>
      </w:r>
      <w:r>
        <w:rPr>
          <w:rFonts w:ascii="Arial" w:hAnsi="Arial"/>
          <w:spacing w:val="-2"/>
          <w:sz w:val="18"/>
        </w:rPr>
        <w:t>Santiago.</w:t>
      </w:r>
    </w:p>
    <w:p w:rsidR="00B10292" w:rsidRDefault="00B10292">
      <w:pPr>
        <w:rPr>
          <w:rFonts w:ascii="Arial" w:hAnsi="Arial"/>
          <w:sz w:val="18"/>
        </w:rPr>
        <w:sectPr w:rsidR="00B10292" w:rsidSect="00415848">
          <w:pgSz w:w="11920" w:h="16840"/>
          <w:pgMar w:top="1360" w:right="1320" w:bottom="280" w:left="1340" w:header="720" w:footer="720" w:gutter="0"/>
          <w:cols w:space="720"/>
        </w:sectPr>
      </w:pPr>
    </w:p>
    <w:p w:rsidR="00B10292" w:rsidRDefault="00000000">
      <w:pPr>
        <w:pStyle w:val="Textoindependiente"/>
        <w:spacing w:before="80" w:line="480" w:lineRule="auto"/>
        <w:ind w:left="100" w:right="135"/>
        <w:jc w:val="both"/>
      </w:pPr>
      <w:r>
        <w:t>administrativo opera</w:t>
      </w:r>
      <w:r>
        <w:rPr>
          <w:spacing w:val="-4"/>
        </w:rPr>
        <w:t xml:space="preserve"> </w:t>
      </w:r>
      <w:r>
        <w:t>como</w:t>
      </w:r>
      <w:r>
        <w:rPr>
          <w:spacing w:val="-4"/>
        </w:rPr>
        <w:t xml:space="preserve"> </w:t>
      </w:r>
      <w:r>
        <w:t>una</w:t>
      </w:r>
      <w:r>
        <w:rPr>
          <w:spacing w:val="-4"/>
        </w:rPr>
        <w:t xml:space="preserve"> </w:t>
      </w:r>
      <w:r>
        <w:t>garantía</w:t>
      </w:r>
      <w:r>
        <w:rPr>
          <w:spacing w:val="-4"/>
        </w:rPr>
        <w:t xml:space="preserve"> </w:t>
      </w:r>
      <w:r>
        <w:t>para</w:t>
      </w:r>
      <w:r>
        <w:rPr>
          <w:spacing w:val="-4"/>
        </w:rPr>
        <w:t xml:space="preserve"> </w:t>
      </w:r>
      <w:r>
        <w:t>el</w:t>
      </w:r>
      <w:r>
        <w:rPr>
          <w:spacing w:val="-4"/>
        </w:rPr>
        <w:t xml:space="preserve"> </w:t>
      </w:r>
      <w:r>
        <w:t>administrado,</w:t>
      </w:r>
      <w:r>
        <w:rPr>
          <w:spacing w:val="-4"/>
        </w:rPr>
        <w:t xml:space="preserve"> </w:t>
      </w:r>
      <w:r>
        <w:t>quien</w:t>
      </w:r>
      <w:r>
        <w:rPr>
          <w:spacing w:val="-4"/>
        </w:rPr>
        <w:t xml:space="preserve"> </w:t>
      </w:r>
      <w:r>
        <w:t>podrá</w:t>
      </w:r>
      <w:r>
        <w:rPr>
          <w:spacing w:val="-4"/>
        </w:rPr>
        <w:t xml:space="preserve"> </w:t>
      </w:r>
      <w:r>
        <w:t>continuar con el procedimiento administrativo a través de la interposición de las impugnaciones administrativas o judiciales que le asistan, sin quedar</w:t>
      </w:r>
      <w:r>
        <w:rPr>
          <w:spacing w:val="-2"/>
        </w:rPr>
        <w:t xml:space="preserve"> </w:t>
      </w:r>
      <w:r>
        <w:t>a</w:t>
      </w:r>
      <w:r>
        <w:rPr>
          <w:spacing w:val="-2"/>
        </w:rPr>
        <w:t xml:space="preserve"> </w:t>
      </w:r>
      <w:r>
        <w:t>merced</w:t>
      </w:r>
      <w:r>
        <w:rPr>
          <w:spacing w:val="-2"/>
        </w:rPr>
        <w:t xml:space="preserve"> </w:t>
      </w:r>
      <w:r>
        <w:t>de</w:t>
      </w:r>
      <w:r>
        <w:rPr>
          <w:spacing w:val="-2"/>
        </w:rPr>
        <w:t xml:space="preserve"> </w:t>
      </w:r>
      <w:r>
        <w:t>la demora del órgano en emitir un pronunciamiento expreso.</w:t>
      </w:r>
    </w:p>
    <w:p w:rsidR="00B10292" w:rsidRDefault="00000000">
      <w:pPr>
        <w:pStyle w:val="Textoindependiente"/>
        <w:spacing w:before="160" w:line="480" w:lineRule="auto"/>
        <w:ind w:left="100" w:right="133"/>
        <w:jc w:val="both"/>
      </w:pPr>
      <w:r>
        <w:t>Es</w:t>
      </w:r>
      <w:r>
        <w:rPr>
          <w:spacing w:val="-4"/>
        </w:rPr>
        <w:t xml:space="preserve"> </w:t>
      </w:r>
      <w:r>
        <w:t>necesario</w:t>
      </w:r>
      <w:r>
        <w:rPr>
          <w:spacing w:val="-4"/>
        </w:rPr>
        <w:t xml:space="preserve"> </w:t>
      </w:r>
      <w:r>
        <w:t>reconocer</w:t>
      </w:r>
      <w:r>
        <w:rPr>
          <w:spacing w:val="-4"/>
        </w:rPr>
        <w:t xml:space="preserve"> </w:t>
      </w:r>
      <w:r>
        <w:t>la</w:t>
      </w:r>
      <w:r>
        <w:rPr>
          <w:spacing w:val="-4"/>
        </w:rPr>
        <w:t xml:space="preserve"> </w:t>
      </w:r>
      <w:r>
        <w:t>importancia</w:t>
      </w:r>
      <w:r>
        <w:rPr>
          <w:spacing w:val="-4"/>
        </w:rPr>
        <w:t xml:space="preserve"> </w:t>
      </w:r>
      <w:r>
        <w:t>vital</w:t>
      </w:r>
      <w:r>
        <w:rPr>
          <w:spacing w:val="-4"/>
        </w:rPr>
        <w:t xml:space="preserve"> </w:t>
      </w:r>
      <w:r>
        <w:t>que</w:t>
      </w:r>
      <w:r>
        <w:rPr>
          <w:spacing w:val="-4"/>
        </w:rPr>
        <w:t xml:space="preserve"> </w:t>
      </w:r>
      <w:r>
        <w:t>para</w:t>
      </w:r>
      <w:r>
        <w:rPr>
          <w:spacing w:val="-4"/>
        </w:rPr>
        <w:t xml:space="preserve"> </w:t>
      </w:r>
      <w:r>
        <w:t>el</w:t>
      </w:r>
      <w:r>
        <w:rPr>
          <w:spacing w:val="-4"/>
        </w:rPr>
        <w:t xml:space="preserve"> </w:t>
      </w:r>
      <w:r>
        <w:t>progreso</w:t>
      </w:r>
      <w:r>
        <w:rPr>
          <w:spacing w:val="-4"/>
        </w:rPr>
        <w:t xml:space="preserve"> </w:t>
      </w:r>
      <w:r>
        <w:t>cultural</w:t>
      </w:r>
      <w:r>
        <w:rPr>
          <w:spacing w:val="-4"/>
        </w:rPr>
        <w:t xml:space="preserve"> </w:t>
      </w:r>
      <w:r>
        <w:t>y</w:t>
      </w:r>
      <w:r>
        <w:rPr>
          <w:spacing w:val="-4"/>
        </w:rPr>
        <w:t xml:space="preserve"> </w:t>
      </w:r>
      <w:r>
        <w:t>económico del país tienen las decisiones que adopta el CMN. Por ello es que este proyecto hace explícitamente aplicable el silencio administrativo de los artículos 64 y</w:t>
      </w:r>
      <w:r>
        <w:rPr>
          <w:spacing w:val="-3"/>
        </w:rPr>
        <w:t xml:space="preserve"> </w:t>
      </w:r>
      <w:r>
        <w:t>siguientes</w:t>
      </w:r>
      <w:r>
        <w:rPr>
          <w:spacing w:val="-3"/>
        </w:rPr>
        <w:t xml:space="preserve"> </w:t>
      </w:r>
      <w:r>
        <w:t>de la Ley sobre Bases de Procedimientos Administrativos, a fin de proveer de certeza jurídica a los administrados y entregarles plazos ciertos para reclamar de la falta de decisión. Esta nos parece una manera de adecuar los incentivos y relevar el rol que cumple el CMN en el desarrollo cultural y patrimonial del país, el que también impacta en nuestro progreso económico.</w:t>
      </w:r>
    </w:p>
    <w:p w:rsidR="00B10292" w:rsidRDefault="00B10292">
      <w:pPr>
        <w:pStyle w:val="Textoindependiente"/>
        <w:rPr>
          <w:sz w:val="26"/>
        </w:rPr>
      </w:pPr>
    </w:p>
    <w:p w:rsidR="00B10292" w:rsidRDefault="00B10292">
      <w:pPr>
        <w:pStyle w:val="Textoindependiente"/>
        <w:rPr>
          <w:sz w:val="26"/>
        </w:rPr>
      </w:pPr>
    </w:p>
    <w:p w:rsidR="00B10292" w:rsidRDefault="00B10292">
      <w:pPr>
        <w:pStyle w:val="Textoindependiente"/>
        <w:spacing w:before="1"/>
      </w:pPr>
    </w:p>
    <w:p w:rsidR="00B10292" w:rsidRDefault="00000000">
      <w:pPr>
        <w:pStyle w:val="Textoindependiente"/>
        <w:spacing w:before="1" w:line="480" w:lineRule="auto"/>
        <w:ind w:left="100" w:right="138"/>
        <w:jc w:val="both"/>
      </w:pPr>
      <w:r>
        <w:rPr>
          <w:b/>
        </w:rPr>
        <w:t>POR TANTO</w:t>
      </w:r>
      <w:r>
        <w:t xml:space="preserve">, las diputadas y diputados que suscriben vienen en presentar el </w:t>
      </w:r>
      <w:r>
        <w:rPr>
          <w:spacing w:val="-2"/>
        </w:rPr>
        <w:t>siguiente:</w:t>
      </w:r>
    </w:p>
    <w:p w:rsidR="00B10292" w:rsidRDefault="00B10292">
      <w:pPr>
        <w:spacing w:line="480" w:lineRule="auto"/>
        <w:jc w:val="both"/>
        <w:sectPr w:rsidR="00B10292" w:rsidSect="00415848">
          <w:pgSz w:w="11920" w:h="16840"/>
          <w:pgMar w:top="1360" w:right="1320" w:bottom="280" w:left="1340" w:header="720" w:footer="720" w:gutter="0"/>
          <w:cols w:space="720"/>
        </w:sectPr>
      </w:pPr>
    </w:p>
    <w:p w:rsidR="00B10292" w:rsidRDefault="00B10292">
      <w:pPr>
        <w:pStyle w:val="Textoindependiente"/>
        <w:rPr>
          <w:sz w:val="20"/>
        </w:rPr>
      </w:pPr>
    </w:p>
    <w:p w:rsidR="00B10292" w:rsidRDefault="00B10292">
      <w:pPr>
        <w:pStyle w:val="Textoindependiente"/>
        <w:spacing w:before="2"/>
        <w:rPr>
          <w:sz w:val="23"/>
        </w:rPr>
      </w:pPr>
    </w:p>
    <w:p w:rsidR="00B10292" w:rsidRDefault="00000000">
      <w:pPr>
        <w:spacing w:before="100"/>
        <w:ind w:left="3378" w:right="3410"/>
        <w:jc w:val="center"/>
        <w:rPr>
          <w:b/>
          <w:sz w:val="24"/>
        </w:rPr>
      </w:pPr>
      <w:r>
        <w:rPr>
          <w:b/>
          <w:sz w:val="24"/>
          <w:u w:val="thick"/>
        </w:rPr>
        <w:t xml:space="preserve">PROYECTO DE </w:t>
      </w:r>
      <w:r>
        <w:rPr>
          <w:b/>
          <w:spacing w:val="-5"/>
          <w:sz w:val="24"/>
          <w:u w:val="thick"/>
        </w:rPr>
        <w:t>LEY</w:t>
      </w:r>
    </w:p>
    <w:p w:rsidR="00B10292" w:rsidRDefault="00B10292">
      <w:pPr>
        <w:pStyle w:val="Textoindependiente"/>
        <w:rPr>
          <w:b/>
          <w:sz w:val="26"/>
        </w:rPr>
      </w:pPr>
    </w:p>
    <w:p w:rsidR="00B10292" w:rsidRDefault="00B10292">
      <w:pPr>
        <w:pStyle w:val="Textoindependiente"/>
        <w:rPr>
          <w:b/>
          <w:sz w:val="26"/>
        </w:rPr>
      </w:pPr>
    </w:p>
    <w:p w:rsidR="00B10292" w:rsidRDefault="00000000">
      <w:pPr>
        <w:pStyle w:val="Textoindependiente"/>
        <w:spacing w:before="227" w:line="480" w:lineRule="auto"/>
        <w:ind w:left="100" w:right="141"/>
        <w:jc w:val="both"/>
      </w:pPr>
      <w:r>
        <w:rPr>
          <w:b/>
        </w:rPr>
        <w:t xml:space="preserve">Artículo único.- </w:t>
      </w:r>
      <w:r>
        <w:t>Agréguese el siguiente artículo 8 bis a la Ley 17.288 que legisla sobre Monumentos Nacionales y modifica otros cuerpos legales:</w:t>
      </w:r>
    </w:p>
    <w:p w:rsidR="00B10292" w:rsidRDefault="00B10292">
      <w:pPr>
        <w:pStyle w:val="Textoindependiente"/>
        <w:rPr>
          <w:sz w:val="26"/>
        </w:rPr>
      </w:pPr>
    </w:p>
    <w:p w:rsidR="00B10292" w:rsidRDefault="00B10292">
      <w:pPr>
        <w:pStyle w:val="Textoindependiente"/>
        <w:rPr>
          <w:sz w:val="22"/>
        </w:rPr>
      </w:pPr>
    </w:p>
    <w:p w:rsidR="00B10292" w:rsidRDefault="00000000">
      <w:pPr>
        <w:pStyle w:val="Textoindependiente"/>
        <w:spacing w:line="480" w:lineRule="auto"/>
        <w:ind w:left="100" w:right="133"/>
        <w:jc w:val="both"/>
      </w:pPr>
      <w:r>
        <w:t>“Artículo 8 bis.°- Transcurridos los plazos legales para el</w:t>
      </w:r>
      <w:r>
        <w:rPr>
          <w:spacing w:val="-3"/>
        </w:rPr>
        <w:t xml:space="preserve"> </w:t>
      </w:r>
      <w:r>
        <w:t>pronunciamiento</w:t>
      </w:r>
      <w:r>
        <w:rPr>
          <w:spacing w:val="-3"/>
        </w:rPr>
        <w:t xml:space="preserve"> </w:t>
      </w:r>
      <w:r>
        <w:t>por</w:t>
      </w:r>
      <w:r>
        <w:rPr>
          <w:spacing w:val="-3"/>
        </w:rPr>
        <w:t xml:space="preserve"> </w:t>
      </w:r>
      <w:r>
        <w:t>parte del Consejo respecto de las solicitudes a que se refiere el artículo 6, será aplicable el silencio administrativo en conformidad con lo dispuesto en los artículos 64 y siguientes</w:t>
      </w:r>
      <w:r>
        <w:rPr>
          <w:spacing w:val="40"/>
        </w:rPr>
        <w:t xml:space="preserve"> </w:t>
      </w:r>
      <w:r>
        <w:t>de la Ley 19.880, pudiendo el interesado ejercer todos los derechos que allí se establecen”.</w:t>
      </w:r>
    </w:p>
    <w:p w:rsidR="00B10292" w:rsidRDefault="00B10292">
      <w:pPr>
        <w:pStyle w:val="Textoindependiente"/>
        <w:rPr>
          <w:sz w:val="20"/>
        </w:rPr>
      </w:pPr>
    </w:p>
    <w:p w:rsidR="00B10292" w:rsidRDefault="00B10292">
      <w:pPr>
        <w:pStyle w:val="Textoindependiente"/>
        <w:rPr>
          <w:sz w:val="20"/>
        </w:rPr>
      </w:pPr>
    </w:p>
    <w:p w:rsidR="00B10292" w:rsidRDefault="00B10292">
      <w:pPr>
        <w:pStyle w:val="Textoindependiente"/>
        <w:rPr>
          <w:sz w:val="20"/>
        </w:rPr>
      </w:pPr>
    </w:p>
    <w:p w:rsidR="00B10292" w:rsidRDefault="00000000">
      <w:pPr>
        <w:pStyle w:val="Textoindependiente"/>
        <w:rPr>
          <w:sz w:val="11"/>
        </w:rPr>
      </w:pPr>
      <w:r>
        <w:rPr>
          <w:noProof/>
        </w:rPr>
        <w:drawing>
          <wp:anchor distT="0" distB="0" distL="0" distR="0" simplePos="0" relativeHeight="487590400" behindDoc="1" locked="0" layoutInCell="1" allowOverlap="1">
            <wp:simplePos x="0" y="0"/>
            <wp:positionH relativeFrom="page">
              <wp:posOffset>2590478</wp:posOffset>
            </wp:positionH>
            <wp:positionV relativeFrom="paragraph">
              <wp:posOffset>94899</wp:posOffset>
            </wp:positionV>
            <wp:extent cx="2389437" cy="202225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2389437" cy="2022252"/>
                    </a:xfrm>
                    <a:prstGeom prst="rect">
                      <a:avLst/>
                    </a:prstGeom>
                  </pic:spPr>
                </pic:pic>
              </a:graphicData>
            </a:graphic>
          </wp:anchor>
        </w:drawing>
      </w:r>
    </w:p>
    <w:sectPr w:rsidR="00B10292">
      <w:pgSz w:w="11920" w:h="16840"/>
      <w:pgMar w:top="19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92"/>
    <w:rsid w:val="0038233E"/>
    <w:rsid w:val="00415848"/>
    <w:rsid w:val="00B102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spacing w:before="1"/>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emol.com/noticias/Economia/2023/10/15/1109920/permisologia-inversion-pacto-fiscal.html" TargetMode="External"/><Relationship Id="rId5" Type="http://schemas.openxmlformats.org/officeDocument/2006/relationships/image" Target="media/image2.png"/><Relationship Id="rId10" Type="http://schemas.openxmlformats.org/officeDocument/2006/relationships/hyperlink" Target="https://www.ex-ante.cl/como-funciona-y-que-cambios-se-estudian-para-el-consejo-de-monumentos-nacionales-al-que-culpan-de-frenar-las-inversiones/" TargetMode="External"/><Relationship Id="rId4" Type="http://schemas.openxmlformats.org/officeDocument/2006/relationships/image" Target="media/image1.jpeg"/><Relationship Id="rId9" Type="http://schemas.openxmlformats.org/officeDocument/2006/relationships/hyperlink" Target="https://www.ex-ante.cl/como-funciona-y-que-cambios-se-estudian-para-el-consejo-de-monumentos-nacionales-al-que-culpan-de-frenar-las-inversio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2102</Words>
  <Characters>11561</Characters>
  <Application>Microsoft Office Word</Application>
  <DocSecurity>0</DocSecurity>
  <Lines>96</Lines>
  <Paragraphs>27</Paragraphs>
  <ScaleCrop>false</ScaleCrop>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QUE HACE APLICABLE EL SILENCIO ADMINISTRATIVO A LAS SOLICITUDES QUE NO SEAN RESUELTAS DENTRO DE PLAZO POR EL CONSEJO DE MONUMENTOS NACIONALES</dc:title>
  <cp:lastModifiedBy>Guillermo Diaz Vallejos</cp:lastModifiedBy>
  <cp:revision>1</cp:revision>
  <dcterms:created xsi:type="dcterms:W3CDTF">2023-12-11T13:02:00Z</dcterms:created>
  <dcterms:modified xsi:type="dcterms:W3CDTF">2024-01-15T21:58:00Z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m121 Google Docs Renderer</vt:lpwstr>
  </property>
</Properties>
</file>