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742E" w:rsidRDefault="008E742E">
      <w:pPr>
        <w:pStyle w:val="Textoindependiente"/>
        <w:spacing w:before="246"/>
        <w:rPr>
          <w:rFonts w:ascii="Times New Roman"/>
        </w:rPr>
      </w:pPr>
    </w:p>
    <w:p w:rsidR="008E742E" w:rsidRDefault="00000000">
      <w:pPr>
        <w:pStyle w:val="Ttulo1"/>
        <w:ind w:left="100" w:right="118"/>
        <w:jc w:val="both"/>
      </w:pPr>
      <w:r>
        <w:t>PROYECTO DE LEY QUE PROHÍBE LA PARTICIPACIÓN DE ARTISTAS O GRUPOS QUE PROMUEVAN LA NARCOCULTURA Y OTRAS ACTIVIDADES DELICTUALES EN EVENTOS MASIVOS O CONCIERTOS, Y PROHÍBE LA PARTICIPACIÓN DE ESTOS ARTISTAS EN ACTIVIDADES CULTURALES FINANCIADAS CON RECURSOS PÚBLICOS</w:t>
      </w:r>
    </w:p>
    <w:p w:rsidR="008E742E" w:rsidRDefault="008E742E">
      <w:pPr>
        <w:pStyle w:val="Textoindependiente"/>
        <w:rPr>
          <w:b/>
        </w:rPr>
      </w:pPr>
    </w:p>
    <w:p w:rsidR="008E742E" w:rsidRDefault="008E742E">
      <w:pPr>
        <w:pStyle w:val="Textoindependiente"/>
        <w:rPr>
          <w:b/>
        </w:rPr>
      </w:pPr>
    </w:p>
    <w:p w:rsidR="008E742E" w:rsidRDefault="008E742E">
      <w:pPr>
        <w:pStyle w:val="Textoindependiente"/>
        <w:rPr>
          <w:b/>
        </w:rPr>
      </w:pPr>
    </w:p>
    <w:p w:rsidR="008E742E" w:rsidRDefault="008E742E">
      <w:pPr>
        <w:pStyle w:val="Textoindependiente"/>
        <w:spacing w:before="72"/>
        <w:rPr>
          <w:b/>
        </w:rPr>
      </w:pPr>
    </w:p>
    <w:p w:rsidR="008E742E" w:rsidRDefault="00000000">
      <w:pPr>
        <w:pStyle w:val="Prrafodelista"/>
        <w:numPr>
          <w:ilvl w:val="0"/>
          <w:numId w:val="1"/>
        </w:numPr>
        <w:tabs>
          <w:tab w:val="left" w:pos="2179"/>
        </w:tabs>
        <w:jc w:val="left"/>
        <w:rPr>
          <w:b/>
          <w:sz w:val="24"/>
        </w:rPr>
      </w:pPr>
      <w:r>
        <w:rPr>
          <w:b/>
          <w:spacing w:val="-2"/>
          <w:sz w:val="24"/>
        </w:rPr>
        <w:t>FUNDAMENTOS</w:t>
      </w:r>
    </w:p>
    <w:p w:rsidR="008E742E" w:rsidRDefault="00000000">
      <w:pPr>
        <w:pStyle w:val="Textoindependiente"/>
        <w:spacing w:before="243"/>
        <w:ind w:left="100" w:right="113"/>
        <w:jc w:val="both"/>
      </w:pPr>
      <w:r>
        <w:t>La narcocultura puede ser comprendida</w:t>
      </w:r>
      <w:r>
        <w:rPr>
          <w:spacing w:val="-1"/>
        </w:rPr>
        <w:t xml:space="preserve"> </w:t>
      </w:r>
      <w:r>
        <w:t>como "un conjunto de elementos simbólicos que tienen significados tanto para quienes los producen y difunden, como para quienes los consumen y se</w:t>
      </w:r>
      <w:r>
        <w:rPr>
          <w:spacing w:val="-1"/>
        </w:rPr>
        <w:t xml:space="preserve"> </w:t>
      </w:r>
      <w:r>
        <w:t>apropian</w:t>
      </w:r>
      <w:r>
        <w:rPr>
          <w:spacing w:val="-2"/>
        </w:rPr>
        <w:t xml:space="preserve"> </w:t>
      </w:r>
      <w:r>
        <w:t>de</w:t>
      </w:r>
      <w:r>
        <w:rPr>
          <w:spacing w:val="-1"/>
        </w:rPr>
        <w:t xml:space="preserve"> </w:t>
      </w:r>
      <w:r>
        <w:t xml:space="preserve">ellos" </w:t>
      </w:r>
      <w:hyperlink w:anchor="_bookmark0" w:history="1">
        <w:r>
          <w:rPr>
            <w:position w:val="7"/>
            <w:sz w:val="14"/>
          </w:rPr>
          <w:t>1</w:t>
        </w:r>
      </w:hyperlink>
      <w:r>
        <w:t>. Este fenómeno cultural se caracteriza por</w:t>
      </w:r>
      <w:r>
        <w:rPr>
          <w:spacing w:val="-6"/>
        </w:rPr>
        <w:t xml:space="preserve"> </w:t>
      </w:r>
      <w:r>
        <w:t>la</w:t>
      </w:r>
      <w:r>
        <w:rPr>
          <w:spacing w:val="-12"/>
        </w:rPr>
        <w:t xml:space="preserve"> </w:t>
      </w:r>
      <w:r>
        <w:t>glorificación,</w:t>
      </w:r>
      <w:r>
        <w:rPr>
          <w:spacing w:val="-10"/>
        </w:rPr>
        <w:t xml:space="preserve"> </w:t>
      </w:r>
      <w:r>
        <w:t>normalización</w:t>
      </w:r>
      <w:r>
        <w:rPr>
          <w:spacing w:val="-12"/>
        </w:rPr>
        <w:t xml:space="preserve"> </w:t>
      </w:r>
      <w:r>
        <w:t>o</w:t>
      </w:r>
      <w:r>
        <w:rPr>
          <w:spacing w:val="-13"/>
        </w:rPr>
        <w:t xml:space="preserve"> </w:t>
      </w:r>
      <w:r>
        <w:t>romantización</w:t>
      </w:r>
      <w:r>
        <w:rPr>
          <w:spacing w:val="-7"/>
        </w:rPr>
        <w:t xml:space="preserve"> </w:t>
      </w:r>
      <w:r>
        <w:t>de</w:t>
      </w:r>
      <w:r>
        <w:rPr>
          <w:spacing w:val="-11"/>
        </w:rPr>
        <w:t xml:space="preserve"> </w:t>
      </w:r>
      <w:r>
        <w:t>actividades</w:t>
      </w:r>
      <w:r>
        <w:rPr>
          <w:spacing w:val="-12"/>
        </w:rPr>
        <w:t xml:space="preserve"> </w:t>
      </w:r>
      <w:r>
        <w:t>relacionadas</w:t>
      </w:r>
      <w:r>
        <w:rPr>
          <w:spacing w:val="-13"/>
        </w:rPr>
        <w:t xml:space="preserve"> </w:t>
      </w:r>
      <w:r>
        <w:t>con</w:t>
      </w:r>
      <w:r>
        <w:rPr>
          <w:spacing w:val="-12"/>
        </w:rPr>
        <w:t xml:space="preserve"> </w:t>
      </w:r>
      <w:r>
        <w:t>el narcotráfico y el crimen organizado.</w:t>
      </w:r>
    </w:p>
    <w:p w:rsidR="008E742E" w:rsidRDefault="00000000">
      <w:pPr>
        <w:pStyle w:val="Textoindependiente"/>
        <w:spacing w:before="239"/>
        <w:ind w:left="100" w:right="119"/>
        <w:jc w:val="both"/>
      </w:pPr>
      <w:r>
        <w:t>Este movimiento, conocido como "narcocultura", se manifiesta de diversas maneras, incluyendo</w:t>
      </w:r>
      <w:r>
        <w:rPr>
          <w:spacing w:val="-3"/>
        </w:rPr>
        <w:t xml:space="preserve"> </w:t>
      </w:r>
      <w:r>
        <w:t>la</w:t>
      </w:r>
      <w:r>
        <w:rPr>
          <w:spacing w:val="-1"/>
        </w:rPr>
        <w:t xml:space="preserve"> </w:t>
      </w:r>
      <w:r>
        <w:t>música, la</w:t>
      </w:r>
      <w:r>
        <w:rPr>
          <w:spacing w:val="-1"/>
        </w:rPr>
        <w:t xml:space="preserve"> </w:t>
      </w:r>
      <w:r>
        <w:t>literatura, el cine, la</w:t>
      </w:r>
      <w:r>
        <w:rPr>
          <w:spacing w:val="-6"/>
        </w:rPr>
        <w:t xml:space="preserve"> </w:t>
      </w:r>
      <w:r>
        <w:t>moda y otras</w:t>
      </w:r>
      <w:r>
        <w:rPr>
          <w:spacing w:val="-2"/>
        </w:rPr>
        <w:t xml:space="preserve"> </w:t>
      </w:r>
      <w:r>
        <w:t>expresiones artísticas. Por ejemplo, algunas canciones de artistas urbanos chilenos narran hazañas y la vida de los narcotraficantes, logrando posicionarse en los primeros lugares de los rankings musicales del país, entre ellos Pablo Chill-e, King Savage, Jere Klein y Cris MJ.</w:t>
      </w:r>
    </w:p>
    <w:p w:rsidR="008E742E" w:rsidRDefault="00000000">
      <w:pPr>
        <w:pStyle w:val="Textoindependiente"/>
        <w:spacing w:before="239"/>
        <w:ind w:left="100" w:right="116"/>
        <w:jc w:val="both"/>
      </w:pPr>
      <w:r>
        <w:t>La existencia de la narcocultura varía según la región y la comunidad en la que se desarrolla, generando un debate significativo. Algunos la ven como una forma de expresión artística o un reflejo de la realidad vivida por quienes estuvieron involucrados, mientras que otros argumentan que este fenómeno puede contribuir a la normalización de la violencia y tener impactos negativos en la sociedad.</w:t>
      </w:r>
    </w:p>
    <w:p w:rsidR="008E742E" w:rsidRDefault="00000000">
      <w:pPr>
        <w:pStyle w:val="Textoindependiente"/>
        <w:spacing w:before="239"/>
        <w:ind w:left="100" w:right="120"/>
        <w:jc w:val="both"/>
      </w:pPr>
      <w:r>
        <w:t>En ese sentido, hemos sido testigos de</w:t>
      </w:r>
      <w:r>
        <w:rPr>
          <w:spacing w:val="-2"/>
        </w:rPr>
        <w:t xml:space="preserve"> </w:t>
      </w:r>
      <w:r>
        <w:t>cómo los propios cantantes urbanos muestran con regularidad el porte de armas, tanto en sus videos musicales como en transmisiones en vivo en plataformas sociales. Así, por ejemplo, el cantante Cris MJ exhibió una pistola airsoft en un live de Instagram, profiriendo amenazas a un productor de eventos</w:t>
      </w:r>
      <w:hyperlink w:anchor="_bookmark1" w:history="1">
        <w:r>
          <w:rPr>
            <w:position w:val="7"/>
            <w:sz w:val="14"/>
          </w:rPr>
          <w:t>2</w:t>
        </w:r>
      </w:hyperlink>
      <w:r>
        <w:t>.</w:t>
      </w:r>
    </w:p>
    <w:p w:rsidR="008E742E" w:rsidRDefault="008E742E">
      <w:pPr>
        <w:pStyle w:val="Textoindependiente"/>
        <w:rPr>
          <w:sz w:val="20"/>
        </w:rPr>
      </w:pPr>
    </w:p>
    <w:p w:rsidR="008E742E" w:rsidRDefault="00000000">
      <w:pPr>
        <w:pStyle w:val="Textoindependiente"/>
        <w:spacing w:before="254"/>
        <w:rPr>
          <w:sz w:val="20"/>
        </w:rPr>
      </w:pPr>
      <w:r>
        <w:rPr>
          <w:noProof/>
        </w:rPr>
        <mc:AlternateContent>
          <mc:Choice Requires="wps">
            <w:drawing>
              <wp:anchor distT="0" distB="0" distL="0" distR="0" simplePos="0" relativeHeight="487587840" behindDoc="1" locked="0" layoutInCell="1" allowOverlap="1">
                <wp:simplePos x="0" y="0"/>
                <wp:positionH relativeFrom="page">
                  <wp:posOffset>914704</wp:posOffset>
                </wp:positionH>
                <wp:positionV relativeFrom="paragraph">
                  <wp:posOffset>348442</wp:posOffset>
                </wp:positionV>
                <wp:extent cx="183007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3E9B46" id="Graphic 2" o:spid="_x0000_s1026" style="position:absolute;margin-left:1in;margin-top:27.45pt;width:144.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" path="m1829689,l,,,6095r1829689,l1829689,xe" fillcolor="black" stroked="f">
                <v:path arrowok="t"/>
                <w10:wrap type="topAndBottom" anchorx="page"/>
              </v:shape>
            </w:pict>
          </mc:Fallback>
        </mc:AlternateContent>
      </w:r>
    </w:p>
    <w:p w:rsidR="008E742E" w:rsidRDefault="00000000">
      <w:pPr>
        <w:spacing w:before="95"/>
        <w:ind w:left="100"/>
        <w:rPr>
          <w:rFonts w:ascii="Arial"/>
          <w:sz w:val="20"/>
        </w:rPr>
      </w:pPr>
      <w:bookmarkStart w:id="0" w:name="_bookmark0"/>
      <w:bookmarkEnd w:id="0"/>
      <w:r>
        <w:rPr>
          <w:rFonts w:ascii="Arial"/>
          <w:spacing w:val="-2"/>
          <w:sz w:val="20"/>
          <w:vertAlign w:val="superscript"/>
        </w:rPr>
        <w:t>1</w:t>
      </w:r>
      <w:r>
        <w:rPr>
          <w:rFonts w:ascii="Arial"/>
          <w:spacing w:val="54"/>
          <w:sz w:val="20"/>
        </w:rPr>
        <w:t xml:space="preserve"> </w:t>
      </w:r>
      <w:hyperlink r:id="rId7">
        <w:r>
          <w:rPr>
            <w:rFonts w:ascii="Arial"/>
            <w:color w:val="0000FF"/>
            <w:spacing w:val="-2"/>
            <w:sz w:val="20"/>
            <w:u w:val="single" w:color="0000FF"/>
          </w:rPr>
          <w:t>https://www.scielo.org.mx/pdf/cultural/v6/2448-539X-cultural-6-e349.pdf</w:t>
        </w:r>
      </w:hyperlink>
    </w:p>
    <w:p w:rsidR="008E742E" w:rsidRDefault="008E742E">
      <w:pPr>
        <w:pStyle w:val="Textoindependiente"/>
        <w:spacing w:before="1"/>
        <w:rPr>
          <w:rFonts w:ascii="Arial"/>
          <w:sz w:val="20"/>
        </w:rPr>
      </w:pPr>
    </w:p>
    <w:p w:rsidR="008E742E" w:rsidRDefault="00000000">
      <w:pPr>
        <w:ind w:left="100"/>
        <w:rPr>
          <w:rFonts w:ascii="Arial"/>
          <w:sz w:val="20"/>
        </w:rPr>
      </w:pPr>
      <w:bookmarkStart w:id="1" w:name="_bookmark1"/>
      <w:bookmarkEnd w:id="1"/>
      <w:r>
        <w:rPr>
          <w:rFonts w:ascii="Arial"/>
          <w:spacing w:val="-2"/>
          <w:sz w:val="20"/>
          <w:vertAlign w:val="superscript"/>
        </w:rPr>
        <w:t>2</w:t>
      </w:r>
      <w:r>
        <w:rPr>
          <w:rFonts w:ascii="Arial"/>
          <w:spacing w:val="73"/>
          <w:sz w:val="20"/>
        </w:rPr>
        <w:t xml:space="preserve"> </w:t>
      </w:r>
      <w:hyperlink r:id="rId8">
        <w:r>
          <w:rPr>
            <w:rFonts w:ascii="Arial"/>
            <w:color w:val="0000FF"/>
            <w:spacing w:val="-2"/>
            <w:sz w:val="20"/>
            <w:u w:val="single" w:color="0000FF"/>
          </w:rPr>
          <w:t>https://www.theclinic.cl/2023/04/22/armas-drogas-lujos-sello-narcocultura-cantantes-urbanos/</w:t>
        </w:r>
      </w:hyperlink>
    </w:p>
    <w:p w:rsidR="008E742E" w:rsidRDefault="008E742E">
      <w:pPr>
        <w:rPr>
          <w:rFonts w:ascii="Arial"/>
          <w:sz w:val="20"/>
        </w:rPr>
        <w:sectPr w:rsidR="008E742E" w:rsidSect="00B24501">
          <w:headerReference w:type="default" r:id="rId9"/>
          <w:type w:val="continuous"/>
          <w:pgSz w:w="11910" w:h="16840"/>
          <w:pgMar w:top="2500" w:right="1320" w:bottom="280" w:left="1340" w:header="960" w:footer="0" w:gutter="0"/>
          <w:pgNumType w:start="1"/>
          <w:cols w:space="720"/>
        </w:sectPr>
      </w:pPr>
    </w:p>
    <w:p w:rsidR="008E742E" w:rsidRDefault="008E742E">
      <w:pPr>
        <w:pStyle w:val="Textoindependiente"/>
        <w:spacing w:before="6"/>
        <w:rPr>
          <w:rFonts w:ascii="Arial"/>
        </w:rPr>
      </w:pPr>
    </w:p>
    <w:p w:rsidR="008E742E" w:rsidRDefault="00000000">
      <w:pPr>
        <w:pStyle w:val="Textoindependiente"/>
        <w:ind w:left="100" w:right="118"/>
        <w:jc w:val="both"/>
      </w:pPr>
      <w:r>
        <w:t>Es</w:t>
      </w:r>
      <w:r>
        <w:rPr>
          <w:spacing w:val="-13"/>
        </w:rPr>
        <w:t xml:space="preserve"> </w:t>
      </w:r>
      <w:r>
        <w:t>en</w:t>
      </w:r>
      <w:r>
        <w:rPr>
          <w:spacing w:val="-12"/>
        </w:rPr>
        <w:t xml:space="preserve"> </w:t>
      </w:r>
      <w:r>
        <w:t>ese</w:t>
      </w:r>
      <w:r>
        <w:rPr>
          <w:spacing w:val="-11"/>
        </w:rPr>
        <w:t xml:space="preserve"> </w:t>
      </w:r>
      <w:r>
        <w:t>mismo</w:t>
      </w:r>
      <w:r>
        <w:rPr>
          <w:spacing w:val="-13"/>
        </w:rPr>
        <w:t xml:space="preserve"> </w:t>
      </w:r>
      <w:r>
        <w:t>contexto</w:t>
      </w:r>
      <w:r>
        <w:rPr>
          <w:spacing w:val="-13"/>
        </w:rPr>
        <w:t xml:space="preserve"> </w:t>
      </w:r>
      <w:r>
        <w:t>que</w:t>
      </w:r>
      <w:r>
        <w:rPr>
          <w:spacing w:val="-12"/>
        </w:rPr>
        <w:t xml:space="preserve"> </w:t>
      </w:r>
      <w:r>
        <w:t>recientemente,</w:t>
      </w:r>
      <w:r>
        <w:rPr>
          <w:spacing w:val="-9"/>
        </w:rPr>
        <w:t xml:space="preserve"> </w:t>
      </w:r>
      <w:r>
        <w:t>la</w:t>
      </w:r>
      <w:r>
        <w:rPr>
          <w:spacing w:val="-12"/>
        </w:rPr>
        <w:t xml:space="preserve"> </w:t>
      </w:r>
      <w:r>
        <w:t>participación</w:t>
      </w:r>
      <w:r>
        <w:rPr>
          <w:spacing w:val="-12"/>
        </w:rPr>
        <w:t xml:space="preserve"> </w:t>
      </w:r>
      <w:r>
        <w:t>del</w:t>
      </w:r>
      <w:r>
        <w:rPr>
          <w:spacing w:val="-10"/>
        </w:rPr>
        <w:t xml:space="preserve"> </w:t>
      </w:r>
      <w:r>
        <w:t>cantante</w:t>
      </w:r>
      <w:r>
        <w:rPr>
          <w:spacing w:val="-11"/>
        </w:rPr>
        <w:t xml:space="preserve"> </w:t>
      </w:r>
      <w:r>
        <w:t>Peso</w:t>
      </w:r>
      <w:r>
        <w:rPr>
          <w:spacing w:val="-13"/>
        </w:rPr>
        <w:t xml:space="preserve"> </w:t>
      </w:r>
      <w:r>
        <w:t>Pluma en</w:t>
      </w:r>
      <w:r>
        <w:rPr>
          <w:spacing w:val="-15"/>
        </w:rPr>
        <w:t xml:space="preserve"> </w:t>
      </w:r>
      <w:r>
        <w:t>el</w:t>
      </w:r>
      <w:r>
        <w:rPr>
          <w:spacing w:val="-15"/>
        </w:rPr>
        <w:t xml:space="preserve"> </w:t>
      </w:r>
      <w:r>
        <w:t>Festival</w:t>
      </w:r>
      <w:r>
        <w:rPr>
          <w:spacing w:val="-15"/>
        </w:rPr>
        <w:t xml:space="preserve"> </w:t>
      </w:r>
      <w:r>
        <w:t>de</w:t>
      </w:r>
      <w:r>
        <w:rPr>
          <w:spacing w:val="-15"/>
        </w:rPr>
        <w:t xml:space="preserve"> </w:t>
      </w:r>
      <w:r>
        <w:t>Viña</w:t>
      </w:r>
      <w:r>
        <w:rPr>
          <w:spacing w:val="-15"/>
        </w:rPr>
        <w:t xml:space="preserve"> </w:t>
      </w:r>
      <w:r>
        <w:t>del</w:t>
      </w:r>
      <w:r>
        <w:rPr>
          <w:spacing w:val="-15"/>
        </w:rPr>
        <w:t xml:space="preserve"> </w:t>
      </w:r>
      <w:r>
        <w:t>Mar</w:t>
      </w:r>
      <w:r>
        <w:rPr>
          <w:spacing w:val="-15"/>
        </w:rPr>
        <w:t xml:space="preserve"> </w:t>
      </w:r>
      <w:r>
        <w:t>generó</w:t>
      </w:r>
      <w:r>
        <w:rPr>
          <w:spacing w:val="-15"/>
        </w:rPr>
        <w:t xml:space="preserve"> </w:t>
      </w:r>
      <w:r>
        <w:t>controversia,</w:t>
      </w:r>
      <w:r>
        <w:rPr>
          <w:spacing w:val="-15"/>
        </w:rPr>
        <w:t xml:space="preserve"> </w:t>
      </w:r>
      <w:r>
        <w:t>ya</w:t>
      </w:r>
      <w:r>
        <w:rPr>
          <w:spacing w:val="-15"/>
        </w:rPr>
        <w:t xml:space="preserve"> </w:t>
      </w:r>
      <w:r>
        <w:t>que</w:t>
      </w:r>
      <w:r>
        <w:rPr>
          <w:spacing w:val="-15"/>
        </w:rPr>
        <w:t xml:space="preserve"> </w:t>
      </w:r>
      <w:r>
        <w:t>un</w:t>
      </w:r>
      <w:r>
        <w:rPr>
          <w:spacing w:val="-15"/>
        </w:rPr>
        <w:t xml:space="preserve"> </w:t>
      </w:r>
      <w:r>
        <w:t>Concejal</w:t>
      </w:r>
      <w:r>
        <w:rPr>
          <w:spacing w:val="-15"/>
        </w:rPr>
        <w:t xml:space="preserve"> </w:t>
      </w:r>
      <w:r>
        <w:t>solicitó</w:t>
      </w:r>
      <w:r>
        <w:rPr>
          <w:spacing w:val="-15"/>
        </w:rPr>
        <w:t xml:space="preserve"> </w:t>
      </w:r>
      <w:r>
        <w:t xml:space="preserve">cancelar su contrato, argumentando que las letras de sus canciones hacen apología de la violencia, el crimen organizado, y la corrupción, influyendo negativamente en la </w:t>
      </w:r>
      <w:r>
        <w:rPr>
          <w:spacing w:val="-2"/>
        </w:rPr>
        <w:t>juventud</w:t>
      </w:r>
      <w:hyperlink w:anchor="_bookmark2" w:history="1">
        <w:r>
          <w:rPr>
            <w:spacing w:val="-2"/>
            <w:position w:val="7"/>
            <w:sz w:val="14"/>
          </w:rPr>
          <w:t>3</w:t>
        </w:r>
      </w:hyperlink>
      <w:r>
        <w:rPr>
          <w:spacing w:val="-2"/>
        </w:rPr>
        <w:t>.</w:t>
      </w:r>
    </w:p>
    <w:p w:rsidR="008E742E" w:rsidRDefault="00000000">
      <w:pPr>
        <w:pStyle w:val="Textoindependiente"/>
        <w:spacing w:before="239"/>
        <w:ind w:left="100" w:right="121"/>
        <w:jc w:val="both"/>
      </w:pPr>
      <w:r>
        <w:t>Por otro lado, es imperativo destacar que es deber del Estado fijar políticas de seguridad pública para garantizar la protección y el bienestar de sus ciudadanos. La seguridad pública abarca la prevención del delito, la protección de los ciudadanos y sus propiedades, la gestión de crisis</w:t>
      </w:r>
      <w:r>
        <w:rPr>
          <w:spacing w:val="-1"/>
        </w:rPr>
        <w:t xml:space="preserve"> </w:t>
      </w:r>
      <w:r>
        <w:t>y la promoción de un entorno seguro</w:t>
      </w:r>
      <w:r>
        <w:rPr>
          <w:spacing w:val="-1"/>
        </w:rPr>
        <w:t xml:space="preserve"> </w:t>
      </w:r>
      <w:r>
        <w:t>y pacífico.</w:t>
      </w:r>
    </w:p>
    <w:p w:rsidR="008E742E" w:rsidRDefault="00000000">
      <w:pPr>
        <w:pStyle w:val="Textoindependiente"/>
        <w:spacing w:before="241"/>
        <w:ind w:left="100" w:right="117"/>
        <w:jc w:val="both"/>
      </w:pPr>
      <w:r>
        <w:t>Siguiendo esta línea, la Ministra del Interior y Seguridad Pública, Carolina Tohá, expresó su preocupación por el seguimiento de canciones que promueven la cultura narco, señalando</w:t>
      </w:r>
      <w:r>
        <w:rPr>
          <w:spacing w:val="-3"/>
        </w:rPr>
        <w:t xml:space="preserve"> </w:t>
      </w:r>
      <w:r>
        <w:t>que</w:t>
      </w:r>
      <w:r>
        <w:rPr>
          <w:spacing w:val="-2"/>
        </w:rPr>
        <w:t xml:space="preserve"> </w:t>
      </w:r>
      <w:r>
        <w:t>estas</w:t>
      </w:r>
      <w:r>
        <w:rPr>
          <w:spacing w:val="-2"/>
        </w:rPr>
        <w:t xml:space="preserve"> </w:t>
      </w:r>
      <w:r>
        <w:t>también</w:t>
      </w:r>
      <w:r>
        <w:rPr>
          <w:spacing w:val="-2"/>
        </w:rPr>
        <w:t xml:space="preserve"> </w:t>
      </w:r>
      <w:r>
        <w:t>pueden</w:t>
      </w:r>
      <w:r>
        <w:rPr>
          <w:spacing w:val="-2"/>
        </w:rPr>
        <w:t xml:space="preserve"> </w:t>
      </w:r>
      <w:r>
        <w:t>reproducir</w:t>
      </w:r>
      <w:r>
        <w:rPr>
          <w:spacing w:val="-1"/>
        </w:rPr>
        <w:t xml:space="preserve"> </w:t>
      </w:r>
      <w:r>
        <w:t>visiones</w:t>
      </w:r>
      <w:r>
        <w:rPr>
          <w:spacing w:val="-2"/>
        </w:rPr>
        <w:t xml:space="preserve"> </w:t>
      </w:r>
      <w:r>
        <w:t>despectivas</w:t>
      </w:r>
      <w:r>
        <w:rPr>
          <w:spacing w:val="-2"/>
        </w:rPr>
        <w:t xml:space="preserve"> </w:t>
      </w:r>
      <w:r>
        <w:t>hacia</w:t>
      </w:r>
      <w:r>
        <w:rPr>
          <w:spacing w:val="-2"/>
        </w:rPr>
        <w:t xml:space="preserve"> </w:t>
      </w:r>
      <w:r>
        <w:t>las mujeres y paradigmas discriminatorios en temas de sexismo</w:t>
      </w:r>
      <w:hyperlink w:anchor="_bookmark3" w:history="1">
        <w:r>
          <w:rPr>
            <w:position w:val="7"/>
            <w:sz w:val="14"/>
          </w:rPr>
          <w:t>4</w:t>
        </w:r>
      </w:hyperlink>
      <w:r>
        <w:t>.</w:t>
      </w:r>
    </w:p>
    <w:p w:rsidR="008E742E" w:rsidRDefault="00000000">
      <w:pPr>
        <w:pStyle w:val="Textoindependiente"/>
        <w:spacing w:before="242"/>
        <w:ind w:left="100" w:right="119"/>
        <w:jc w:val="both"/>
      </w:pPr>
      <w:r>
        <w:t>Con todo, es esencial establecer políticas públicas frente al fenómeno de la narcocultura, ya que esta puede influir en la percepción social de la delincuencia y dificultar los esfuerzos para implementar políticas de seguridad efectivas. La normalización de la violencia a través de expresiones artísticas y culturales puede impactar la percepción de la gravedad de los problemas de seguridad pública, complicando la adopción de medidas preventivas y correctivas.</w:t>
      </w:r>
    </w:p>
    <w:p w:rsidR="008E742E" w:rsidRDefault="00000000">
      <w:pPr>
        <w:pStyle w:val="Ttulo1"/>
        <w:numPr>
          <w:ilvl w:val="0"/>
          <w:numId w:val="1"/>
        </w:numPr>
        <w:tabs>
          <w:tab w:val="left" w:pos="2093"/>
        </w:tabs>
        <w:spacing w:before="241"/>
        <w:ind w:left="2093" w:hanging="970"/>
        <w:jc w:val="left"/>
      </w:pPr>
      <w:r>
        <w:t>IDEA</w:t>
      </w:r>
      <w:r>
        <w:rPr>
          <w:spacing w:val="-2"/>
        </w:rPr>
        <w:t xml:space="preserve"> MATRIZ</w:t>
      </w:r>
    </w:p>
    <w:p w:rsidR="008E742E" w:rsidRDefault="00000000">
      <w:pPr>
        <w:pStyle w:val="Textoindependiente"/>
        <w:spacing w:before="238"/>
        <w:ind w:left="100" w:right="113"/>
        <w:jc w:val="both"/>
      </w:pPr>
      <w:r>
        <w:t>Modificar la ley N°19.928, sobre el fomento de la música chilena, estableciendo la prohibición de participar en eventos y conciertos masivos a los artistas o grupos que promuevan, inciten, avalen, incentiven, impulsen, promocionen la narcocultura y otras acciones ilícitas, a la vez de prohibir a estos artistas de participar de cualquier actividad cultural que involucre recursos públicos para su desarrollo.</w:t>
      </w:r>
    </w:p>
    <w:p w:rsidR="008E742E" w:rsidRDefault="008E742E">
      <w:pPr>
        <w:pStyle w:val="Textoindependiente"/>
        <w:rPr>
          <w:sz w:val="20"/>
        </w:rPr>
      </w:pPr>
    </w:p>
    <w:p w:rsidR="008E742E" w:rsidRDefault="008E742E">
      <w:pPr>
        <w:pStyle w:val="Textoindependiente"/>
        <w:rPr>
          <w:sz w:val="20"/>
        </w:rPr>
      </w:pPr>
    </w:p>
    <w:p w:rsidR="008E742E" w:rsidRDefault="008E742E">
      <w:pPr>
        <w:pStyle w:val="Textoindependiente"/>
        <w:rPr>
          <w:sz w:val="20"/>
        </w:rPr>
      </w:pPr>
    </w:p>
    <w:p w:rsidR="008E742E" w:rsidRDefault="008E742E">
      <w:pPr>
        <w:pStyle w:val="Textoindependiente"/>
        <w:rPr>
          <w:sz w:val="20"/>
        </w:rPr>
      </w:pPr>
    </w:p>
    <w:p w:rsidR="008E742E" w:rsidRDefault="008E742E">
      <w:pPr>
        <w:pStyle w:val="Textoindependiente"/>
        <w:rPr>
          <w:sz w:val="20"/>
        </w:rPr>
      </w:pPr>
    </w:p>
    <w:p w:rsidR="008E742E" w:rsidRDefault="008E742E">
      <w:pPr>
        <w:pStyle w:val="Textoindependiente"/>
        <w:rPr>
          <w:sz w:val="20"/>
        </w:rPr>
      </w:pPr>
    </w:p>
    <w:p w:rsidR="008E742E" w:rsidRDefault="008E742E">
      <w:pPr>
        <w:pStyle w:val="Textoindependiente"/>
        <w:rPr>
          <w:sz w:val="20"/>
        </w:rPr>
      </w:pPr>
    </w:p>
    <w:p w:rsidR="008E742E" w:rsidRDefault="00000000">
      <w:pPr>
        <w:pStyle w:val="Textoindependiente"/>
        <w:spacing w:before="94"/>
        <w:rPr>
          <w:sz w:val="20"/>
        </w:rPr>
      </w:pPr>
      <w:r>
        <w:rPr>
          <w:noProof/>
        </w:rPr>
        <mc:AlternateContent>
          <mc:Choice Requires="wps">
            <w:drawing>
              <wp:anchor distT="0" distB="0" distL="0" distR="0" simplePos="0" relativeHeight="487588352" behindDoc="1" locked="0" layoutInCell="1" allowOverlap="1">
                <wp:simplePos x="0" y="0"/>
                <wp:positionH relativeFrom="page">
                  <wp:posOffset>914704</wp:posOffset>
                </wp:positionH>
                <wp:positionV relativeFrom="paragraph">
                  <wp:posOffset>246842</wp:posOffset>
                </wp:positionV>
                <wp:extent cx="18300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92102E" id="Graphic 3" o:spid="_x0000_s1026" style="position:absolute;margin-left:1in;margin-top:19.45pt;width:144.1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" path="m1829689,l,,,6095r1829689,l1829689,xe" fillcolor="black" stroked="f">
                <v:path arrowok="t"/>
                <w10:wrap type="topAndBottom" anchorx="page"/>
              </v:shape>
            </w:pict>
          </mc:Fallback>
        </mc:AlternateContent>
      </w:r>
    </w:p>
    <w:p w:rsidR="008E742E" w:rsidRDefault="00000000">
      <w:pPr>
        <w:spacing w:before="96"/>
        <w:ind w:left="100" w:right="747"/>
        <w:rPr>
          <w:rFonts w:ascii="Arial"/>
          <w:sz w:val="20"/>
        </w:rPr>
      </w:pPr>
      <w:bookmarkStart w:id="2" w:name="_bookmark2"/>
      <w:bookmarkEnd w:id="2"/>
      <w:r>
        <w:rPr>
          <w:rFonts w:ascii="Arial"/>
          <w:sz w:val="20"/>
          <w:vertAlign w:val="superscript"/>
        </w:rPr>
        <w:t>3</w:t>
      </w:r>
      <w:r>
        <w:rPr>
          <w:rFonts w:ascii="Arial"/>
          <w:spacing w:val="-14"/>
          <w:sz w:val="20"/>
        </w:rPr>
        <w:t xml:space="preserve"> </w:t>
      </w:r>
      <w:hyperlink r:id="rId10">
        <w:r>
          <w:rPr>
            <w:rFonts w:ascii="Arial"/>
            <w:color w:val="0000FF"/>
            <w:sz w:val="20"/>
            <w:u w:val="single" w:color="0000FF"/>
          </w:rPr>
          <w:t>https://www.biobiochile.cl/noticias/opinion/columnas-bbcl/2024/01/09/concejal-rene-lues-pido-</w:t>
        </w:r>
      </w:hyperlink>
      <w:r>
        <w:rPr>
          <w:rFonts w:ascii="Arial"/>
          <w:color w:val="0000FF"/>
          <w:sz w:val="20"/>
        </w:rPr>
        <w:t xml:space="preserve"> </w:t>
      </w:r>
      <w:hyperlink r:id="rId11">
        <w:r>
          <w:rPr>
            <w:rFonts w:ascii="Arial"/>
            <w:color w:val="0000FF"/>
            <w:spacing w:val="-2"/>
            <w:sz w:val="20"/>
            <w:u w:val="single" w:color="0000FF"/>
          </w:rPr>
          <w:t>revisar-la-contratacion-de-peso-pluma-en-el-festival-de-vina-del-mar.shtml</w:t>
        </w:r>
      </w:hyperlink>
    </w:p>
    <w:p w:rsidR="008E742E" w:rsidRDefault="00000000">
      <w:pPr>
        <w:spacing w:before="1"/>
        <w:ind w:left="100" w:right="229"/>
        <w:rPr>
          <w:rFonts w:ascii="Arial"/>
          <w:sz w:val="20"/>
        </w:rPr>
      </w:pPr>
      <w:bookmarkStart w:id="3" w:name="_bookmark3"/>
      <w:bookmarkEnd w:id="3"/>
      <w:r>
        <w:rPr>
          <w:rFonts w:ascii="Arial"/>
          <w:sz w:val="20"/>
          <w:vertAlign w:val="superscript"/>
        </w:rPr>
        <w:t>4</w:t>
      </w:r>
      <w:r>
        <w:rPr>
          <w:rFonts w:ascii="Arial"/>
          <w:spacing w:val="-14"/>
          <w:sz w:val="20"/>
        </w:rPr>
        <w:t xml:space="preserve"> </w:t>
      </w:r>
      <w:hyperlink r:id="rId12">
        <w:r>
          <w:rPr>
            <w:rFonts w:ascii="Arial"/>
            <w:color w:val="0000FF"/>
            <w:sz w:val="20"/>
            <w:u w:val="single" w:color="0000FF"/>
          </w:rPr>
          <w:t>https://www.latercera.com/culto/2024/01/10/toha-y-polemica-por-presencia-de-peso-pluma-en-vina-</w:t>
        </w:r>
      </w:hyperlink>
      <w:r>
        <w:rPr>
          <w:rFonts w:ascii="Arial"/>
          <w:color w:val="0000FF"/>
          <w:sz w:val="20"/>
        </w:rPr>
        <w:t xml:space="preserve"> </w:t>
      </w:r>
      <w:hyperlink r:id="rId13">
        <w:r>
          <w:rPr>
            <w:rFonts w:ascii="Arial"/>
            <w:color w:val="0000FF"/>
            <w:spacing w:val="-2"/>
            <w:sz w:val="20"/>
            <w:u w:val="single" w:color="0000FF"/>
          </w:rPr>
          <w:t>nos-preocupa-que-exista-tanto-seguimiento-de-canciones-que-promueven-la-cultura-narco/</w:t>
        </w:r>
      </w:hyperlink>
    </w:p>
    <w:p w:rsidR="008E742E" w:rsidRDefault="008E742E">
      <w:pPr>
        <w:rPr>
          <w:rFonts w:ascii="Arial"/>
          <w:sz w:val="20"/>
        </w:rPr>
        <w:sectPr w:rsidR="008E742E" w:rsidSect="00B24501">
          <w:pgSz w:w="11910" w:h="16840"/>
          <w:pgMar w:top="2500" w:right="1320" w:bottom="280" w:left="1340" w:header="960" w:footer="0" w:gutter="0"/>
          <w:cols w:space="720"/>
        </w:sectPr>
      </w:pPr>
    </w:p>
    <w:p w:rsidR="008E742E" w:rsidRDefault="008E742E">
      <w:pPr>
        <w:pStyle w:val="Textoindependiente"/>
        <w:spacing w:before="6"/>
        <w:rPr>
          <w:rFonts w:ascii="Arial"/>
        </w:rPr>
      </w:pPr>
    </w:p>
    <w:p w:rsidR="008E742E" w:rsidRDefault="00000000">
      <w:pPr>
        <w:pStyle w:val="Ttulo1"/>
        <w:ind w:left="3" w:right="16"/>
        <w:jc w:val="center"/>
      </w:pPr>
      <w:r>
        <w:t>PROYECTO</w:t>
      </w:r>
      <w:r>
        <w:rPr>
          <w:spacing w:val="1"/>
        </w:rPr>
        <w:t xml:space="preserve"> </w:t>
      </w:r>
      <w:r>
        <w:t>DE</w:t>
      </w:r>
      <w:r>
        <w:rPr>
          <w:spacing w:val="-5"/>
        </w:rPr>
        <w:t xml:space="preserve"> LEY</w:t>
      </w:r>
    </w:p>
    <w:p w:rsidR="008E742E" w:rsidRDefault="008E742E">
      <w:pPr>
        <w:pStyle w:val="Textoindependiente"/>
        <w:rPr>
          <w:b/>
        </w:rPr>
      </w:pPr>
    </w:p>
    <w:p w:rsidR="008E742E" w:rsidRDefault="008E742E">
      <w:pPr>
        <w:pStyle w:val="Textoindependiente"/>
        <w:spacing w:before="156"/>
        <w:rPr>
          <w:b/>
        </w:rPr>
      </w:pPr>
    </w:p>
    <w:p w:rsidR="008E742E" w:rsidRDefault="00000000">
      <w:pPr>
        <w:pStyle w:val="Textoindependiente"/>
        <w:ind w:left="100" w:right="119"/>
        <w:jc w:val="both"/>
      </w:pPr>
      <w:r>
        <w:rPr>
          <w:b/>
        </w:rPr>
        <w:t xml:space="preserve">ARTÍCULO PRIMERO.- </w:t>
      </w:r>
      <w:r>
        <w:t>INCORPÓRESE EN LA</w:t>
      </w:r>
      <w:r>
        <w:rPr>
          <w:spacing w:val="-3"/>
        </w:rPr>
        <w:t xml:space="preserve"> </w:t>
      </w:r>
      <w:r>
        <w:t xml:space="preserve">LEY N°19.928, SOBRE FOMENTO DE LA MÚSICA CHILENA, UN ARTÍCULO 17 BIS NUEVO DEL SIGUIENTE </w:t>
      </w:r>
      <w:r>
        <w:rPr>
          <w:spacing w:val="-2"/>
        </w:rPr>
        <w:t>TENOR:</w:t>
      </w:r>
    </w:p>
    <w:p w:rsidR="008E742E" w:rsidRDefault="00000000">
      <w:pPr>
        <w:pStyle w:val="Textoindependiente"/>
        <w:spacing w:before="239"/>
        <w:ind w:left="821" w:right="114"/>
        <w:jc w:val="both"/>
      </w:pPr>
      <w:r>
        <w:t>“Artículo 17 bis.- Prohíbase la participación en los eventos y conciertos musicales</w:t>
      </w:r>
      <w:r>
        <w:rPr>
          <w:spacing w:val="-4"/>
        </w:rPr>
        <w:t xml:space="preserve"> </w:t>
      </w:r>
      <w:r>
        <w:t>masivos</w:t>
      </w:r>
      <w:r>
        <w:rPr>
          <w:spacing w:val="-4"/>
        </w:rPr>
        <w:t xml:space="preserve"> </w:t>
      </w:r>
      <w:r>
        <w:t>de</w:t>
      </w:r>
      <w:r>
        <w:rPr>
          <w:spacing w:val="-3"/>
        </w:rPr>
        <w:t xml:space="preserve"> </w:t>
      </w:r>
      <w:r>
        <w:t>artistas,</w:t>
      </w:r>
      <w:r>
        <w:rPr>
          <w:spacing w:val="-1"/>
        </w:rPr>
        <w:t xml:space="preserve"> </w:t>
      </w:r>
      <w:r>
        <w:t>grupos</w:t>
      </w:r>
      <w:r>
        <w:rPr>
          <w:spacing w:val="-4"/>
        </w:rPr>
        <w:t xml:space="preserve"> </w:t>
      </w:r>
      <w:r>
        <w:t>o</w:t>
      </w:r>
      <w:r>
        <w:rPr>
          <w:spacing w:val="-5"/>
        </w:rPr>
        <w:t xml:space="preserve"> </w:t>
      </w:r>
      <w:r>
        <w:t>expresiones</w:t>
      </w:r>
      <w:r>
        <w:rPr>
          <w:spacing w:val="-4"/>
        </w:rPr>
        <w:t xml:space="preserve"> </w:t>
      </w:r>
      <w:r>
        <w:t>artísticas</w:t>
      </w:r>
      <w:r>
        <w:rPr>
          <w:spacing w:val="-4"/>
        </w:rPr>
        <w:t xml:space="preserve"> </w:t>
      </w:r>
      <w:r>
        <w:t>que</w:t>
      </w:r>
      <w:r>
        <w:rPr>
          <w:spacing w:val="-4"/>
        </w:rPr>
        <w:t xml:space="preserve"> </w:t>
      </w:r>
      <w:r>
        <w:t>promuevan, inciten,</w:t>
      </w:r>
      <w:r>
        <w:rPr>
          <w:spacing w:val="-15"/>
        </w:rPr>
        <w:t xml:space="preserve"> </w:t>
      </w:r>
      <w:r>
        <w:t>avalen,</w:t>
      </w:r>
      <w:r>
        <w:rPr>
          <w:spacing w:val="-15"/>
        </w:rPr>
        <w:t xml:space="preserve"> </w:t>
      </w:r>
      <w:r>
        <w:t>incentiven,</w:t>
      </w:r>
      <w:r>
        <w:rPr>
          <w:spacing w:val="-15"/>
        </w:rPr>
        <w:t xml:space="preserve"> </w:t>
      </w:r>
      <w:r>
        <w:t>impulsen</w:t>
      </w:r>
      <w:r>
        <w:rPr>
          <w:spacing w:val="-15"/>
        </w:rPr>
        <w:t xml:space="preserve"> </w:t>
      </w:r>
      <w:r>
        <w:t>promocionen</w:t>
      </w:r>
      <w:r>
        <w:rPr>
          <w:spacing w:val="-15"/>
        </w:rPr>
        <w:t xml:space="preserve"> </w:t>
      </w:r>
      <w:r>
        <w:t>la</w:t>
      </w:r>
      <w:r>
        <w:rPr>
          <w:spacing w:val="-15"/>
        </w:rPr>
        <w:t xml:space="preserve"> </w:t>
      </w:r>
      <w:r>
        <w:t>narcocultura,</w:t>
      </w:r>
      <w:r>
        <w:rPr>
          <w:spacing w:val="-15"/>
        </w:rPr>
        <w:t xml:space="preserve"> </w:t>
      </w:r>
      <w:r>
        <w:t>la</w:t>
      </w:r>
      <w:r>
        <w:rPr>
          <w:spacing w:val="-15"/>
        </w:rPr>
        <w:t xml:space="preserve"> </w:t>
      </w:r>
      <w:r>
        <w:t>violencia, la comisión de ilícitos penales, el terrorismo y el consumo de sustancias psicotrópicas ilícitas.</w:t>
      </w:r>
    </w:p>
    <w:p w:rsidR="008E742E" w:rsidRDefault="00000000">
      <w:pPr>
        <w:pStyle w:val="Textoindependiente"/>
        <w:spacing w:before="239"/>
        <w:ind w:left="821"/>
        <w:jc w:val="both"/>
      </w:pPr>
      <w:r>
        <w:t>Misma</w:t>
      </w:r>
      <w:r>
        <w:rPr>
          <w:spacing w:val="3"/>
        </w:rPr>
        <w:t xml:space="preserve"> </w:t>
      </w:r>
      <w:r>
        <w:t>prohibición</w:t>
      </w:r>
      <w:r>
        <w:rPr>
          <w:spacing w:val="3"/>
        </w:rPr>
        <w:t xml:space="preserve"> </w:t>
      </w:r>
      <w:r>
        <w:t>recaerá</w:t>
      </w:r>
      <w:r>
        <w:rPr>
          <w:spacing w:val="4"/>
        </w:rPr>
        <w:t xml:space="preserve"> </w:t>
      </w:r>
      <w:r>
        <w:t>en</w:t>
      </w:r>
      <w:r>
        <w:rPr>
          <w:spacing w:val="3"/>
        </w:rPr>
        <w:t xml:space="preserve"> </w:t>
      </w:r>
      <w:r>
        <w:t>los</w:t>
      </w:r>
      <w:r>
        <w:rPr>
          <w:spacing w:val="3"/>
        </w:rPr>
        <w:t xml:space="preserve"> </w:t>
      </w:r>
      <w:r>
        <w:t>artistas</w:t>
      </w:r>
      <w:r>
        <w:rPr>
          <w:spacing w:val="4"/>
        </w:rPr>
        <w:t xml:space="preserve"> </w:t>
      </w:r>
      <w:r>
        <w:t>o</w:t>
      </w:r>
      <w:r>
        <w:rPr>
          <w:spacing w:val="2"/>
        </w:rPr>
        <w:t xml:space="preserve"> </w:t>
      </w:r>
      <w:r>
        <w:t>grupos</w:t>
      </w:r>
      <w:r>
        <w:rPr>
          <w:spacing w:val="4"/>
        </w:rPr>
        <w:t xml:space="preserve"> </w:t>
      </w:r>
      <w:r>
        <w:t>cuyos</w:t>
      </w:r>
      <w:r>
        <w:rPr>
          <w:spacing w:val="3"/>
        </w:rPr>
        <w:t xml:space="preserve"> </w:t>
      </w:r>
      <w:r>
        <w:t>ingresos</w:t>
      </w:r>
      <w:r>
        <w:rPr>
          <w:spacing w:val="4"/>
        </w:rPr>
        <w:t xml:space="preserve"> </w:t>
      </w:r>
      <w:r>
        <w:rPr>
          <w:spacing w:val="-2"/>
        </w:rPr>
        <w:t>provengan,</w:t>
      </w:r>
    </w:p>
    <w:p w:rsidR="008E742E" w:rsidRDefault="00000000">
      <w:pPr>
        <w:pStyle w:val="Textoindependiente"/>
        <w:spacing w:before="3"/>
        <w:ind w:left="821"/>
        <w:jc w:val="both"/>
      </w:pPr>
      <w:r>
        <w:t>en</w:t>
      </w:r>
      <w:r>
        <w:rPr>
          <w:spacing w:val="-4"/>
        </w:rPr>
        <w:t xml:space="preserve"> </w:t>
      </w:r>
      <w:r>
        <w:t>todo</w:t>
      </w:r>
      <w:r>
        <w:rPr>
          <w:spacing w:val="-2"/>
        </w:rPr>
        <w:t xml:space="preserve"> </w:t>
      </w:r>
      <w:r>
        <w:t>o</w:t>
      </w:r>
      <w:r>
        <w:rPr>
          <w:spacing w:val="-2"/>
        </w:rPr>
        <w:t xml:space="preserve"> </w:t>
      </w:r>
      <w:r>
        <w:t>en</w:t>
      </w:r>
      <w:r>
        <w:rPr>
          <w:spacing w:val="-1"/>
        </w:rPr>
        <w:t xml:space="preserve"> </w:t>
      </w:r>
      <w:r>
        <w:t>parte,</w:t>
      </w:r>
      <w:r>
        <w:rPr>
          <w:spacing w:val="-3"/>
        </w:rPr>
        <w:t xml:space="preserve"> </w:t>
      </w:r>
      <w:r>
        <w:t>de</w:t>
      </w:r>
      <w:r>
        <w:rPr>
          <w:spacing w:val="-5"/>
        </w:rPr>
        <w:t xml:space="preserve"> </w:t>
      </w:r>
      <w:r>
        <w:t>las</w:t>
      </w:r>
      <w:r>
        <w:rPr>
          <w:spacing w:val="-2"/>
        </w:rPr>
        <w:t xml:space="preserve"> </w:t>
      </w:r>
      <w:r>
        <w:t>actividades</w:t>
      </w:r>
      <w:r>
        <w:rPr>
          <w:spacing w:val="-1"/>
        </w:rPr>
        <w:t xml:space="preserve"> </w:t>
      </w:r>
      <w:r>
        <w:t>mencionadas</w:t>
      </w:r>
      <w:r>
        <w:rPr>
          <w:spacing w:val="-1"/>
        </w:rPr>
        <w:t xml:space="preserve"> </w:t>
      </w:r>
      <w:r>
        <w:t>en</w:t>
      </w:r>
      <w:r>
        <w:rPr>
          <w:spacing w:val="-1"/>
        </w:rPr>
        <w:t xml:space="preserve"> </w:t>
      </w:r>
      <w:r>
        <w:t>el</w:t>
      </w:r>
      <w:r>
        <w:rPr>
          <w:spacing w:val="-3"/>
        </w:rPr>
        <w:t xml:space="preserve"> </w:t>
      </w:r>
      <w:r>
        <w:t>inciso</w:t>
      </w:r>
      <w:r>
        <w:rPr>
          <w:spacing w:val="-2"/>
        </w:rPr>
        <w:t xml:space="preserve"> anterior.”</w:t>
      </w:r>
    </w:p>
    <w:p w:rsidR="008E742E" w:rsidRDefault="008E742E">
      <w:pPr>
        <w:pStyle w:val="Textoindependiente"/>
      </w:pPr>
    </w:p>
    <w:p w:rsidR="008E742E" w:rsidRDefault="008E742E">
      <w:pPr>
        <w:pStyle w:val="Textoindependiente"/>
        <w:spacing w:before="157"/>
      </w:pPr>
    </w:p>
    <w:p w:rsidR="008E742E" w:rsidRDefault="00000000">
      <w:pPr>
        <w:pStyle w:val="Textoindependiente"/>
        <w:ind w:left="100" w:right="115"/>
        <w:jc w:val="both"/>
      </w:pPr>
      <w:r>
        <w:rPr>
          <w:b/>
        </w:rPr>
        <w:t xml:space="preserve">ARTÍCULO SEGUNDO.- </w:t>
      </w:r>
      <w:r>
        <w:t>Prohíbase, en los eventos culturales de cualquier naturaleza financiada, en todo o en parte, con fondos públicos, la participación de artistas o grupos que</w:t>
      </w:r>
      <w:r>
        <w:rPr>
          <w:spacing w:val="-3"/>
        </w:rPr>
        <w:t xml:space="preserve"> </w:t>
      </w:r>
      <w:r>
        <w:t>promuevan,</w:t>
      </w:r>
      <w:r>
        <w:rPr>
          <w:spacing w:val="-1"/>
        </w:rPr>
        <w:t xml:space="preserve"> </w:t>
      </w:r>
      <w:r>
        <w:t>inciten,</w:t>
      </w:r>
      <w:r>
        <w:rPr>
          <w:spacing w:val="-1"/>
        </w:rPr>
        <w:t xml:space="preserve"> </w:t>
      </w:r>
      <w:r>
        <w:t>avalen,</w:t>
      </w:r>
      <w:r>
        <w:rPr>
          <w:spacing w:val="-1"/>
        </w:rPr>
        <w:t xml:space="preserve"> </w:t>
      </w:r>
      <w:r>
        <w:t>incentiven,</w:t>
      </w:r>
      <w:r>
        <w:rPr>
          <w:spacing w:val="-1"/>
        </w:rPr>
        <w:t xml:space="preserve"> </w:t>
      </w:r>
      <w:r>
        <w:t>impulsen</w:t>
      </w:r>
      <w:r>
        <w:rPr>
          <w:spacing w:val="-3"/>
        </w:rPr>
        <w:t xml:space="preserve"> </w:t>
      </w:r>
      <w:r>
        <w:t>promocionen la</w:t>
      </w:r>
      <w:r>
        <w:rPr>
          <w:spacing w:val="-11"/>
        </w:rPr>
        <w:t xml:space="preserve"> </w:t>
      </w:r>
      <w:r>
        <w:t>narcocultura,</w:t>
      </w:r>
      <w:r>
        <w:rPr>
          <w:spacing w:val="-13"/>
        </w:rPr>
        <w:t xml:space="preserve"> </w:t>
      </w:r>
      <w:r>
        <w:t>la</w:t>
      </w:r>
      <w:r>
        <w:rPr>
          <w:spacing w:val="-15"/>
        </w:rPr>
        <w:t xml:space="preserve"> </w:t>
      </w:r>
      <w:r>
        <w:t>violencia,</w:t>
      </w:r>
      <w:r>
        <w:rPr>
          <w:spacing w:val="-13"/>
        </w:rPr>
        <w:t xml:space="preserve"> </w:t>
      </w:r>
      <w:r>
        <w:t>la</w:t>
      </w:r>
      <w:r>
        <w:rPr>
          <w:spacing w:val="-11"/>
        </w:rPr>
        <w:t xml:space="preserve"> </w:t>
      </w:r>
      <w:r>
        <w:t>comisión</w:t>
      </w:r>
      <w:r>
        <w:rPr>
          <w:spacing w:val="-15"/>
        </w:rPr>
        <w:t xml:space="preserve"> </w:t>
      </w:r>
      <w:r>
        <w:t>de</w:t>
      </w:r>
      <w:r>
        <w:rPr>
          <w:spacing w:val="-15"/>
        </w:rPr>
        <w:t xml:space="preserve"> </w:t>
      </w:r>
      <w:r>
        <w:t>ilícitos</w:t>
      </w:r>
      <w:r>
        <w:rPr>
          <w:spacing w:val="-12"/>
        </w:rPr>
        <w:t xml:space="preserve"> </w:t>
      </w:r>
      <w:r>
        <w:t>penales,</w:t>
      </w:r>
      <w:r>
        <w:rPr>
          <w:spacing w:val="-13"/>
        </w:rPr>
        <w:t xml:space="preserve"> </w:t>
      </w:r>
      <w:r>
        <w:t>el</w:t>
      </w:r>
      <w:r>
        <w:rPr>
          <w:spacing w:val="-13"/>
        </w:rPr>
        <w:t xml:space="preserve"> </w:t>
      </w:r>
      <w:r>
        <w:t>terrorismo</w:t>
      </w:r>
      <w:r>
        <w:rPr>
          <w:spacing w:val="-12"/>
        </w:rPr>
        <w:t xml:space="preserve"> </w:t>
      </w:r>
      <w:r>
        <w:t>y</w:t>
      </w:r>
      <w:r>
        <w:rPr>
          <w:spacing w:val="-15"/>
        </w:rPr>
        <w:t xml:space="preserve"> </w:t>
      </w:r>
      <w:r>
        <w:t>el</w:t>
      </w:r>
      <w:r>
        <w:rPr>
          <w:spacing w:val="-9"/>
        </w:rPr>
        <w:t xml:space="preserve"> </w:t>
      </w:r>
      <w:r>
        <w:t>consumo de sustancias psicotrópicas ilícitas.</w:t>
      </w:r>
    </w:p>
    <w:p w:rsidR="008E742E" w:rsidRDefault="008E742E">
      <w:pPr>
        <w:pStyle w:val="Textoindependiente"/>
      </w:pPr>
    </w:p>
    <w:p w:rsidR="008E742E" w:rsidRDefault="008E742E">
      <w:pPr>
        <w:pStyle w:val="Textoindependiente"/>
      </w:pPr>
    </w:p>
    <w:p w:rsidR="008E742E" w:rsidRDefault="008E742E">
      <w:pPr>
        <w:pStyle w:val="Textoindependiente"/>
      </w:pPr>
    </w:p>
    <w:p w:rsidR="008E742E" w:rsidRDefault="008E742E">
      <w:pPr>
        <w:pStyle w:val="Textoindependiente"/>
        <w:spacing w:before="72"/>
      </w:pPr>
    </w:p>
    <w:p w:rsidR="008E742E" w:rsidRDefault="00000000">
      <w:pPr>
        <w:pStyle w:val="Ttulo1"/>
        <w:spacing w:line="323" w:lineRule="exact"/>
        <w:ind w:right="16"/>
        <w:jc w:val="center"/>
      </w:pPr>
      <w:r>
        <w:t>JOANNA</w:t>
      </w:r>
      <w:r>
        <w:rPr>
          <w:spacing w:val="-3"/>
        </w:rPr>
        <w:t xml:space="preserve"> </w:t>
      </w:r>
      <w:r>
        <w:t xml:space="preserve">PÉREZ </w:t>
      </w:r>
      <w:r>
        <w:rPr>
          <w:spacing w:val="-4"/>
        </w:rPr>
        <w:t>OLEA</w:t>
      </w:r>
    </w:p>
    <w:p w:rsidR="008E742E" w:rsidRDefault="00000000">
      <w:pPr>
        <w:pStyle w:val="Textoindependiente"/>
        <w:spacing w:line="323" w:lineRule="exact"/>
        <w:ind w:left="5" w:right="16"/>
        <w:jc w:val="center"/>
      </w:pPr>
      <w:r>
        <w:t>Diputada</w:t>
      </w:r>
      <w:r>
        <w:rPr>
          <w:spacing w:val="-3"/>
        </w:rPr>
        <w:t xml:space="preserve"> </w:t>
      </w:r>
      <w:r>
        <w:t>de</w:t>
      </w:r>
      <w:r>
        <w:rPr>
          <w:spacing w:val="-2"/>
        </w:rPr>
        <w:t xml:space="preserve"> </w:t>
      </w:r>
      <w:r>
        <w:t>la</w:t>
      </w:r>
      <w:r>
        <w:rPr>
          <w:spacing w:val="3"/>
        </w:rPr>
        <w:t xml:space="preserve"> </w:t>
      </w:r>
      <w:r>
        <w:rPr>
          <w:spacing w:val="-2"/>
        </w:rPr>
        <w:t>República</w:t>
      </w:r>
    </w:p>
    <w:sectPr w:rsidR="008E742E">
      <w:pgSz w:w="11910" w:h="16840"/>
      <w:pgMar w:top="2500" w:right="1320" w:bottom="280" w:left="1340" w:header="96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4501" w:rsidRDefault="00B24501">
      <w:r>
        <w:separator/>
      </w:r>
    </w:p>
  </w:endnote>
  <w:endnote w:type="continuationSeparator" w:id="0">
    <w:p w:rsidR="00B24501" w:rsidRDefault="00B24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4501" w:rsidRDefault="00B24501">
      <w:r>
        <w:separator/>
      </w:r>
    </w:p>
  </w:footnote>
  <w:footnote w:type="continuationSeparator" w:id="0">
    <w:p w:rsidR="00B24501" w:rsidRDefault="00B24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742E" w:rsidRDefault="00000000">
    <w:pPr>
      <w:pStyle w:val="Textoindependiente"/>
      <w:spacing w:line="14" w:lineRule="auto"/>
      <w:rPr>
        <w:sz w:val="20"/>
      </w:rPr>
    </w:pPr>
    <w:r>
      <w:rPr>
        <w:noProof/>
      </w:rPr>
      <w:drawing>
        <wp:anchor distT="0" distB="0" distL="0" distR="0" simplePos="0" relativeHeight="487535616" behindDoc="1" locked="0" layoutInCell="1" allowOverlap="1">
          <wp:simplePos x="0" y="0"/>
          <wp:positionH relativeFrom="page">
            <wp:posOffset>3247644</wp:posOffset>
          </wp:positionH>
          <wp:positionV relativeFrom="page">
            <wp:posOffset>609599</wp:posOffset>
          </wp:positionV>
          <wp:extent cx="1061084" cy="98742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61084" cy="987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02295C"/>
    <w:multiLevelType w:val="hybridMultilevel"/>
    <w:tmpl w:val="D6A89240"/>
    <w:lvl w:ilvl="0" w:tplc="2D06B85C">
      <w:start w:val="1"/>
      <w:numFmt w:val="upperRoman"/>
      <w:lvlText w:val="%1."/>
      <w:lvlJc w:val="left"/>
      <w:pPr>
        <w:ind w:left="2179" w:hanging="874"/>
        <w:jc w:val="right"/>
      </w:pPr>
      <w:rPr>
        <w:rFonts w:ascii="Palatino Linotype" w:eastAsia="Palatino Linotype" w:hAnsi="Palatino Linotype" w:cs="Palatino Linotype" w:hint="default"/>
        <w:b/>
        <w:bCs/>
        <w:i w:val="0"/>
        <w:iCs w:val="0"/>
        <w:spacing w:val="-3"/>
        <w:w w:val="100"/>
        <w:sz w:val="24"/>
        <w:szCs w:val="24"/>
        <w:lang w:val="es-ES" w:eastAsia="en-US" w:bidi="ar-SA"/>
      </w:rPr>
    </w:lvl>
    <w:lvl w:ilvl="1" w:tplc="17E87396">
      <w:numFmt w:val="bullet"/>
      <w:lvlText w:val="•"/>
      <w:lvlJc w:val="left"/>
      <w:pPr>
        <w:ind w:left="2886" w:hanging="874"/>
      </w:pPr>
      <w:rPr>
        <w:rFonts w:hint="default"/>
        <w:lang w:val="es-ES" w:eastAsia="en-US" w:bidi="ar-SA"/>
      </w:rPr>
    </w:lvl>
    <w:lvl w:ilvl="2" w:tplc="B1964930">
      <w:numFmt w:val="bullet"/>
      <w:lvlText w:val="•"/>
      <w:lvlJc w:val="left"/>
      <w:pPr>
        <w:ind w:left="3593" w:hanging="874"/>
      </w:pPr>
      <w:rPr>
        <w:rFonts w:hint="default"/>
        <w:lang w:val="es-ES" w:eastAsia="en-US" w:bidi="ar-SA"/>
      </w:rPr>
    </w:lvl>
    <w:lvl w:ilvl="3" w:tplc="075229F0">
      <w:numFmt w:val="bullet"/>
      <w:lvlText w:val="•"/>
      <w:lvlJc w:val="left"/>
      <w:pPr>
        <w:ind w:left="4300" w:hanging="874"/>
      </w:pPr>
      <w:rPr>
        <w:rFonts w:hint="default"/>
        <w:lang w:val="es-ES" w:eastAsia="en-US" w:bidi="ar-SA"/>
      </w:rPr>
    </w:lvl>
    <w:lvl w:ilvl="4" w:tplc="3500A540">
      <w:numFmt w:val="bullet"/>
      <w:lvlText w:val="•"/>
      <w:lvlJc w:val="left"/>
      <w:pPr>
        <w:ind w:left="5007" w:hanging="874"/>
      </w:pPr>
      <w:rPr>
        <w:rFonts w:hint="default"/>
        <w:lang w:val="es-ES" w:eastAsia="en-US" w:bidi="ar-SA"/>
      </w:rPr>
    </w:lvl>
    <w:lvl w:ilvl="5" w:tplc="0958B278">
      <w:numFmt w:val="bullet"/>
      <w:lvlText w:val="•"/>
      <w:lvlJc w:val="left"/>
      <w:pPr>
        <w:ind w:left="5714" w:hanging="874"/>
      </w:pPr>
      <w:rPr>
        <w:rFonts w:hint="default"/>
        <w:lang w:val="es-ES" w:eastAsia="en-US" w:bidi="ar-SA"/>
      </w:rPr>
    </w:lvl>
    <w:lvl w:ilvl="6" w:tplc="4496B9CC">
      <w:numFmt w:val="bullet"/>
      <w:lvlText w:val="•"/>
      <w:lvlJc w:val="left"/>
      <w:pPr>
        <w:ind w:left="6421" w:hanging="874"/>
      </w:pPr>
      <w:rPr>
        <w:rFonts w:hint="default"/>
        <w:lang w:val="es-ES" w:eastAsia="en-US" w:bidi="ar-SA"/>
      </w:rPr>
    </w:lvl>
    <w:lvl w:ilvl="7" w:tplc="48A07208">
      <w:numFmt w:val="bullet"/>
      <w:lvlText w:val="•"/>
      <w:lvlJc w:val="left"/>
      <w:pPr>
        <w:ind w:left="7128" w:hanging="874"/>
      </w:pPr>
      <w:rPr>
        <w:rFonts w:hint="default"/>
        <w:lang w:val="es-ES" w:eastAsia="en-US" w:bidi="ar-SA"/>
      </w:rPr>
    </w:lvl>
    <w:lvl w:ilvl="8" w:tplc="32DEC10C">
      <w:numFmt w:val="bullet"/>
      <w:lvlText w:val="•"/>
      <w:lvlJc w:val="left"/>
      <w:pPr>
        <w:ind w:left="7835" w:hanging="874"/>
      </w:pPr>
      <w:rPr>
        <w:rFonts w:hint="default"/>
        <w:lang w:val="es-ES" w:eastAsia="en-US" w:bidi="ar-SA"/>
      </w:rPr>
    </w:lvl>
  </w:abstractNum>
  <w:num w:numId="1" w16cid:durableId="1146553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42E"/>
    <w:rsid w:val="00163F8C"/>
    <w:rsid w:val="008E742E"/>
    <w:rsid w:val="00B2450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32966-EB45-410F-B976-4C36B459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093" w:hanging="97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heclinic.cl/2023/04/22/armas-drogas-lujos-sello-narcocultura-cantantes-urbanos/" TargetMode="External"/><Relationship Id="rId13" Type="http://schemas.openxmlformats.org/officeDocument/2006/relationships/hyperlink" Target="https://www.latercera.com/culto/2024/01/10/toha-y-polemica-por-presencia-de-peso-pluma-en-vina-nos-preocupa-que-exista-tanto-seguimiento-de-canciones-que-promueven-la-cultura-narco/" TargetMode="External"/><Relationship Id="rId3" Type="http://schemas.openxmlformats.org/officeDocument/2006/relationships/settings" Target="settings.xml"/><Relationship Id="rId7" Type="http://schemas.openxmlformats.org/officeDocument/2006/relationships/hyperlink" Target="https://www.scielo.org.mx/pdf/cultural/v6/2448-539X-cultural-6-e349.pdf" TargetMode="External"/><Relationship Id="rId12" Type="http://schemas.openxmlformats.org/officeDocument/2006/relationships/hyperlink" Target="https://www.latercera.com/culto/2024/01/10/toha-y-polemica-por-presencia-de-peso-pluma-en-vina-nos-preocupa-que-exista-tanto-seguimiento-de-canciones-que-promueven-la-cultura-nar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obiochile.cl/noticias/opinion/columnas-bbcl/2024/01/09/concejal-rene-lues-pido-revisar-la-contratacion-de-peso-pluma-en-el-festival-de-vina-del-mar.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iobiochile.cl/noticias/opinion/columnas-bbcl/2024/01/09/concejal-rene-lues-pido-revisar-la-contratacion-de-peso-pluma-en-el-festival-de-vina-del-mar.shtm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5390</Characters>
  <Application>Microsoft Office Word</Application>
  <DocSecurity>0</DocSecurity>
  <Lines>44</Lines>
  <Paragraphs>12</Paragraphs>
  <ScaleCrop>false</ScaleCrop>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Aguilera</dc:creator>
  <cp:lastModifiedBy>Guillermo Diaz Vallejos</cp:lastModifiedBy>
  <cp:revision>1</cp:revision>
  <dcterms:created xsi:type="dcterms:W3CDTF">2024-01-12T14:02:00Z</dcterms:created>
  <dcterms:modified xsi:type="dcterms:W3CDTF">2024-01-17T14:34:00Z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Creator">
    <vt:lpwstr>Microsoft® Word para Microsoft 365</vt:lpwstr>
  </property>
  <property fmtid="{D5CDD505-2E9C-101B-9397-08002B2CF9AE}" pid="4" name="LastSaved">
    <vt:filetime>2024-01-12T00:00:00Z</vt:filetime>
  </property>
  <property fmtid="{D5CDD505-2E9C-101B-9397-08002B2CF9AE}" pid="5" name="Producer">
    <vt:lpwstr>Microsoft® Word para Microsoft 365</vt:lpwstr>
  </property>
</Properties>
</file>