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11EE" w:rsidRDefault="00A311EE">
      <w:pPr>
        <w:pStyle w:val="Textoindependiente"/>
        <w:spacing w:before="138"/>
        <w:rPr>
          <w:rFonts w:ascii="Times New Roman"/>
          <w:sz w:val="20"/>
        </w:rPr>
      </w:pPr>
    </w:p>
    <w:p w:rsidR="00A311EE" w:rsidRDefault="00000000">
      <w:pPr>
        <w:pStyle w:val="Textoindependiente"/>
        <w:ind w:left="40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01490" cy="901446"/>
            <wp:effectExtent l="0" t="0" r="0" b="0"/>
            <wp:docPr id="1" name="Image 1" descr="Logotipo, nombre de la empres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, nombre de la empresa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490" cy="9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1EE" w:rsidRDefault="00A311EE">
      <w:pPr>
        <w:pStyle w:val="Textoindependiente"/>
        <w:rPr>
          <w:rFonts w:ascii="Times New Roman"/>
        </w:rPr>
      </w:pPr>
    </w:p>
    <w:p w:rsidR="00A311EE" w:rsidRDefault="00A311EE">
      <w:pPr>
        <w:pStyle w:val="Textoindependiente"/>
        <w:spacing w:before="150"/>
        <w:rPr>
          <w:rFonts w:ascii="Times New Roman"/>
        </w:rPr>
      </w:pPr>
    </w:p>
    <w:p w:rsidR="00A311EE" w:rsidRDefault="00000000">
      <w:pPr>
        <w:pStyle w:val="Ttulo"/>
        <w:spacing w:line="297" w:lineRule="auto"/>
        <w:rPr>
          <w:b/>
        </w:rPr>
      </w:pPr>
      <w:r>
        <w:rPr>
          <w:b/>
          <w:smallCaps/>
        </w:rPr>
        <w:t>Dispone el acceso preferente a la matrícula de establecimientos educacionales reconocidos oficialmente por el Estado de estudiantes de nacionalidad chilena o extranjeros</w:t>
      </w:r>
      <w:r>
        <w:rPr>
          <w:b/>
          <w:smallCaps/>
          <w:spacing w:val="-5"/>
        </w:rPr>
        <w:t xml:space="preserve"> </w:t>
      </w:r>
      <w:r>
        <w:rPr>
          <w:b/>
          <w:smallCaps/>
        </w:rPr>
        <w:t>con</w:t>
      </w:r>
      <w:r>
        <w:rPr>
          <w:b/>
          <w:smallCaps/>
          <w:spacing w:val="-5"/>
        </w:rPr>
        <w:t xml:space="preserve"> </w:t>
      </w:r>
      <w:r>
        <w:rPr>
          <w:b/>
          <w:smallCaps/>
        </w:rPr>
        <w:t>residencia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temporal</w:t>
      </w:r>
      <w:r>
        <w:rPr>
          <w:b/>
          <w:smallCaps/>
          <w:spacing w:val="-5"/>
        </w:rPr>
        <w:t xml:space="preserve"> </w:t>
      </w:r>
      <w:r>
        <w:rPr>
          <w:b/>
          <w:smallCaps/>
        </w:rPr>
        <w:t>o</w:t>
      </w:r>
      <w:r>
        <w:rPr>
          <w:b/>
          <w:smallCaps/>
          <w:spacing w:val="-5"/>
        </w:rPr>
        <w:t xml:space="preserve"> </w:t>
      </w:r>
      <w:r>
        <w:rPr>
          <w:b/>
          <w:smallCaps/>
        </w:rPr>
        <w:t>definitiva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en</w:t>
      </w:r>
      <w:r>
        <w:rPr>
          <w:b/>
          <w:smallCaps/>
          <w:spacing w:val="-3"/>
        </w:rPr>
        <w:t xml:space="preserve"> </w:t>
      </w:r>
      <w:r>
        <w:rPr>
          <w:b/>
          <w:smallCaps/>
        </w:rPr>
        <w:t>Chile.</w:t>
      </w:r>
    </w:p>
    <w:p w:rsidR="00A311EE" w:rsidRDefault="00A311EE">
      <w:pPr>
        <w:pStyle w:val="Textoindependiente"/>
        <w:rPr>
          <w:b/>
        </w:rPr>
      </w:pPr>
    </w:p>
    <w:p w:rsidR="00A311EE" w:rsidRDefault="00A311EE">
      <w:pPr>
        <w:pStyle w:val="Textoindependiente"/>
        <w:rPr>
          <w:b/>
        </w:rPr>
      </w:pPr>
    </w:p>
    <w:p w:rsidR="00A311EE" w:rsidRDefault="00A311EE">
      <w:pPr>
        <w:pStyle w:val="Textoindependiente"/>
        <w:spacing w:before="168"/>
        <w:rPr>
          <w:b/>
        </w:rPr>
      </w:pPr>
    </w:p>
    <w:p w:rsidR="00A311EE" w:rsidRDefault="00000000">
      <w:pPr>
        <w:pStyle w:val="Textoindependiente"/>
        <w:ind w:left="118"/>
        <w:rPr>
          <w:b/>
        </w:rPr>
      </w:pPr>
      <w:r>
        <w:rPr>
          <w:b/>
          <w:spacing w:val="-2"/>
        </w:rPr>
        <w:t>Fundamentos:</w:t>
      </w:r>
    </w:p>
    <w:p w:rsidR="00A311EE" w:rsidRDefault="00A311EE">
      <w:pPr>
        <w:pStyle w:val="Textoindependiente"/>
        <w:rPr>
          <w:b/>
        </w:rPr>
      </w:pPr>
    </w:p>
    <w:p w:rsidR="00A311EE" w:rsidRDefault="00A311EE">
      <w:pPr>
        <w:pStyle w:val="Textoindependiente"/>
        <w:spacing w:before="227"/>
        <w:rPr>
          <w:b/>
        </w:rPr>
      </w:pPr>
    </w:p>
    <w:p w:rsidR="00A311EE" w:rsidRDefault="00000000">
      <w:pPr>
        <w:pStyle w:val="Prrafodelista"/>
        <w:numPr>
          <w:ilvl w:val="0"/>
          <w:numId w:val="1"/>
        </w:numPr>
        <w:tabs>
          <w:tab w:val="left" w:pos="1558"/>
        </w:tabs>
        <w:spacing w:line="360" w:lineRule="auto"/>
        <w:ind w:right="111"/>
        <w:rPr>
          <w:sz w:val="24"/>
        </w:rPr>
      </w:pPr>
      <w:r>
        <w:rPr>
          <w:sz w:val="24"/>
        </w:rPr>
        <w:t>El ex Presidente de la República, don Sebastián Piñera Echenique, ingresó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trámite</w:t>
      </w:r>
      <w:r>
        <w:rPr>
          <w:spacing w:val="-6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serie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indicaciones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proyecto</w:t>
      </w:r>
      <w:r>
        <w:rPr>
          <w:spacing w:val="-6"/>
          <w:sz w:val="24"/>
        </w:rPr>
        <w:t xml:space="preserve"> </w:t>
      </w:r>
      <w:r>
        <w:rPr>
          <w:sz w:val="24"/>
        </w:rPr>
        <w:t>de ley de Migración y Extranjería. Dichas indicaciones que sustituían casi por completo el proyecto, tenían como objetivo la búsqueda de una migración segura, ordenada y regular, estableciendo un equilibrio entre el legítimo derecho de un Estado de normar el ingreso, egreso y permanencia de los extranjeros en el país incorporando el respeto, garantía y protección de los derechos fundamentales de los migrantes, así como el reconocimiento del aporte de las comunidades migrantes a la sociedad, resguardando que se impida el ingreso de personas con antecedentes penales.</w:t>
      </w:r>
    </w:p>
    <w:p w:rsidR="00A311EE" w:rsidRDefault="00A311EE">
      <w:pPr>
        <w:pStyle w:val="Textoindependiente"/>
        <w:spacing w:before="136"/>
      </w:pPr>
    </w:p>
    <w:p w:rsidR="00A311EE" w:rsidRDefault="00000000">
      <w:pPr>
        <w:pStyle w:val="Prrafodelista"/>
        <w:numPr>
          <w:ilvl w:val="0"/>
          <w:numId w:val="1"/>
        </w:numPr>
        <w:tabs>
          <w:tab w:val="left" w:pos="1558"/>
        </w:tabs>
        <w:spacing w:line="357" w:lineRule="auto"/>
        <w:rPr>
          <w:sz w:val="24"/>
        </w:rPr>
      </w:pPr>
      <w:r>
        <w:rPr>
          <w:sz w:val="24"/>
        </w:rPr>
        <w:t>Sin</w:t>
      </w:r>
      <w:r>
        <w:rPr>
          <w:spacing w:val="-12"/>
          <w:sz w:val="24"/>
        </w:rPr>
        <w:t xml:space="preserve"> </w:t>
      </w:r>
      <w:r>
        <w:rPr>
          <w:sz w:val="24"/>
        </w:rPr>
        <w:t>embargo,</w:t>
      </w:r>
      <w:r>
        <w:rPr>
          <w:spacing w:val="-12"/>
          <w:sz w:val="24"/>
        </w:rPr>
        <w:t xml:space="preserve"> </w:t>
      </w:r>
      <w:r>
        <w:rPr>
          <w:sz w:val="24"/>
        </w:rPr>
        <w:t>lo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parecía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iniciativa</w:t>
      </w:r>
      <w:r>
        <w:rPr>
          <w:spacing w:val="-12"/>
          <w:sz w:val="24"/>
        </w:rPr>
        <w:t xml:space="preserve"> </w:t>
      </w:r>
      <w:r>
        <w:rPr>
          <w:sz w:val="24"/>
        </w:rPr>
        <w:t>destinada</w:t>
      </w:r>
      <w:r>
        <w:rPr>
          <w:spacing w:val="-12"/>
          <w:sz w:val="24"/>
        </w:rPr>
        <w:t xml:space="preserve"> </w:t>
      </w:r>
      <w:r>
        <w:rPr>
          <w:sz w:val="24"/>
        </w:rPr>
        <w:t>principalmente a sustituir un estatuto normativo añejo y proveer a Chile de una migración</w:t>
      </w:r>
      <w:r>
        <w:rPr>
          <w:spacing w:val="-20"/>
          <w:sz w:val="24"/>
        </w:rPr>
        <w:t xml:space="preserve"> </w:t>
      </w:r>
      <w:r>
        <w:rPr>
          <w:sz w:val="24"/>
        </w:rPr>
        <w:t>ordenada,</w:t>
      </w:r>
      <w:r>
        <w:rPr>
          <w:spacing w:val="-20"/>
          <w:sz w:val="24"/>
        </w:rPr>
        <w:t xml:space="preserve"> </w:t>
      </w:r>
      <w:r>
        <w:rPr>
          <w:sz w:val="24"/>
        </w:rPr>
        <w:t>segura</w:t>
      </w:r>
      <w:r>
        <w:rPr>
          <w:spacing w:val="-20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regular,</w:t>
      </w:r>
      <w:r>
        <w:rPr>
          <w:spacing w:val="-20"/>
          <w:sz w:val="24"/>
        </w:rPr>
        <w:t xml:space="preserve"> </w:t>
      </w:r>
      <w:r>
        <w:rPr>
          <w:sz w:val="24"/>
        </w:rPr>
        <w:t>terminó</w:t>
      </w:r>
      <w:r>
        <w:rPr>
          <w:spacing w:val="-20"/>
          <w:sz w:val="24"/>
        </w:rPr>
        <w:t xml:space="preserve"> </w:t>
      </w:r>
      <w:r>
        <w:rPr>
          <w:sz w:val="24"/>
        </w:rPr>
        <w:t>siendo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oportunidad</w:t>
      </w:r>
    </w:p>
    <w:p w:rsidR="00A311EE" w:rsidRDefault="00A311EE">
      <w:pPr>
        <w:spacing w:line="357" w:lineRule="auto"/>
        <w:jc w:val="both"/>
        <w:rPr>
          <w:sz w:val="24"/>
        </w:rPr>
        <w:sectPr w:rsidR="00A311EE" w:rsidSect="0031112C">
          <w:type w:val="continuous"/>
          <w:pgSz w:w="12240" w:h="15840"/>
          <w:pgMar w:top="1820" w:right="1300" w:bottom="280" w:left="1300" w:header="720" w:footer="720" w:gutter="0"/>
          <w:cols w:space="720"/>
        </w:sectPr>
      </w:pPr>
    </w:p>
    <w:p w:rsidR="00A311EE" w:rsidRDefault="00000000">
      <w:pPr>
        <w:pStyle w:val="Textoindependiente"/>
        <w:spacing w:before="71" w:line="360" w:lineRule="auto"/>
        <w:ind w:left="1558" w:right="112"/>
        <w:jc w:val="both"/>
      </w:pPr>
      <w:r>
        <w:lastRenderedPageBreak/>
        <w:t>ideal para sectores de centro izquierda, en ese entonces en la oposición, aprovecharan de asegurar derechos bajo el entendido de la existencia de un supuesto derecho humano a migrar y de la obligación que tenían los estados receptores de dicha migración de proveer todo tipo de prestaciones sociales sin limitación alguna o exigencia de arraigo con nuestro país.</w:t>
      </w:r>
    </w:p>
    <w:p w:rsidR="00A311EE" w:rsidRDefault="00A311EE">
      <w:pPr>
        <w:pStyle w:val="Textoindependiente"/>
        <w:spacing w:before="141"/>
      </w:pPr>
    </w:p>
    <w:p w:rsidR="00A311EE" w:rsidRDefault="00000000">
      <w:pPr>
        <w:pStyle w:val="Prrafodelista"/>
        <w:numPr>
          <w:ilvl w:val="0"/>
          <w:numId w:val="1"/>
        </w:numPr>
        <w:tabs>
          <w:tab w:val="left" w:pos="1558"/>
        </w:tabs>
        <w:spacing w:line="360" w:lineRule="auto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hecho,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grandes</w:t>
      </w:r>
      <w:r>
        <w:rPr>
          <w:spacing w:val="-3"/>
          <w:sz w:val="24"/>
        </w:rPr>
        <w:t xml:space="preserve"> </w:t>
      </w:r>
      <w:r>
        <w:rPr>
          <w:sz w:val="24"/>
        </w:rPr>
        <w:t>discusiones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hubo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sesiones de la Comisión de Gobierno Interior, particularmente en la Cámara de Diputados, dijo relación con la percepción de prestaciones sociales por parte de la población extranjera en Chile y las condiciones que ésta debería reunir para acceder a las mismas. En materia</w:t>
      </w:r>
      <w:r>
        <w:rPr>
          <w:spacing w:val="-13"/>
          <w:sz w:val="24"/>
        </w:rPr>
        <w:t xml:space="preserve"> </w:t>
      </w:r>
      <w:r>
        <w:rPr>
          <w:sz w:val="24"/>
        </w:rPr>
        <w:t>educacional,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criterios</w:t>
      </w:r>
      <w:r>
        <w:rPr>
          <w:spacing w:val="-13"/>
          <w:sz w:val="24"/>
        </w:rPr>
        <w:t xml:space="preserve"> </w:t>
      </w:r>
      <w:r>
        <w:rPr>
          <w:sz w:val="24"/>
        </w:rPr>
        <w:t>quedaron</w:t>
      </w:r>
      <w:r>
        <w:rPr>
          <w:spacing w:val="-13"/>
          <w:sz w:val="24"/>
        </w:rPr>
        <w:t xml:space="preserve"> </w:t>
      </w:r>
      <w:r>
        <w:rPr>
          <w:sz w:val="24"/>
        </w:rPr>
        <w:t>plasmados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 17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ley</w:t>
      </w:r>
      <w:r>
        <w:rPr>
          <w:spacing w:val="-18"/>
          <w:sz w:val="24"/>
        </w:rPr>
        <w:t xml:space="preserve"> </w:t>
      </w:r>
      <w:r>
        <w:rPr>
          <w:sz w:val="24"/>
        </w:rPr>
        <w:t>Nº21.325,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asegura</w:t>
      </w:r>
      <w:r>
        <w:rPr>
          <w:spacing w:val="-18"/>
          <w:sz w:val="24"/>
        </w:rPr>
        <w:t xml:space="preserve"> </w:t>
      </w:r>
      <w:r>
        <w:rPr>
          <w:sz w:val="24"/>
        </w:rPr>
        <w:t>igualdad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derechos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el</w:t>
      </w:r>
      <w:r>
        <w:rPr>
          <w:spacing w:val="-20"/>
          <w:sz w:val="24"/>
        </w:rPr>
        <w:t xml:space="preserve"> </w:t>
      </w:r>
      <w:r>
        <w:rPr>
          <w:sz w:val="24"/>
        </w:rPr>
        <w:t>acceso a las prestaciones educacionales, desestimando cualquier tipo de discriminación en base a la condición migratoria de los padres o de quienes tengan bajo su cuidado a los estudiantes.</w:t>
      </w:r>
    </w:p>
    <w:p w:rsidR="00A311EE" w:rsidRDefault="00A311EE">
      <w:pPr>
        <w:pStyle w:val="Textoindependiente"/>
        <w:spacing w:before="18"/>
      </w:pPr>
    </w:p>
    <w:p w:rsidR="00A311EE" w:rsidRDefault="00000000">
      <w:pPr>
        <w:pStyle w:val="Prrafodelista"/>
        <w:numPr>
          <w:ilvl w:val="0"/>
          <w:numId w:val="1"/>
        </w:numPr>
        <w:tabs>
          <w:tab w:val="left" w:pos="1558"/>
        </w:tabs>
        <w:spacing w:line="360" w:lineRule="auto"/>
        <w:rPr>
          <w:sz w:val="24"/>
        </w:rPr>
      </w:pPr>
      <w:r>
        <w:rPr>
          <w:sz w:val="24"/>
        </w:rPr>
        <w:t>En este orden de cosas, entendiendo las obligaciones que ha contraído nuestro país en el marco del Sistema Universal e Interamericano de protección a los Derechos Humanos, la presente iniciativa busca, sin eliminar el mandato de no discriminación, disponer al menos una preferencia de matrícula para estudiantes nacionales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aquellos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padres</w:t>
      </w:r>
      <w:r>
        <w:rPr>
          <w:spacing w:val="-10"/>
          <w:sz w:val="24"/>
        </w:rPr>
        <w:t xml:space="preserve"> </w:t>
      </w:r>
      <w:r>
        <w:rPr>
          <w:sz w:val="24"/>
        </w:rPr>
        <w:t>extranjeros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residencia</w:t>
      </w:r>
      <w:r>
        <w:rPr>
          <w:spacing w:val="-8"/>
          <w:sz w:val="24"/>
        </w:rPr>
        <w:t xml:space="preserve"> </w:t>
      </w:r>
      <w:r>
        <w:rPr>
          <w:sz w:val="24"/>
        </w:rPr>
        <w:t>temporal o definitiva. Se trata de evitar que alumnos chilenos o extranjeros con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cierto</w:t>
      </w:r>
      <w:r>
        <w:rPr>
          <w:spacing w:val="-11"/>
          <w:sz w:val="24"/>
        </w:rPr>
        <w:t xml:space="preserve"> </w:t>
      </w:r>
      <w:r>
        <w:rPr>
          <w:sz w:val="24"/>
        </w:rPr>
        <w:t>nivel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arraigo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nuestro</w:t>
      </w:r>
      <w:r>
        <w:rPr>
          <w:spacing w:val="-11"/>
          <w:sz w:val="24"/>
        </w:rPr>
        <w:t xml:space="preserve"> </w:t>
      </w:r>
      <w:r>
        <w:rPr>
          <w:sz w:val="24"/>
        </w:rPr>
        <w:t>país</w:t>
      </w:r>
      <w:r>
        <w:rPr>
          <w:spacing w:val="-9"/>
          <w:sz w:val="24"/>
        </w:rPr>
        <w:t xml:space="preserve"> </w:t>
      </w:r>
      <w:r>
        <w:rPr>
          <w:sz w:val="24"/>
        </w:rPr>
        <w:t>queden</w:t>
      </w:r>
      <w:r>
        <w:rPr>
          <w:spacing w:val="-11"/>
          <w:sz w:val="24"/>
        </w:rPr>
        <w:t xml:space="preserve"> </w:t>
      </w:r>
      <w:r>
        <w:rPr>
          <w:sz w:val="24"/>
        </w:rPr>
        <w:t>sin</w:t>
      </w:r>
      <w:r>
        <w:rPr>
          <w:spacing w:val="-11"/>
          <w:sz w:val="24"/>
        </w:rPr>
        <w:t xml:space="preserve"> </w:t>
      </w:r>
      <w:r>
        <w:rPr>
          <w:sz w:val="24"/>
        </w:rPr>
        <w:t>matricula por una planificación irresponsable de quienes se encuentran en el Gobierno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abordaron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discusión</w:t>
      </w:r>
      <w:r>
        <w:rPr>
          <w:spacing w:val="-18"/>
          <w:sz w:val="24"/>
        </w:rPr>
        <w:t xml:space="preserve"> </w:t>
      </w:r>
      <w:r>
        <w:rPr>
          <w:sz w:val="24"/>
        </w:rPr>
        <w:t>migratoria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manera</w:t>
      </w:r>
      <w:r>
        <w:rPr>
          <w:spacing w:val="-18"/>
          <w:sz w:val="24"/>
        </w:rPr>
        <w:t xml:space="preserve"> </w:t>
      </w:r>
      <w:r>
        <w:rPr>
          <w:sz w:val="24"/>
        </w:rPr>
        <w:t>infantil e ideologizada.</w:t>
      </w:r>
    </w:p>
    <w:p w:rsidR="00A311EE" w:rsidRDefault="00A311EE">
      <w:pPr>
        <w:spacing w:line="360" w:lineRule="auto"/>
        <w:jc w:val="both"/>
        <w:rPr>
          <w:sz w:val="24"/>
        </w:rPr>
        <w:sectPr w:rsidR="00A311EE" w:rsidSect="0031112C">
          <w:pgSz w:w="12240" w:h="15840"/>
          <w:pgMar w:top="1460" w:right="1300" w:bottom="280" w:left="1300" w:header="720" w:footer="720" w:gutter="0"/>
          <w:cols w:space="720"/>
        </w:sectPr>
      </w:pPr>
    </w:p>
    <w:p w:rsidR="00A311EE" w:rsidRDefault="00000000">
      <w:pPr>
        <w:pStyle w:val="Prrafodelista"/>
        <w:numPr>
          <w:ilvl w:val="0"/>
          <w:numId w:val="1"/>
        </w:numPr>
        <w:tabs>
          <w:tab w:val="left" w:pos="1558"/>
        </w:tabs>
        <w:spacing w:before="72" w:line="360" w:lineRule="auto"/>
        <w:ind w:right="112"/>
        <w:rPr>
          <w:i/>
          <w:sz w:val="24"/>
        </w:rPr>
      </w:pPr>
      <w:r>
        <w:rPr>
          <w:sz w:val="24"/>
        </w:rPr>
        <w:lastRenderedPageBreak/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acuerdo</w:t>
      </w:r>
      <w:r>
        <w:rPr>
          <w:spacing w:val="-17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Ministro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Educación,</w:t>
      </w:r>
      <w:r>
        <w:rPr>
          <w:spacing w:val="-17"/>
          <w:sz w:val="24"/>
        </w:rPr>
        <w:t xml:space="preserve"> </w:t>
      </w:r>
      <w:r>
        <w:rPr>
          <w:sz w:val="24"/>
        </w:rPr>
        <w:t>Nicolás</w:t>
      </w:r>
      <w:r>
        <w:rPr>
          <w:spacing w:val="-17"/>
          <w:sz w:val="24"/>
        </w:rPr>
        <w:t xml:space="preserve"> </w:t>
      </w:r>
      <w:r>
        <w:rPr>
          <w:sz w:val="24"/>
        </w:rPr>
        <w:t>Cataldo,</w:t>
      </w:r>
      <w:r>
        <w:rPr>
          <w:spacing w:val="-1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entre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2022 y la fecha actual, se han entregado más de 150.000 IPEs (Identificador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Provisorio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Escolar)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quiere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decir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ingresado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 Chile personas migrantes que han obtenido el RUT provisorio para ingresar a escuelas por el orden de 150.000 personas. Eso significa que para cobijarlos a todos, en un promedio de establecimiento educacional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500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estudiantes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escuela,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tendríamos que estar construyendo 300 establecimientos educacionales".</w:t>
      </w:r>
    </w:p>
    <w:p w:rsidR="00A311EE" w:rsidRDefault="00A311EE">
      <w:pPr>
        <w:pStyle w:val="Textoindependiente"/>
        <w:rPr>
          <w:i/>
        </w:rPr>
      </w:pPr>
    </w:p>
    <w:p w:rsidR="00A311EE" w:rsidRDefault="00A311EE">
      <w:pPr>
        <w:pStyle w:val="Textoindependiente"/>
        <w:spacing w:before="39"/>
        <w:rPr>
          <w:i/>
        </w:rPr>
      </w:pPr>
    </w:p>
    <w:p w:rsidR="00A311EE" w:rsidRDefault="00000000">
      <w:pPr>
        <w:pStyle w:val="Prrafodelista"/>
        <w:numPr>
          <w:ilvl w:val="0"/>
          <w:numId w:val="1"/>
        </w:numPr>
        <w:tabs>
          <w:tab w:val="left" w:pos="1558"/>
        </w:tabs>
        <w:spacing w:line="357" w:lineRule="auto"/>
        <w:rPr>
          <w:sz w:val="24"/>
        </w:rPr>
      </w:pPr>
      <w:r>
        <w:rPr>
          <w:sz w:val="24"/>
        </w:rPr>
        <w:t>Lo</w:t>
      </w:r>
      <w:r>
        <w:rPr>
          <w:spacing w:val="-18"/>
          <w:sz w:val="24"/>
        </w:rPr>
        <w:t xml:space="preserve"> </w:t>
      </w:r>
      <w:r>
        <w:rPr>
          <w:sz w:val="24"/>
        </w:rPr>
        <w:t>anterior</w:t>
      </w:r>
      <w:r>
        <w:rPr>
          <w:spacing w:val="-18"/>
          <w:sz w:val="24"/>
        </w:rPr>
        <w:t xml:space="preserve"> </w:t>
      </w:r>
      <w:r>
        <w:rPr>
          <w:sz w:val="24"/>
        </w:rPr>
        <w:t>deja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vista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profundidad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sz w:val="24"/>
        </w:rPr>
        <w:t>problema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necesidad de adoptar medidas que, de manera prudente y evitando discriminaciones arbitrarias o arraigadas en motivaciones irracionales, procure un acceso preferente para los ciudadanos chilenos y extranjeros residentes con arraigo en nuestro país.</w:t>
      </w:r>
    </w:p>
    <w:p w:rsidR="00A311EE" w:rsidRDefault="00A311EE">
      <w:pPr>
        <w:pStyle w:val="Textoindependiente"/>
      </w:pPr>
    </w:p>
    <w:p w:rsidR="00A311EE" w:rsidRDefault="00A311EE">
      <w:pPr>
        <w:pStyle w:val="Textoindependiente"/>
      </w:pPr>
    </w:p>
    <w:p w:rsidR="00A311EE" w:rsidRDefault="00A311EE">
      <w:pPr>
        <w:pStyle w:val="Textoindependiente"/>
      </w:pPr>
    </w:p>
    <w:p w:rsidR="00A311EE" w:rsidRDefault="00A311EE">
      <w:pPr>
        <w:pStyle w:val="Textoindependiente"/>
      </w:pPr>
    </w:p>
    <w:p w:rsidR="00A311EE" w:rsidRDefault="00A311EE">
      <w:pPr>
        <w:pStyle w:val="Textoindependiente"/>
      </w:pPr>
    </w:p>
    <w:p w:rsidR="00A311EE" w:rsidRDefault="00A311EE">
      <w:pPr>
        <w:pStyle w:val="Textoindependiente"/>
      </w:pPr>
    </w:p>
    <w:p w:rsidR="00A311EE" w:rsidRDefault="00A311EE">
      <w:pPr>
        <w:pStyle w:val="Textoindependiente"/>
        <w:spacing w:before="49"/>
      </w:pPr>
    </w:p>
    <w:p w:rsidR="00A311EE" w:rsidRDefault="00000000">
      <w:pPr>
        <w:pStyle w:val="Textoindependiente"/>
        <w:spacing w:line="276" w:lineRule="auto"/>
        <w:ind w:left="118" w:firstLine="707"/>
      </w:pPr>
      <w:r>
        <w:t>Por</w:t>
      </w:r>
      <w:r>
        <w:rPr>
          <w:spacing w:val="80"/>
        </w:rPr>
        <w:t xml:space="preserve"> </w:t>
      </w:r>
      <w:r>
        <w:t>lo</w:t>
      </w:r>
      <w:r>
        <w:rPr>
          <w:spacing w:val="80"/>
        </w:rPr>
        <w:t xml:space="preserve"> </w:t>
      </w:r>
      <w:r>
        <w:t>dicho</w:t>
      </w:r>
      <w:r>
        <w:rPr>
          <w:spacing w:val="80"/>
        </w:rPr>
        <w:t xml:space="preserve"> </w:t>
      </w:r>
      <w:r>
        <w:t>precedentemente,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diputados</w:t>
      </w:r>
      <w:r>
        <w:rPr>
          <w:spacing w:val="80"/>
        </w:rPr>
        <w:t xml:space="preserve"> </w:t>
      </w:r>
      <w:r>
        <w:t>suscritos</w:t>
      </w:r>
      <w:r>
        <w:rPr>
          <w:spacing w:val="80"/>
        </w:rPr>
        <w:t xml:space="preserve"> </w:t>
      </w:r>
      <w:r>
        <w:t>venimos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proponer el siguiente:</w:t>
      </w:r>
    </w:p>
    <w:p w:rsidR="00A311EE" w:rsidRDefault="00A311EE">
      <w:pPr>
        <w:spacing w:line="276" w:lineRule="auto"/>
        <w:sectPr w:rsidR="00A311EE" w:rsidSect="0031112C">
          <w:pgSz w:w="12240" w:h="15840"/>
          <w:pgMar w:top="1460" w:right="1300" w:bottom="280" w:left="1300" w:header="720" w:footer="720" w:gutter="0"/>
          <w:cols w:space="720"/>
        </w:sectPr>
      </w:pPr>
    </w:p>
    <w:p w:rsidR="00A311EE" w:rsidRDefault="00000000">
      <w:pPr>
        <w:pStyle w:val="Textoindependiente"/>
        <w:tabs>
          <w:tab w:val="left" w:pos="2479"/>
          <w:tab w:val="left" w:pos="3410"/>
        </w:tabs>
        <w:spacing w:before="71"/>
        <w:ind w:left="2"/>
        <w:jc w:val="center"/>
        <w:rPr>
          <w:b/>
        </w:rPr>
      </w:pPr>
      <w:r>
        <w:rPr>
          <w:b/>
        </w:rPr>
        <w:t>P R O Y E</w:t>
      </w:r>
      <w:r>
        <w:rPr>
          <w:b/>
          <w:spacing w:val="-1"/>
        </w:rPr>
        <w:t xml:space="preserve"> </w:t>
      </w:r>
      <w:r>
        <w:rPr>
          <w:b/>
        </w:rPr>
        <w:t xml:space="preserve">C T </w:t>
      </w:r>
      <w:r>
        <w:rPr>
          <w:b/>
          <w:spacing w:val="-10"/>
        </w:rPr>
        <w:t>O</w:t>
      </w:r>
      <w:r>
        <w:rPr>
          <w:b/>
        </w:rPr>
        <w:tab/>
        <w:t xml:space="preserve">D </w:t>
      </w:r>
      <w:r>
        <w:rPr>
          <w:b/>
          <w:spacing w:val="-10"/>
        </w:rPr>
        <w:t>E</w:t>
      </w:r>
      <w:r>
        <w:rPr>
          <w:b/>
        </w:rPr>
        <w:tab/>
        <w:t>L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Y</w:t>
      </w:r>
    </w:p>
    <w:p w:rsidR="00A311EE" w:rsidRDefault="00A311EE">
      <w:pPr>
        <w:pStyle w:val="Textoindependiente"/>
        <w:rPr>
          <w:b/>
        </w:rPr>
      </w:pPr>
    </w:p>
    <w:p w:rsidR="00A311EE" w:rsidRDefault="00A311EE">
      <w:pPr>
        <w:pStyle w:val="Textoindependiente"/>
        <w:spacing w:before="126"/>
        <w:rPr>
          <w:b/>
        </w:rPr>
      </w:pPr>
    </w:p>
    <w:p w:rsidR="00A311EE" w:rsidRDefault="00000000">
      <w:pPr>
        <w:pStyle w:val="Textoindependiente"/>
        <w:spacing w:line="360" w:lineRule="auto"/>
        <w:ind w:left="118" w:right="111"/>
        <w:jc w:val="both"/>
      </w:pPr>
      <w:r>
        <w:rPr>
          <w:b/>
        </w:rPr>
        <w:t xml:space="preserve">Artículo único.- </w:t>
      </w:r>
      <w:r>
        <w:t xml:space="preserve">Sustitúyase en el inciso primero del artículo 17 de la ley </w:t>
      </w:r>
      <w:hyperlink r:id="rId6">
        <w:r>
          <w:t>Nº</w:t>
        </w:r>
      </w:hyperlink>
      <w:r>
        <w:t xml:space="preserve"> </w:t>
      </w:r>
      <w:hyperlink r:id="rId7">
        <w:r>
          <w:t>21.325</w:t>
        </w:r>
      </w:hyperlink>
      <w:r>
        <w:t>,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Migración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Extranjería,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expresión</w:t>
      </w:r>
      <w:r>
        <w:rPr>
          <w:spacing w:val="-18"/>
        </w:rPr>
        <w:t xml:space="preserve"> </w:t>
      </w:r>
      <w:r>
        <w:t>“Tal</w:t>
      </w:r>
      <w:r>
        <w:rPr>
          <w:spacing w:val="-18"/>
        </w:rPr>
        <w:t xml:space="preserve"> </w:t>
      </w:r>
      <w:r>
        <w:t>derecho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podrá</w:t>
      </w:r>
      <w:r>
        <w:rPr>
          <w:spacing w:val="-18"/>
        </w:rPr>
        <w:t xml:space="preserve"> </w:t>
      </w:r>
      <w:r>
        <w:t>denegarse ni limitarse a causa de su condición migratoria irregular o la de cualquiera de los padres, o la de quien tenga el cuidado del niño, niña o adolescente” por “Sin perjuicio de lo dispuesto precedentemente, los estudiantes cuyos padres o quienes</w:t>
      </w:r>
      <w:r>
        <w:rPr>
          <w:spacing w:val="-8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cuidado,</w:t>
      </w:r>
      <w:r>
        <w:rPr>
          <w:spacing w:val="-8"/>
        </w:rPr>
        <w:t xml:space="preserve"> </w:t>
      </w:r>
      <w:r>
        <w:t>fueren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nacionalidad</w:t>
      </w:r>
      <w:r>
        <w:rPr>
          <w:spacing w:val="-8"/>
        </w:rPr>
        <w:t xml:space="preserve"> </w:t>
      </w:r>
      <w:r>
        <w:t>chilena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extranjeros con</w:t>
      </w:r>
      <w:r>
        <w:rPr>
          <w:spacing w:val="-8"/>
        </w:rPr>
        <w:t xml:space="preserve"> </w:t>
      </w:r>
      <w:r>
        <w:t>residencia</w:t>
      </w:r>
      <w:r>
        <w:rPr>
          <w:spacing w:val="-8"/>
        </w:rPr>
        <w:t xml:space="preserve"> </w:t>
      </w:r>
      <w:r>
        <w:t>temporal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definitiva,</w:t>
      </w:r>
      <w:r>
        <w:rPr>
          <w:spacing w:val="-8"/>
        </w:rPr>
        <w:t xml:space="preserve"> </w:t>
      </w:r>
      <w:r>
        <w:t>gozarán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preferencia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matrícula</w:t>
      </w:r>
      <w:r>
        <w:rPr>
          <w:spacing w:val="-8"/>
        </w:rPr>
        <w:t xml:space="preserve"> </w:t>
      </w:r>
      <w:r>
        <w:t>para el ingreso a establecimientos educacionales</w:t>
      </w:r>
      <w:r>
        <w:rPr>
          <w:spacing w:val="-2"/>
        </w:rPr>
        <w:t xml:space="preserve"> </w:t>
      </w:r>
      <w:r>
        <w:t xml:space="preserve">reconocidos oficialmente por el </w:t>
      </w:r>
      <w:r>
        <w:rPr>
          <w:spacing w:val="-2"/>
        </w:rPr>
        <w:t>Estado.</w:t>
      </w:r>
    </w:p>
    <w:sectPr w:rsidR="00A311EE">
      <w:pgSz w:w="12240" w:h="15840"/>
      <w:pgMar w:top="14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2347E"/>
    <w:multiLevelType w:val="hybridMultilevel"/>
    <w:tmpl w:val="2C1A41AE"/>
    <w:lvl w:ilvl="0" w:tplc="0CE4D608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A1CF374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2" w:tplc="5EF2C106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3" w:tplc="B600C568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4" w:tplc="A1E8AD14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5" w:tplc="89FA9D5E">
      <w:numFmt w:val="bullet"/>
      <w:lvlText w:val="•"/>
      <w:lvlJc w:val="left"/>
      <w:pPr>
        <w:ind w:left="5600" w:hanging="360"/>
      </w:pPr>
      <w:rPr>
        <w:rFonts w:hint="default"/>
        <w:lang w:val="es-ES" w:eastAsia="en-US" w:bidi="ar-SA"/>
      </w:rPr>
    </w:lvl>
    <w:lvl w:ilvl="6" w:tplc="A6C41E50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7" w:tplc="22C68538">
      <w:numFmt w:val="bullet"/>
      <w:lvlText w:val="•"/>
      <w:lvlJc w:val="left"/>
      <w:pPr>
        <w:ind w:left="7216" w:hanging="360"/>
      </w:pPr>
      <w:rPr>
        <w:rFonts w:hint="default"/>
        <w:lang w:val="es-ES" w:eastAsia="en-US" w:bidi="ar-SA"/>
      </w:rPr>
    </w:lvl>
    <w:lvl w:ilvl="8" w:tplc="1ACC4786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num w:numId="1" w16cid:durableId="23718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EE"/>
    <w:rsid w:val="0031112C"/>
    <w:rsid w:val="005967C6"/>
    <w:rsid w:val="00A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191EC-B3E4-4137-8222-C769BFA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86" w:right="283" w:hanging="2"/>
      <w:jc w:val="center"/>
    </w:pPr>
    <w:rPr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1558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cn.cl/leychile/navegar?idNorma=1158549&amp;idVersion=2023-09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n.cl/leychile/navegar?idNorma=1158549&amp;idVersion=2023-09-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Mera Schmidt</dc:creator>
  <cp:lastModifiedBy>Guillermo Diaz Vallejos</cp:lastModifiedBy>
  <cp:revision>1</cp:revision>
  <dcterms:created xsi:type="dcterms:W3CDTF">2024-03-18T18:56:00Z</dcterms:created>
  <dcterms:modified xsi:type="dcterms:W3CDTF">2024-04-02T13:52:00Z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