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819" w:rsidRDefault="00C10819">
      <w:pPr>
        <w:pStyle w:val="Textoindependiente"/>
        <w:spacing w:before="5"/>
        <w:rPr>
          <w:rFonts w:ascii="Times New Roman"/>
          <w:sz w:val="22"/>
        </w:rPr>
      </w:pPr>
      <w:bookmarkStart w:id="0" w:name="_GoBack"/>
      <w:bookmarkEnd w:id="0"/>
    </w:p>
    <w:p w:rsidR="00C10819" w:rsidRDefault="00220FE7">
      <w:pPr>
        <w:pStyle w:val="Puesto"/>
        <w:spacing w:line="259" w:lineRule="auto"/>
      </w:pPr>
      <w:r>
        <w:t>PROYECTO DE LEY QUE AMPLIA A 5 AÑOS EL PLAZO PARA LA INSCRIPCIÓN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APROVECHAMIENTOS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AGUA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CATASTRO PUBLICO DE AGUAS.</w:t>
      </w:r>
    </w:p>
    <w:p w:rsidR="00C10819" w:rsidRDefault="00220FE7">
      <w:pPr>
        <w:spacing w:before="158" w:line="276" w:lineRule="auto"/>
        <w:ind w:left="3659" w:right="2268" w:hanging="574"/>
        <w:rPr>
          <w:sz w:val="20"/>
        </w:rPr>
      </w:pPr>
      <w:r>
        <w:rPr>
          <w:sz w:val="20"/>
        </w:rPr>
        <w:t>H.</w:t>
      </w:r>
      <w:r>
        <w:rPr>
          <w:spacing w:val="-11"/>
          <w:sz w:val="20"/>
        </w:rPr>
        <w:t xml:space="preserve"> </w:t>
      </w:r>
      <w:r>
        <w:rPr>
          <w:sz w:val="20"/>
        </w:rPr>
        <w:t>Diputado</w:t>
      </w:r>
      <w:r>
        <w:rPr>
          <w:spacing w:val="-11"/>
          <w:sz w:val="20"/>
        </w:rPr>
        <w:t xml:space="preserve"> </w:t>
      </w:r>
      <w:r>
        <w:rPr>
          <w:sz w:val="20"/>
        </w:rPr>
        <w:t>Víctor</w:t>
      </w:r>
      <w:r>
        <w:rPr>
          <w:spacing w:val="-8"/>
          <w:sz w:val="20"/>
        </w:rPr>
        <w:t xml:space="preserve"> </w:t>
      </w:r>
      <w:r>
        <w:rPr>
          <w:sz w:val="20"/>
        </w:rPr>
        <w:t>Pino</w:t>
      </w:r>
      <w:r>
        <w:rPr>
          <w:spacing w:val="-12"/>
          <w:sz w:val="20"/>
        </w:rPr>
        <w:t xml:space="preserve"> </w:t>
      </w:r>
      <w:r>
        <w:rPr>
          <w:sz w:val="20"/>
        </w:rPr>
        <w:t>Fuentes Diciembre del 2022</w:t>
      </w:r>
    </w:p>
    <w:p w:rsidR="00C10819" w:rsidRDefault="00C10819">
      <w:pPr>
        <w:pStyle w:val="Textoindependiente"/>
        <w:spacing w:before="9"/>
        <w:rPr>
          <w:sz w:val="20"/>
        </w:rPr>
      </w:pPr>
    </w:p>
    <w:p w:rsidR="00C10819" w:rsidRDefault="00220FE7">
      <w:pPr>
        <w:pStyle w:val="Ttulo1"/>
        <w:numPr>
          <w:ilvl w:val="0"/>
          <w:numId w:val="1"/>
        </w:numPr>
        <w:tabs>
          <w:tab w:val="left" w:pos="1181"/>
          <w:tab w:val="left" w:pos="1182"/>
        </w:tabs>
        <w:spacing w:before="1"/>
        <w:ind w:hanging="721"/>
      </w:pPr>
      <w:r>
        <w:t>IDEA</w:t>
      </w:r>
      <w:r>
        <w:rPr>
          <w:spacing w:val="-2"/>
        </w:rPr>
        <w:t xml:space="preserve"> MATRIZ</w:t>
      </w:r>
    </w:p>
    <w:p w:rsidR="00C10819" w:rsidRDefault="00220FE7">
      <w:pPr>
        <w:pStyle w:val="Textoindependiente"/>
        <w:spacing w:before="120" w:line="259" w:lineRule="auto"/>
        <w:ind w:left="102" w:right="115" w:firstLine="707"/>
        <w:jc w:val="both"/>
      </w:pPr>
      <w:r>
        <w:t>La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moción</w:t>
      </w:r>
      <w:r>
        <w:rPr>
          <w:spacing w:val="-7"/>
        </w:rPr>
        <w:t xml:space="preserve"> </w:t>
      </w:r>
      <w:r>
        <w:t>busca</w:t>
      </w:r>
      <w:r>
        <w:rPr>
          <w:spacing w:val="-3"/>
        </w:rPr>
        <w:t xml:space="preserve"> </w:t>
      </w:r>
      <w:r>
        <w:t>modificar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articulo</w:t>
      </w:r>
      <w:r>
        <w:rPr>
          <w:spacing w:val="-6"/>
        </w:rPr>
        <w:t xml:space="preserve"> </w:t>
      </w:r>
      <w:r>
        <w:t>segundo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disposiciones transitorias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N°21.435,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dice</w:t>
      </w:r>
      <w:r>
        <w:rPr>
          <w:spacing w:val="-6"/>
        </w:rPr>
        <w:t xml:space="preserve"> </w:t>
      </w:r>
      <w:r>
        <w:t>relación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plazos</w:t>
      </w:r>
      <w:r>
        <w:rPr>
          <w:spacing w:val="-7"/>
        </w:rPr>
        <w:t xml:space="preserve"> </w:t>
      </w:r>
      <w:r>
        <w:t>disponibles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 reinscripción de los</w:t>
      </w:r>
      <w:r>
        <w:rPr>
          <w:spacing w:val="-1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aprovechamientos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agua</w:t>
      </w:r>
      <w:r>
        <w:rPr>
          <w:spacing w:val="-2"/>
        </w:rPr>
        <w:t xml:space="preserve"> </w:t>
      </w:r>
      <w:r>
        <w:t>en el</w:t>
      </w:r>
      <w:r>
        <w:rPr>
          <w:spacing w:val="-4"/>
        </w:rPr>
        <w:t xml:space="preserve"> </w:t>
      </w:r>
      <w:r>
        <w:t>Catastro</w:t>
      </w:r>
      <w:r>
        <w:rPr>
          <w:spacing w:val="-2"/>
        </w:rPr>
        <w:t xml:space="preserve"> </w:t>
      </w:r>
      <w:r>
        <w:t>Publico de Aguas; con la finalidad de ejecutar el derecho de igualdad ante la ley; con la finalidad de establecer cinco años</w:t>
      </w:r>
      <w:r>
        <w:rPr>
          <w:spacing w:val="-1"/>
        </w:rPr>
        <w:t xml:space="preserve"> </w:t>
      </w:r>
      <w:r>
        <w:t>de plazo en general para la inscripción en dicho Catastro Publico de Aguas.</w:t>
      </w:r>
    </w:p>
    <w:p w:rsidR="00C10819" w:rsidRDefault="00C10819">
      <w:pPr>
        <w:pStyle w:val="Textoindependiente"/>
        <w:rPr>
          <w:sz w:val="26"/>
        </w:rPr>
      </w:pPr>
    </w:p>
    <w:p w:rsidR="00C10819" w:rsidRDefault="00C10819">
      <w:pPr>
        <w:pStyle w:val="Textoindependiente"/>
        <w:spacing w:before="6"/>
        <w:rPr>
          <w:sz w:val="34"/>
        </w:rPr>
      </w:pPr>
    </w:p>
    <w:p w:rsidR="00C10819" w:rsidRDefault="00220FE7">
      <w:pPr>
        <w:pStyle w:val="Ttulo1"/>
        <w:numPr>
          <w:ilvl w:val="0"/>
          <w:numId w:val="1"/>
        </w:numPr>
        <w:tabs>
          <w:tab w:val="left" w:pos="1181"/>
          <w:tab w:val="left" w:pos="1182"/>
        </w:tabs>
        <w:ind w:hanging="721"/>
      </w:pPr>
      <w:r>
        <w:rPr>
          <w:spacing w:val="-2"/>
        </w:rPr>
        <w:t>FUNDAMENTOS</w:t>
      </w:r>
    </w:p>
    <w:p w:rsidR="00C10819" w:rsidRDefault="00220FE7">
      <w:pPr>
        <w:spacing w:before="122" w:line="259" w:lineRule="auto"/>
        <w:ind w:left="102" w:right="120" w:firstLine="719"/>
        <w:jc w:val="both"/>
        <w:rPr>
          <w:i/>
          <w:sz w:val="24"/>
        </w:rPr>
      </w:pP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inciso</w:t>
      </w:r>
      <w:r>
        <w:rPr>
          <w:spacing w:val="-9"/>
          <w:sz w:val="24"/>
        </w:rPr>
        <w:t xml:space="preserve"> </w:t>
      </w:r>
      <w:r>
        <w:rPr>
          <w:sz w:val="24"/>
        </w:rPr>
        <w:t>2°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articulo</w:t>
      </w:r>
      <w:r>
        <w:rPr>
          <w:spacing w:val="-7"/>
          <w:sz w:val="24"/>
        </w:rPr>
        <w:t xml:space="preserve"> </w:t>
      </w:r>
      <w:r>
        <w:rPr>
          <w:sz w:val="24"/>
        </w:rPr>
        <w:t>19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z w:val="24"/>
        </w:rPr>
        <w:t>stitución</w:t>
      </w:r>
      <w:r>
        <w:rPr>
          <w:spacing w:val="-7"/>
          <w:sz w:val="24"/>
        </w:rPr>
        <w:t xml:space="preserve"> </w:t>
      </w:r>
      <w:r>
        <w:rPr>
          <w:sz w:val="24"/>
        </w:rPr>
        <w:t>política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Chile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establece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igualdad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ley.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Chile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hay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persona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grupo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privilegiados.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Chile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no hay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esclavos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pise su territorio queda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libre. Hombres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mujeres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iguales ante la ley. Ni la ley ni autoridad alguna podrán establecer diferencias arbitrarias.</w:t>
      </w:r>
    </w:p>
    <w:p w:rsidR="00C10819" w:rsidRDefault="00220FE7">
      <w:pPr>
        <w:spacing w:before="160" w:line="259" w:lineRule="auto"/>
        <w:ind w:left="102" w:right="114" w:firstLine="719"/>
        <w:jc w:val="both"/>
        <w:rPr>
          <w:sz w:val="24"/>
        </w:rPr>
      </w:pPr>
      <w:r>
        <w:rPr>
          <w:sz w:val="24"/>
        </w:rPr>
        <w:t>El artículo 2° de las disposiciones transitorias de la Ley 21.435 de 2022, la cual Reforma el Código de Aguas, en su inciso primero, establece un plazo de 18 mese</w:t>
      </w:r>
      <w:r>
        <w:rPr>
          <w:sz w:val="24"/>
        </w:rPr>
        <w:t>s para la regularización de los derechos de aprovechamientos de agua en el registro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propiedad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aguas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Conservador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Bienes</w:t>
      </w:r>
      <w:r>
        <w:rPr>
          <w:spacing w:val="-3"/>
          <w:sz w:val="24"/>
        </w:rPr>
        <w:t xml:space="preserve"> </w:t>
      </w:r>
      <w:r>
        <w:rPr>
          <w:sz w:val="24"/>
        </w:rPr>
        <w:t>Raíces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 Catastro Publico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Aguas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Dirección</w:t>
      </w:r>
      <w:r>
        <w:rPr>
          <w:spacing w:val="-17"/>
          <w:sz w:val="24"/>
        </w:rPr>
        <w:t xml:space="preserve"> </w:t>
      </w:r>
      <w:r>
        <w:rPr>
          <w:sz w:val="24"/>
        </w:rPr>
        <w:t>General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Aguas</w:t>
      </w:r>
      <w:r>
        <w:rPr>
          <w:spacing w:val="-17"/>
          <w:sz w:val="24"/>
        </w:rPr>
        <w:t xml:space="preserve"> </w:t>
      </w:r>
      <w:r>
        <w:rPr>
          <w:sz w:val="24"/>
        </w:rPr>
        <w:t>(DGA);</w:t>
      </w:r>
      <w:r>
        <w:rPr>
          <w:spacing w:val="-16"/>
          <w:sz w:val="24"/>
        </w:rPr>
        <w:t xml:space="preserve"> </w:t>
      </w:r>
      <w:r>
        <w:rPr>
          <w:sz w:val="24"/>
        </w:rPr>
        <w:t>sin</w:t>
      </w:r>
      <w:r>
        <w:rPr>
          <w:spacing w:val="-17"/>
          <w:sz w:val="24"/>
        </w:rPr>
        <w:t xml:space="preserve"> </w:t>
      </w:r>
      <w:r>
        <w:rPr>
          <w:sz w:val="24"/>
        </w:rPr>
        <w:t>embargo</w:t>
      </w:r>
      <w:r>
        <w:rPr>
          <w:spacing w:val="-17"/>
          <w:sz w:val="24"/>
        </w:rPr>
        <w:t xml:space="preserve"> </w:t>
      </w:r>
      <w:r>
        <w:rPr>
          <w:sz w:val="24"/>
        </w:rPr>
        <w:t>en</w:t>
      </w:r>
      <w:r>
        <w:rPr>
          <w:spacing w:val="-16"/>
          <w:sz w:val="24"/>
        </w:rPr>
        <w:t xml:space="preserve"> </w:t>
      </w:r>
      <w:r>
        <w:rPr>
          <w:sz w:val="24"/>
        </w:rPr>
        <w:t>su</w:t>
      </w:r>
      <w:r>
        <w:rPr>
          <w:spacing w:val="-17"/>
          <w:sz w:val="24"/>
        </w:rPr>
        <w:t xml:space="preserve"> </w:t>
      </w:r>
      <w:r>
        <w:rPr>
          <w:sz w:val="24"/>
        </w:rPr>
        <w:t>inciso quinto</w:t>
      </w:r>
      <w:r>
        <w:rPr>
          <w:spacing w:val="-4"/>
          <w:sz w:val="24"/>
        </w:rPr>
        <w:t xml:space="preserve"> </w:t>
      </w:r>
      <w:r>
        <w:rPr>
          <w:sz w:val="24"/>
        </w:rPr>
        <w:t>establece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plazo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contempla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inciso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primero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será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cinco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años para aquellos derechos de aprovechamiento no inscritos cuyos titulares sean pequeños productores agrícolas de conformidad con lo dispuesto en la ley N° 18.910.</w:t>
      </w:r>
      <w:r>
        <w:rPr>
          <w:sz w:val="24"/>
        </w:rPr>
        <w:t>; dicha diferenciación que esta</w:t>
      </w:r>
      <w:r>
        <w:rPr>
          <w:sz w:val="24"/>
        </w:rPr>
        <w:t xml:space="preserve">blece el artículo 2°, de la referida ley, entre usuarios Indap y no usuarios de dicho servicio establece una discriminación </w:t>
      </w:r>
      <w:r>
        <w:rPr>
          <w:spacing w:val="-2"/>
          <w:sz w:val="24"/>
        </w:rPr>
        <w:t>arbitraria.</w:t>
      </w:r>
    </w:p>
    <w:p w:rsidR="00C10819" w:rsidRDefault="00220FE7">
      <w:pPr>
        <w:pStyle w:val="Textoindependiente"/>
        <w:spacing w:before="156" w:line="259" w:lineRule="auto"/>
        <w:ind w:left="102" w:right="117" w:firstLine="719"/>
        <w:jc w:val="both"/>
      </w:pPr>
      <w:r>
        <w:t>Es importante igualar la disposición de los plazos establecidos para la regularización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derechos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aprovechamientos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aguas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comunidad,</w:t>
      </w:r>
      <w:r>
        <w:rPr>
          <w:spacing w:val="-10"/>
        </w:rPr>
        <w:t xml:space="preserve"> </w:t>
      </w:r>
      <w:r>
        <w:t>en igualdad de condiciones.</w:t>
      </w:r>
    </w:p>
    <w:p w:rsidR="00C10819" w:rsidRDefault="00C10819">
      <w:pPr>
        <w:spacing w:line="259" w:lineRule="auto"/>
        <w:jc w:val="both"/>
        <w:sectPr w:rsidR="00C10819">
          <w:headerReference w:type="default" r:id="rId7"/>
          <w:footerReference w:type="default" r:id="rId8"/>
          <w:type w:val="continuous"/>
          <w:pgSz w:w="12240" w:h="15840"/>
          <w:pgMar w:top="2400" w:right="1580" w:bottom="960" w:left="1600" w:header="787" w:footer="773" w:gutter="0"/>
          <w:pgNumType w:start="1"/>
          <w:cols w:space="720"/>
        </w:sectPr>
      </w:pPr>
    </w:p>
    <w:p w:rsidR="00C10819" w:rsidRDefault="00C10819">
      <w:pPr>
        <w:pStyle w:val="Textoindependiente"/>
        <w:spacing w:before="3"/>
        <w:rPr>
          <w:sz w:val="22"/>
        </w:rPr>
      </w:pPr>
    </w:p>
    <w:p w:rsidR="00C10819" w:rsidRDefault="00220FE7">
      <w:pPr>
        <w:pStyle w:val="Ttulo1"/>
        <w:numPr>
          <w:ilvl w:val="0"/>
          <w:numId w:val="1"/>
        </w:numPr>
        <w:tabs>
          <w:tab w:val="left" w:pos="1181"/>
          <w:tab w:val="left" w:pos="1182"/>
        </w:tabs>
        <w:spacing w:before="92"/>
        <w:ind w:hanging="721"/>
      </w:pPr>
      <w:r>
        <w:rPr>
          <w:spacing w:val="-2"/>
        </w:rPr>
        <w:t>CONCLUSIÓN</w:t>
      </w:r>
    </w:p>
    <w:p w:rsidR="00C10819" w:rsidRDefault="00220FE7">
      <w:pPr>
        <w:pStyle w:val="Textoindependiente"/>
        <w:spacing w:before="120" w:line="259" w:lineRule="auto"/>
        <w:ind w:left="102" w:firstLine="707"/>
      </w:pPr>
      <w:r>
        <w:t>Por tanto y en virtud de lo expuesto, venimos a presentar a este Congreso Nacional el siguiente Proyecto de Ley.</w:t>
      </w:r>
    </w:p>
    <w:p w:rsidR="00C10819" w:rsidRDefault="00C10819">
      <w:pPr>
        <w:pStyle w:val="Textoindependiente"/>
        <w:rPr>
          <w:sz w:val="26"/>
        </w:rPr>
      </w:pPr>
    </w:p>
    <w:p w:rsidR="00C10819" w:rsidRDefault="00C10819">
      <w:pPr>
        <w:pStyle w:val="Textoindependiente"/>
        <w:spacing w:before="8"/>
        <w:rPr>
          <w:sz w:val="34"/>
        </w:rPr>
      </w:pPr>
    </w:p>
    <w:p w:rsidR="00C10819" w:rsidRDefault="00220FE7">
      <w:pPr>
        <w:pStyle w:val="Ttulo1"/>
        <w:numPr>
          <w:ilvl w:val="0"/>
          <w:numId w:val="1"/>
        </w:numPr>
        <w:tabs>
          <w:tab w:val="left" w:pos="1181"/>
          <w:tab w:val="left" w:pos="1182"/>
        </w:tabs>
        <w:ind w:hanging="721"/>
      </w:pPr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5"/>
        </w:rPr>
        <w:t>LEY</w:t>
      </w:r>
    </w:p>
    <w:p w:rsidR="00C10819" w:rsidRDefault="00C10819">
      <w:pPr>
        <w:pStyle w:val="Textoindependiente"/>
        <w:rPr>
          <w:b/>
          <w:sz w:val="38"/>
        </w:rPr>
      </w:pPr>
    </w:p>
    <w:p w:rsidR="00C10819" w:rsidRDefault="00220FE7">
      <w:pPr>
        <w:pStyle w:val="Textoindependiente"/>
        <w:spacing w:line="360" w:lineRule="auto"/>
        <w:ind w:left="102" w:right="113"/>
        <w:jc w:val="both"/>
      </w:pPr>
      <w:r>
        <w:rPr>
          <w:b/>
        </w:rPr>
        <w:t xml:space="preserve">ARTÍCULO ÚNICO: </w:t>
      </w:r>
      <w:r>
        <w:t>Modifíquese en el artículo segundo de las</w:t>
      </w:r>
      <w:r>
        <w:t xml:space="preserve"> Disposiciones transitorias de la Ley Nº 21.435 de 2022, que Reforma el Código de Aguas, en su inciso primero y quinto, en los siguientes términos:</w:t>
      </w:r>
    </w:p>
    <w:p w:rsidR="00C10819" w:rsidRDefault="00C10819">
      <w:pPr>
        <w:pStyle w:val="Textoindependiente"/>
        <w:rPr>
          <w:sz w:val="36"/>
        </w:rPr>
      </w:pPr>
    </w:p>
    <w:p w:rsidR="00C10819" w:rsidRDefault="00220FE7">
      <w:pPr>
        <w:pStyle w:val="Textoindependiente"/>
        <w:spacing w:line="360" w:lineRule="auto"/>
        <w:ind w:left="102" w:right="116"/>
        <w:jc w:val="both"/>
      </w:pPr>
      <w:r>
        <w:rPr>
          <w:b/>
        </w:rPr>
        <w:t>ARTICULO SEGUNDO</w:t>
      </w:r>
      <w:r>
        <w:t>. – Los derechos de aprovechamientos de aguas constituidos por acto de autoridad competente</w:t>
      </w:r>
      <w:r>
        <w:t xml:space="preserve">, y que a la fecha de publicación de esta ley no estuvieren inscritos en el Registro de Propiedad de Aguas del Conservador de Bienes Raíces correspondiente, deberán ser inscritos, a petición de sus titulares, en el referido registro, incluso cuando dichos </w:t>
      </w:r>
      <w:r>
        <w:t>titulares sean pequeños productores agrícolas de conformidad con lo dispuesto en la ley N° 18.910. Transcurrido el plazo de cinco años contado desde la publicación de esta ley,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Conservadores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Bienes</w:t>
      </w:r>
      <w:r>
        <w:rPr>
          <w:spacing w:val="-10"/>
        </w:rPr>
        <w:t xml:space="preserve"> </w:t>
      </w:r>
      <w:r>
        <w:t>Raíces</w:t>
      </w:r>
      <w:r>
        <w:rPr>
          <w:spacing w:val="-13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admitirán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trámite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inscripción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 derechos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aprovechamiento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trata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inciso,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cuales</w:t>
      </w:r>
      <w:r>
        <w:rPr>
          <w:spacing w:val="-3"/>
        </w:rPr>
        <w:t xml:space="preserve"> </w:t>
      </w:r>
      <w:r>
        <w:t>caducarán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 solo ministerio de la ley.</w:t>
      </w:r>
    </w:p>
    <w:p w:rsidR="00C10819" w:rsidRDefault="00C10819">
      <w:pPr>
        <w:pStyle w:val="Textoindependiente"/>
        <w:rPr>
          <w:sz w:val="36"/>
        </w:rPr>
      </w:pPr>
    </w:p>
    <w:p w:rsidR="00C10819" w:rsidRDefault="00220FE7">
      <w:pPr>
        <w:pStyle w:val="Textoindependiente"/>
        <w:ind w:left="102"/>
        <w:jc w:val="both"/>
      </w:pPr>
      <w:r>
        <w:t>“Deróguese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inciso</w:t>
      </w:r>
      <w:r>
        <w:rPr>
          <w:spacing w:val="-3"/>
        </w:rPr>
        <w:t xml:space="preserve"> </w:t>
      </w:r>
      <w:r>
        <w:rPr>
          <w:spacing w:val="-2"/>
        </w:rPr>
        <w:t>quinto.”</w:t>
      </w:r>
    </w:p>
    <w:sectPr w:rsidR="00C10819">
      <w:pgSz w:w="12240" w:h="15840"/>
      <w:pgMar w:top="2400" w:right="1580" w:bottom="960" w:left="1600" w:header="787" w:footer="7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FE7" w:rsidRDefault="00220FE7">
      <w:r>
        <w:separator/>
      </w:r>
    </w:p>
  </w:endnote>
  <w:endnote w:type="continuationSeparator" w:id="0">
    <w:p w:rsidR="00220FE7" w:rsidRDefault="0022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19" w:rsidRDefault="00220FE7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85.75pt;margin-top:742.35pt;width:76.15pt;height:15.45pt;z-index:-251658240;mso-position-horizontal-relative:page;mso-position-vertical-relative:page" filled="f" stroked="f">
          <v:textbox inset="0,0,0,0">
            <w:txbxContent>
              <w:p w:rsidR="00C10819" w:rsidRDefault="00220FE7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sz w:val="24"/>
                  </w:rPr>
                  <w:t xml:space="preserve">Página </w:t>
                </w:r>
                <w:r>
                  <w:rPr>
                    <w:b/>
                    <w:sz w:val="24"/>
                  </w:rP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rPr>
                    <w:b/>
                    <w:sz w:val="24"/>
                  </w:rPr>
                  <w:fldChar w:fldCharType="separate"/>
                </w:r>
                <w:r w:rsidR="00374E8C">
                  <w:rPr>
                    <w:b/>
                    <w:noProof/>
                    <w:sz w:val="24"/>
                  </w:rPr>
                  <w:t>1</w:t>
                </w:r>
                <w:r>
                  <w:rPr>
                    <w:b/>
                    <w:sz w:val="24"/>
                  </w:rPr>
                  <w:fldChar w:fldCharType="end"/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pacing w:val="-10"/>
                    <w:sz w:val="24"/>
                  </w:rPr>
                  <w:fldChar w:fldCharType="begin"/>
                </w:r>
                <w:r>
                  <w:rPr>
                    <w:b/>
                    <w:spacing w:val="-10"/>
                    <w:sz w:val="24"/>
                  </w:rPr>
                  <w:instrText xml:space="preserve"> NUMPAGES </w:instrText>
                </w:r>
                <w:r>
                  <w:rPr>
                    <w:b/>
                    <w:spacing w:val="-10"/>
                    <w:sz w:val="24"/>
                  </w:rPr>
                  <w:fldChar w:fldCharType="separate"/>
                </w:r>
                <w:r w:rsidR="00374E8C">
                  <w:rPr>
                    <w:b/>
                    <w:noProof/>
                    <w:spacing w:val="-10"/>
                    <w:sz w:val="24"/>
                  </w:rPr>
                  <w:t>2</w:t>
                </w:r>
                <w:r>
                  <w:rPr>
                    <w:b/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FE7" w:rsidRDefault="00220FE7">
      <w:r>
        <w:separator/>
      </w:r>
    </w:p>
  </w:footnote>
  <w:footnote w:type="continuationSeparator" w:id="0">
    <w:p w:rsidR="00220FE7" w:rsidRDefault="00220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19" w:rsidRDefault="00220FE7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3319910</wp:posOffset>
          </wp:positionH>
          <wp:positionV relativeFrom="page">
            <wp:posOffset>499888</wp:posOffset>
          </wp:positionV>
          <wp:extent cx="1063195" cy="102435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3195" cy="1024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5534D"/>
    <w:multiLevelType w:val="hybridMultilevel"/>
    <w:tmpl w:val="D33C57A0"/>
    <w:lvl w:ilvl="0" w:tplc="24B8ED02">
      <w:start w:val="1"/>
      <w:numFmt w:val="upperRoman"/>
      <w:lvlText w:val="%1."/>
      <w:lvlJc w:val="left"/>
      <w:pPr>
        <w:ind w:left="1182" w:hanging="720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1" w:tplc="F9CE0E74">
      <w:numFmt w:val="bullet"/>
      <w:lvlText w:val="•"/>
      <w:lvlJc w:val="left"/>
      <w:pPr>
        <w:ind w:left="1968" w:hanging="720"/>
      </w:pPr>
      <w:rPr>
        <w:rFonts w:hint="default"/>
        <w:lang w:val="es-ES" w:eastAsia="en-US" w:bidi="ar-SA"/>
      </w:rPr>
    </w:lvl>
    <w:lvl w:ilvl="2" w:tplc="DEE821B6">
      <w:numFmt w:val="bullet"/>
      <w:lvlText w:val="•"/>
      <w:lvlJc w:val="left"/>
      <w:pPr>
        <w:ind w:left="2756" w:hanging="720"/>
      </w:pPr>
      <w:rPr>
        <w:rFonts w:hint="default"/>
        <w:lang w:val="es-ES" w:eastAsia="en-US" w:bidi="ar-SA"/>
      </w:rPr>
    </w:lvl>
    <w:lvl w:ilvl="3" w:tplc="9DF098F0">
      <w:numFmt w:val="bullet"/>
      <w:lvlText w:val="•"/>
      <w:lvlJc w:val="left"/>
      <w:pPr>
        <w:ind w:left="3544" w:hanging="720"/>
      </w:pPr>
      <w:rPr>
        <w:rFonts w:hint="default"/>
        <w:lang w:val="es-ES" w:eastAsia="en-US" w:bidi="ar-SA"/>
      </w:rPr>
    </w:lvl>
    <w:lvl w:ilvl="4" w:tplc="9C307BDE">
      <w:numFmt w:val="bullet"/>
      <w:lvlText w:val="•"/>
      <w:lvlJc w:val="left"/>
      <w:pPr>
        <w:ind w:left="4332" w:hanging="720"/>
      </w:pPr>
      <w:rPr>
        <w:rFonts w:hint="default"/>
        <w:lang w:val="es-ES" w:eastAsia="en-US" w:bidi="ar-SA"/>
      </w:rPr>
    </w:lvl>
    <w:lvl w:ilvl="5" w:tplc="726295B2">
      <w:numFmt w:val="bullet"/>
      <w:lvlText w:val="•"/>
      <w:lvlJc w:val="left"/>
      <w:pPr>
        <w:ind w:left="5120" w:hanging="720"/>
      </w:pPr>
      <w:rPr>
        <w:rFonts w:hint="default"/>
        <w:lang w:val="es-ES" w:eastAsia="en-US" w:bidi="ar-SA"/>
      </w:rPr>
    </w:lvl>
    <w:lvl w:ilvl="6" w:tplc="73C237F8">
      <w:numFmt w:val="bullet"/>
      <w:lvlText w:val="•"/>
      <w:lvlJc w:val="left"/>
      <w:pPr>
        <w:ind w:left="5908" w:hanging="720"/>
      </w:pPr>
      <w:rPr>
        <w:rFonts w:hint="default"/>
        <w:lang w:val="es-ES" w:eastAsia="en-US" w:bidi="ar-SA"/>
      </w:rPr>
    </w:lvl>
    <w:lvl w:ilvl="7" w:tplc="73144D48">
      <w:numFmt w:val="bullet"/>
      <w:lvlText w:val="•"/>
      <w:lvlJc w:val="left"/>
      <w:pPr>
        <w:ind w:left="6696" w:hanging="720"/>
      </w:pPr>
      <w:rPr>
        <w:rFonts w:hint="default"/>
        <w:lang w:val="es-ES" w:eastAsia="en-US" w:bidi="ar-SA"/>
      </w:rPr>
    </w:lvl>
    <w:lvl w:ilvl="8" w:tplc="4036DB0E">
      <w:numFmt w:val="bullet"/>
      <w:lvlText w:val="•"/>
      <w:lvlJc w:val="left"/>
      <w:pPr>
        <w:ind w:left="7484" w:hanging="72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10819"/>
    <w:rsid w:val="00220FE7"/>
    <w:rsid w:val="00374E8C"/>
    <w:rsid w:val="00C1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A2F02131-9526-48D3-88CE-2E8CD2E9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182" w:hanging="72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spacing w:before="91"/>
      <w:ind w:left="178" w:right="200" w:firstLine="2"/>
      <w:jc w:val="center"/>
    </w:pPr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1182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Véliz Fernández</dc:creator>
  <cp:lastModifiedBy>Leonardo Lueiza Ureta</cp:lastModifiedBy>
  <cp:revision>1</cp:revision>
  <dcterms:created xsi:type="dcterms:W3CDTF">2022-12-12T19:36:00Z</dcterms:created>
  <dcterms:modified xsi:type="dcterms:W3CDTF">2022-12-19T23:01:00Z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2022-12-12T00:00:00Z</vt:filetime>
  </property>
  <property fmtid="{D5CDD505-2E9C-101B-9397-08002B2CF9AE}" pid="5" name="Producer">
    <vt:lpwstr>Microsoft® Word para Microsoft 365</vt:lpwstr>
  </property>
</Properties>
</file>