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6257" w:rsidRDefault="00000000">
      <w:pPr>
        <w:pStyle w:val="Ttulo1"/>
        <w:spacing w:before="67" w:line="276" w:lineRule="auto"/>
        <w:ind w:left="2095" w:right="187"/>
      </w:pPr>
      <w:r>
        <w:t>PROYECTO</w:t>
      </w:r>
      <w:r>
        <w:rPr>
          <w:spacing w:val="-2"/>
        </w:rPr>
        <w:t xml:space="preserve"> </w:t>
      </w:r>
      <w:r>
        <w:t>DE</w:t>
      </w:r>
      <w:r>
        <w:rPr>
          <w:spacing w:val="-3"/>
        </w:rPr>
        <w:t xml:space="preserve"> </w:t>
      </w:r>
      <w:r>
        <w:t>LEY</w:t>
      </w:r>
      <w:r>
        <w:rPr>
          <w:spacing w:val="-5"/>
        </w:rPr>
        <w:t xml:space="preserve"> </w:t>
      </w:r>
      <w:r>
        <w:t>QUE</w:t>
      </w:r>
      <w:r>
        <w:rPr>
          <w:spacing w:val="-3"/>
        </w:rPr>
        <w:t xml:space="preserve"> </w:t>
      </w:r>
      <w:r>
        <w:t>DECLARA</w:t>
      </w:r>
      <w:r>
        <w:rPr>
          <w:spacing w:val="-3"/>
        </w:rPr>
        <w:t xml:space="preserve"> </w:t>
      </w:r>
      <w:r>
        <w:t>EL</w:t>
      </w:r>
      <w:r>
        <w:rPr>
          <w:spacing w:val="-3"/>
        </w:rPr>
        <w:t xml:space="preserve"> </w:t>
      </w:r>
      <w:r>
        <w:t>DÍA</w:t>
      </w:r>
      <w:r>
        <w:rPr>
          <w:spacing w:val="-1"/>
        </w:rPr>
        <w:t xml:space="preserve"> </w:t>
      </w:r>
      <w:r>
        <w:t>15</w:t>
      </w:r>
      <w:r>
        <w:rPr>
          <w:spacing w:val="-3"/>
        </w:rPr>
        <w:t xml:space="preserve"> </w:t>
      </w:r>
      <w:r>
        <w:t>DE</w:t>
      </w:r>
      <w:r>
        <w:rPr>
          <w:spacing w:val="-3"/>
        </w:rPr>
        <w:t xml:space="preserve"> </w:t>
      </w:r>
      <w:r>
        <w:t>MAYO</w:t>
      </w:r>
      <w:r>
        <w:rPr>
          <w:spacing w:val="-1"/>
        </w:rPr>
        <w:t xml:space="preserve"> </w:t>
      </w:r>
      <w:r>
        <w:t>DE</w:t>
      </w:r>
      <w:r>
        <w:rPr>
          <w:spacing w:val="-3"/>
        </w:rPr>
        <w:t xml:space="preserve"> </w:t>
      </w:r>
      <w:r>
        <w:t>CADA</w:t>
      </w:r>
      <w:r>
        <w:rPr>
          <w:spacing w:val="-3"/>
        </w:rPr>
        <w:t xml:space="preserve"> </w:t>
      </w:r>
      <w:r>
        <w:t>AÑO</w:t>
      </w:r>
      <w:r>
        <w:rPr>
          <w:spacing w:val="-4"/>
        </w:rPr>
        <w:t xml:space="preserve"> </w:t>
      </w:r>
      <w:r>
        <w:t>COMO</w:t>
      </w:r>
      <w:r>
        <w:rPr>
          <w:spacing w:val="-1"/>
        </w:rPr>
        <w:t xml:space="preserve"> </w:t>
      </w:r>
      <w:r>
        <w:t>EL DÍA DE CONCIENTIZACIÓN SOBRE LA UVEÍTIS.</w:t>
      </w:r>
    </w:p>
    <w:p w:rsidR="00186257" w:rsidRDefault="00186257">
      <w:pPr>
        <w:pStyle w:val="Textoindependiente"/>
        <w:rPr>
          <w:b/>
        </w:rPr>
      </w:pPr>
    </w:p>
    <w:p w:rsidR="00186257" w:rsidRDefault="00186257">
      <w:pPr>
        <w:pStyle w:val="Textoindependiente"/>
        <w:spacing w:before="76"/>
        <w:rPr>
          <w:b/>
        </w:rPr>
      </w:pPr>
    </w:p>
    <w:p w:rsidR="00186257" w:rsidRDefault="00000000">
      <w:pPr>
        <w:pStyle w:val="Prrafodelista"/>
        <w:numPr>
          <w:ilvl w:val="0"/>
          <w:numId w:val="1"/>
        </w:numPr>
        <w:tabs>
          <w:tab w:val="left" w:pos="282"/>
        </w:tabs>
        <w:ind w:left="282" w:hanging="182"/>
        <w:rPr>
          <w:b/>
        </w:rPr>
      </w:pPr>
      <w:r>
        <w:rPr>
          <w:b/>
          <w:spacing w:val="-2"/>
        </w:rPr>
        <w:t>ANTECEDENTES.</w:t>
      </w:r>
    </w:p>
    <w:p w:rsidR="00186257" w:rsidRDefault="00186257">
      <w:pPr>
        <w:pStyle w:val="Textoindependiente"/>
        <w:spacing w:before="235"/>
        <w:rPr>
          <w:b/>
        </w:rPr>
      </w:pPr>
    </w:p>
    <w:p w:rsidR="00186257" w:rsidRDefault="00000000">
      <w:pPr>
        <w:pStyle w:val="Prrafodelista"/>
        <w:numPr>
          <w:ilvl w:val="1"/>
          <w:numId w:val="1"/>
        </w:numPr>
        <w:tabs>
          <w:tab w:val="left" w:pos="2121"/>
        </w:tabs>
        <w:spacing w:line="360" w:lineRule="auto"/>
        <w:ind w:left="2121" w:right="113" w:hanging="361"/>
        <w:jc w:val="both"/>
        <w:rPr>
          <w:rFonts w:ascii="Cambria" w:hAnsi="Cambria"/>
        </w:rPr>
      </w:pPr>
      <w:r>
        <w:t>Las uveítis constituyen un grupo heterogéneo de enfermedades oftalmológicas,</w:t>
      </w:r>
      <w:r>
        <w:rPr>
          <w:spacing w:val="-10"/>
        </w:rPr>
        <w:t xml:space="preserve"> </w:t>
      </w:r>
      <w:r>
        <w:t>caracterizadas</w:t>
      </w:r>
      <w:r>
        <w:rPr>
          <w:spacing w:val="-11"/>
        </w:rPr>
        <w:t xml:space="preserve"> </w:t>
      </w:r>
      <w:r>
        <w:t>por</w:t>
      </w:r>
      <w:r>
        <w:rPr>
          <w:spacing w:val="-10"/>
        </w:rPr>
        <w:t xml:space="preserve"> </w:t>
      </w:r>
      <w:r>
        <w:t>la</w:t>
      </w:r>
      <w:r>
        <w:rPr>
          <w:spacing w:val="-11"/>
        </w:rPr>
        <w:t xml:space="preserve"> </w:t>
      </w:r>
      <w:r>
        <w:t>presencia</w:t>
      </w:r>
      <w:r>
        <w:rPr>
          <w:spacing w:val="-11"/>
        </w:rPr>
        <w:t xml:space="preserve"> </w:t>
      </w:r>
      <w:r>
        <w:t>de</w:t>
      </w:r>
      <w:r>
        <w:rPr>
          <w:spacing w:val="-11"/>
        </w:rPr>
        <w:t xml:space="preserve"> </w:t>
      </w:r>
      <w:r>
        <w:t>inflamación</w:t>
      </w:r>
      <w:r>
        <w:rPr>
          <w:spacing w:val="-11"/>
        </w:rPr>
        <w:t xml:space="preserve"> </w:t>
      </w:r>
      <w:r>
        <w:t>a</w:t>
      </w:r>
      <w:r>
        <w:rPr>
          <w:spacing w:val="-11"/>
        </w:rPr>
        <w:t xml:space="preserve"> </w:t>
      </w:r>
      <w:r>
        <w:t>nivel</w:t>
      </w:r>
      <w:r>
        <w:rPr>
          <w:spacing w:val="-12"/>
        </w:rPr>
        <w:t xml:space="preserve"> </w:t>
      </w:r>
      <w:r>
        <w:t>de los tejidos intraoculares, en particular, en la capa intermedia del ojo denominada</w:t>
      </w:r>
      <w:r>
        <w:rPr>
          <w:spacing w:val="-2"/>
        </w:rPr>
        <w:t xml:space="preserve"> </w:t>
      </w:r>
      <w:r>
        <w:t>úvea,</w:t>
      </w:r>
      <w:r>
        <w:rPr>
          <w:spacing w:val="-1"/>
        </w:rPr>
        <w:t xml:space="preserve"> </w:t>
      </w:r>
      <w:r>
        <w:t>la</w:t>
      </w:r>
      <w:r>
        <w:rPr>
          <w:spacing w:val="-2"/>
        </w:rPr>
        <w:t xml:space="preserve"> </w:t>
      </w:r>
      <w:r>
        <w:t>cual</w:t>
      </w:r>
      <w:r>
        <w:rPr>
          <w:spacing w:val="-3"/>
        </w:rPr>
        <w:t xml:space="preserve"> </w:t>
      </w:r>
      <w:r>
        <w:t>está</w:t>
      </w:r>
      <w:r>
        <w:rPr>
          <w:spacing w:val="-1"/>
        </w:rPr>
        <w:t xml:space="preserve"> </w:t>
      </w:r>
      <w:r>
        <w:t>constituida</w:t>
      </w:r>
      <w:r>
        <w:rPr>
          <w:spacing w:val="-2"/>
        </w:rPr>
        <w:t xml:space="preserve"> </w:t>
      </w:r>
      <w:r>
        <w:t>por</w:t>
      </w:r>
      <w:r>
        <w:rPr>
          <w:spacing w:val="-1"/>
        </w:rPr>
        <w:t xml:space="preserve"> </w:t>
      </w:r>
      <w:r>
        <w:t>el</w:t>
      </w:r>
      <w:r>
        <w:rPr>
          <w:spacing w:val="-3"/>
        </w:rPr>
        <w:t xml:space="preserve"> </w:t>
      </w:r>
      <w:r>
        <w:t>iris, el</w:t>
      </w:r>
      <w:r>
        <w:rPr>
          <w:spacing w:val="-3"/>
        </w:rPr>
        <w:t xml:space="preserve"> </w:t>
      </w:r>
      <w:r>
        <w:t>cuerpo</w:t>
      </w:r>
      <w:r>
        <w:rPr>
          <w:spacing w:val="-2"/>
        </w:rPr>
        <w:t xml:space="preserve"> </w:t>
      </w:r>
      <w:r>
        <w:t>ciliar</w:t>
      </w:r>
      <w:r>
        <w:rPr>
          <w:spacing w:val="-1"/>
        </w:rPr>
        <w:t xml:space="preserve"> </w:t>
      </w:r>
      <w:r>
        <w:t>y</w:t>
      </w:r>
      <w:r>
        <w:rPr>
          <w:spacing w:val="-1"/>
        </w:rPr>
        <w:t xml:space="preserve"> </w:t>
      </w:r>
      <w:r>
        <w:t>la coroides. Este</w:t>
      </w:r>
      <w:r>
        <w:rPr>
          <w:spacing w:val="-1"/>
        </w:rPr>
        <w:t xml:space="preserve"> </w:t>
      </w:r>
      <w:r>
        <w:t>proceso</w:t>
      </w:r>
      <w:r>
        <w:rPr>
          <w:spacing w:val="-2"/>
        </w:rPr>
        <w:t xml:space="preserve"> </w:t>
      </w:r>
      <w:r>
        <w:t>inflamatorio</w:t>
      </w:r>
      <w:r>
        <w:rPr>
          <w:spacing w:val="-1"/>
        </w:rPr>
        <w:t xml:space="preserve"> </w:t>
      </w:r>
      <w:r>
        <w:t>puede</w:t>
      </w:r>
      <w:r>
        <w:rPr>
          <w:spacing w:val="-1"/>
        </w:rPr>
        <w:t xml:space="preserve"> </w:t>
      </w:r>
      <w:r>
        <w:t>generar un</w:t>
      </w:r>
      <w:r>
        <w:rPr>
          <w:spacing w:val="-2"/>
        </w:rPr>
        <w:t xml:space="preserve"> </w:t>
      </w:r>
      <w:r>
        <w:t>daño</w:t>
      </w:r>
      <w:r>
        <w:rPr>
          <w:spacing w:val="-2"/>
        </w:rPr>
        <w:t xml:space="preserve"> </w:t>
      </w:r>
      <w:r>
        <w:t>significativo en el globo ocular, reduciendo la capacidad visual de los pacientes, generando incluso ceguera. Si bien se trata de una condición infrecuente, ha sido reconocida como una de las principales causas de morbilidad ocular y ceguera irreversible, afectando principalmente a la población</w:t>
      </w:r>
      <w:r>
        <w:rPr>
          <w:spacing w:val="-2"/>
        </w:rPr>
        <w:t xml:space="preserve"> </w:t>
      </w:r>
      <w:r>
        <w:t>adulta</w:t>
      </w:r>
      <w:r>
        <w:rPr>
          <w:spacing w:val="-4"/>
        </w:rPr>
        <w:t xml:space="preserve"> </w:t>
      </w:r>
      <w:r>
        <w:t>y</w:t>
      </w:r>
      <w:r>
        <w:rPr>
          <w:spacing w:val="-4"/>
        </w:rPr>
        <w:t xml:space="preserve"> </w:t>
      </w:r>
      <w:r>
        <w:t>en</w:t>
      </w:r>
      <w:r>
        <w:rPr>
          <w:spacing w:val="-2"/>
        </w:rPr>
        <w:t xml:space="preserve"> </w:t>
      </w:r>
      <w:r>
        <w:t>edad</w:t>
      </w:r>
      <w:r>
        <w:rPr>
          <w:spacing w:val="-2"/>
        </w:rPr>
        <w:t xml:space="preserve"> </w:t>
      </w:r>
      <w:r>
        <w:t>laboral</w:t>
      </w:r>
      <w:r>
        <w:rPr>
          <w:spacing w:val="-5"/>
        </w:rPr>
        <w:t xml:space="preserve"> </w:t>
      </w:r>
      <w:r>
        <w:t>(entre</w:t>
      </w:r>
      <w:r>
        <w:rPr>
          <w:spacing w:val="-4"/>
        </w:rPr>
        <w:t xml:space="preserve"> </w:t>
      </w:r>
      <w:r>
        <w:t>20</w:t>
      </w:r>
      <w:r>
        <w:rPr>
          <w:spacing w:val="-4"/>
        </w:rPr>
        <w:t xml:space="preserve"> </w:t>
      </w:r>
      <w:r>
        <w:t>y</w:t>
      </w:r>
      <w:r>
        <w:rPr>
          <w:spacing w:val="-4"/>
        </w:rPr>
        <w:t xml:space="preserve"> </w:t>
      </w:r>
      <w:r>
        <w:t>50</w:t>
      </w:r>
      <w:r>
        <w:rPr>
          <w:spacing w:val="-7"/>
        </w:rPr>
        <w:t xml:space="preserve"> </w:t>
      </w:r>
      <w:r>
        <w:t>años),</w:t>
      </w:r>
      <w:r>
        <w:rPr>
          <w:spacing w:val="-2"/>
        </w:rPr>
        <w:t xml:space="preserve"> </w:t>
      </w:r>
      <w:r>
        <w:t>por</w:t>
      </w:r>
      <w:r>
        <w:rPr>
          <w:spacing w:val="-1"/>
        </w:rPr>
        <w:t xml:space="preserve"> </w:t>
      </w:r>
      <w:r>
        <w:t>lo</w:t>
      </w:r>
      <w:r>
        <w:rPr>
          <w:spacing w:val="-4"/>
        </w:rPr>
        <w:t xml:space="preserve"> </w:t>
      </w:r>
      <w:r>
        <w:t>que</w:t>
      </w:r>
      <w:r>
        <w:rPr>
          <w:spacing w:val="-4"/>
        </w:rPr>
        <w:t xml:space="preserve"> </w:t>
      </w:r>
      <w:r>
        <w:t>tiene un impacto social, económico y psicológico significativo.</w:t>
      </w:r>
    </w:p>
    <w:p w:rsidR="00186257" w:rsidRDefault="00000000">
      <w:pPr>
        <w:pStyle w:val="Prrafodelista"/>
        <w:numPr>
          <w:ilvl w:val="1"/>
          <w:numId w:val="1"/>
        </w:numPr>
        <w:tabs>
          <w:tab w:val="left" w:pos="2121"/>
        </w:tabs>
        <w:spacing w:before="156" w:line="357" w:lineRule="auto"/>
        <w:ind w:left="2121" w:right="114" w:hanging="361"/>
        <w:jc w:val="both"/>
        <w:rPr>
          <w:rFonts w:ascii="Cambria" w:hAnsi="Cambria"/>
        </w:rPr>
      </w:pPr>
      <w:r>
        <w:t>Existen distintos</w:t>
      </w:r>
      <w:r>
        <w:rPr>
          <w:spacing w:val="-2"/>
        </w:rPr>
        <w:t xml:space="preserve"> </w:t>
      </w:r>
      <w:r>
        <w:t>tipos de</w:t>
      </w:r>
      <w:r>
        <w:rPr>
          <w:spacing w:val="-1"/>
        </w:rPr>
        <w:t xml:space="preserve"> </w:t>
      </w:r>
      <w:r>
        <w:t>uveítis, dependiendo del segmento</w:t>
      </w:r>
      <w:r>
        <w:rPr>
          <w:spacing w:val="-1"/>
        </w:rPr>
        <w:t xml:space="preserve"> </w:t>
      </w:r>
      <w:r>
        <w:t>de</w:t>
      </w:r>
      <w:r>
        <w:rPr>
          <w:spacing w:val="-1"/>
        </w:rPr>
        <w:t xml:space="preserve"> </w:t>
      </w:r>
      <w:r>
        <w:t>la</w:t>
      </w:r>
      <w:r>
        <w:rPr>
          <w:spacing w:val="-1"/>
        </w:rPr>
        <w:t xml:space="preserve"> </w:t>
      </w:r>
      <w:r>
        <w:t>úvea comprometido:</w:t>
      </w:r>
      <w:r>
        <w:rPr>
          <w:spacing w:val="-12"/>
        </w:rPr>
        <w:t xml:space="preserve"> </w:t>
      </w:r>
      <w:r>
        <w:t>anterior</w:t>
      </w:r>
      <w:r>
        <w:rPr>
          <w:spacing w:val="-16"/>
        </w:rPr>
        <w:t xml:space="preserve"> </w:t>
      </w:r>
      <w:r>
        <w:t>(iris</w:t>
      </w:r>
      <w:r>
        <w:rPr>
          <w:spacing w:val="-12"/>
        </w:rPr>
        <w:t xml:space="preserve"> </w:t>
      </w:r>
      <w:r>
        <w:t>y</w:t>
      </w:r>
      <w:r>
        <w:rPr>
          <w:spacing w:val="-14"/>
        </w:rPr>
        <w:t xml:space="preserve"> </w:t>
      </w:r>
      <w:r>
        <w:t>cuerpo</w:t>
      </w:r>
      <w:r>
        <w:rPr>
          <w:spacing w:val="-15"/>
        </w:rPr>
        <w:t xml:space="preserve"> </w:t>
      </w:r>
      <w:r>
        <w:t>ciliar,</w:t>
      </w:r>
      <w:r>
        <w:rPr>
          <w:spacing w:val="-13"/>
        </w:rPr>
        <w:t xml:space="preserve"> </w:t>
      </w:r>
      <w:r>
        <w:t>esto</w:t>
      </w:r>
      <w:r>
        <w:rPr>
          <w:spacing w:val="-14"/>
        </w:rPr>
        <w:t xml:space="preserve"> </w:t>
      </w:r>
      <w:r>
        <w:t>es,</w:t>
      </w:r>
      <w:r>
        <w:rPr>
          <w:spacing w:val="-11"/>
        </w:rPr>
        <w:t xml:space="preserve"> </w:t>
      </w:r>
      <w:r>
        <w:t>la</w:t>
      </w:r>
      <w:r>
        <w:rPr>
          <w:spacing w:val="-12"/>
        </w:rPr>
        <w:t xml:space="preserve"> </w:t>
      </w:r>
      <w:r>
        <w:t>parte</w:t>
      </w:r>
      <w:r>
        <w:rPr>
          <w:spacing w:val="-15"/>
        </w:rPr>
        <w:t xml:space="preserve"> </w:t>
      </w:r>
      <w:r>
        <w:t>delantera</w:t>
      </w:r>
      <w:r>
        <w:rPr>
          <w:spacing w:val="-12"/>
        </w:rPr>
        <w:t xml:space="preserve"> </w:t>
      </w:r>
      <w:r>
        <w:t>del globo ocular), intermedia (parsplana y vítreo), posterior (coroides) y panuveítis (compromiso de todas las estructuras de la úvea).</w:t>
      </w:r>
    </w:p>
    <w:p w:rsidR="00186257" w:rsidRDefault="00000000">
      <w:pPr>
        <w:pStyle w:val="Prrafodelista"/>
        <w:numPr>
          <w:ilvl w:val="1"/>
          <w:numId w:val="1"/>
        </w:numPr>
        <w:tabs>
          <w:tab w:val="left" w:pos="2121"/>
        </w:tabs>
        <w:spacing w:before="168" w:line="360" w:lineRule="auto"/>
        <w:ind w:left="2121" w:right="114" w:hanging="361"/>
        <w:jc w:val="both"/>
        <w:rPr>
          <w:rFonts w:ascii="Cambria" w:hAnsi="Cambria"/>
        </w:rPr>
      </w:pPr>
      <w:r>
        <w:t xml:space="preserve">Una proporción significativa de los casos de uveítis son de naturaleza idiopática (41,4%), es decir, sus causas son desconocidas, constituyendo, por ende, una entidad autoinmune </w:t>
      </w:r>
      <w:r>
        <w:rPr>
          <w:i/>
        </w:rPr>
        <w:t>per s</w:t>
      </w:r>
      <w:r>
        <w:t>é. Entre las causas</w:t>
      </w:r>
      <w:r>
        <w:rPr>
          <w:spacing w:val="-13"/>
        </w:rPr>
        <w:t xml:space="preserve"> </w:t>
      </w:r>
      <w:r>
        <w:t>identificables</w:t>
      </w:r>
      <w:r>
        <w:rPr>
          <w:spacing w:val="-13"/>
        </w:rPr>
        <w:t xml:space="preserve"> </w:t>
      </w:r>
      <w:r>
        <w:t>se</w:t>
      </w:r>
      <w:r>
        <w:rPr>
          <w:spacing w:val="-16"/>
        </w:rPr>
        <w:t xml:space="preserve"> </w:t>
      </w:r>
      <w:r>
        <w:t>encuentran</w:t>
      </w:r>
      <w:r>
        <w:rPr>
          <w:spacing w:val="-13"/>
        </w:rPr>
        <w:t xml:space="preserve"> </w:t>
      </w:r>
      <w:r>
        <w:t>las</w:t>
      </w:r>
      <w:r>
        <w:rPr>
          <w:spacing w:val="-13"/>
        </w:rPr>
        <w:t xml:space="preserve"> </w:t>
      </w:r>
      <w:r>
        <w:t>etiologías</w:t>
      </w:r>
      <w:r>
        <w:rPr>
          <w:spacing w:val="-16"/>
        </w:rPr>
        <w:t xml:space="preserve"> </w:t>
      </w:r>
      <w:r>
        <w:t>infecciosas</w:t>
      </w:r>
      <w:r>
        <w:rPr>
          <w:spacing w:val="-12"/>
        </w:rPr>
        <w:t xml:space="preserve"> </w:t>
      </w:r>
      <w:r>
        <w:t>(bacterias, virus y hongos) y no infecciosas (condiciones con compromiso extraocular -como la espondiloatritis anquilosante, Enfermedad de Behcet, vasculitis sistémicas y las enfermedades inflamatorias intestinales- y entidades autoinmunes con compromiso eminentemente ocular – como la Enfermedad de Vogt Koyanagi Harada, Oftalmía Simpática y Síndrome de puntos blancos).</w:t>
      </w:r>
    </w:p>
    <w:p w:rsidR="00186257" w:rsidRDefault="00000000">
      <w:pPr>
        <w:pStyle w:val="Prrafodelista"/>
        <w:numPr>
          <w:ilvl w:val="1"/>
          <w:numId w:val="1"/>
        </w:numPr>
        <w:tabs>
          <w:tab w:val="left" w:pos="2121"/>
        </w:tabs>
        <w:spacing w:before="153" w:line="360" w:lineRule="auto"/>
        <w:ind w:left="2121" w:right="116" w:hanging="361"/>
        <w:jc w:val="both"/>
        <w:rPr>
          <w:rFonts w:ascii="Cambria" w:hAnsi="Cambria"/>
        </w:rPr>
      </w:pPr>
      <w:r>
        <w:t>La uveítis genera entre el 2.8 al 10% de la ceguera a nivel mundial. Asimismo, Se estima que la prevalencia de las uveítis en Chile oscila entre 38-714 casos por 100.000 habitantes al año, acorde con la prevalencia mundial.</w:t>
      </w:r>
    </w:p>
    <w:p w:rsidR="00186257" w:rsidRDefault="00186257">
      <w:pPr>
        <w:spacing w:line="360" w:lineRule="auto"/>
        <w:jc w:val="both"/>
        <w:rPr>
          <w:rFonts w:ascii="Cambria" w:hAnsi="Cambria"/>
        </w:rPr>
        <w:sectPr w:rsidR="00186257" w:rsidSect="00294249">
          <w:type w:val="continuous"/>
          <w:pgSz w:w="11910" w:h="16840"/>
          <w:pgMar w:top="1360" w:right="1320" w:bottom="280" w:left="1340" w:header="720" w:footer="720" w:gutter="0"/>
          <w:cols w:space="720"/>
        </w:sectPr>
      </w:pPr>
    </w:p>
    <w:p w:rsidR="00186257" w:rsidRDefault="00000000">
      <w:pPr>
        <w:pStyle w:val="Ttulo2"/>
        <w:numPr>
          <w:ilvl w:val="1"/>
          <w:numId w:val="1"/>
        </w:numPr>
        <w:tabs>
          <w:tab w:val="left" w:pos="2121"/>
        </w:tabs>
        <w:spacing w:before="86"/>
        <w:ind w:left="2121" w:hanging="360"/>
        <w:rPr>
          <w:rFonts w:ascii="Cambria" w:hAnsi="Cambria"/>
          <w:b w:val="0"/>
        </w:rPr>
      </w:pPr>
      <w:r>
        <w:lastRenderedPageBreak/>
        <w:t>El</w:t>
      </w:r>
      <w:r>
        <w:rPr>
          <w:spacing w:val="-3"/>
        </w:rPr>
        <w:t xml:space="preserve"> </w:t>
      </w:r>
      <w:r>
        <w:t>abordaje</w:t>
      </w:r>
      <w:r>
        <w:rPr>
          <w:spacing w:val="-3"/>
        </w:rPr>
        <w:t xml:space="preserve"> </w:t>
      </w:r>
      <w:r>
        <w:t>diagnóstico</w:t>
      </w:r>
      <w:r>
        <w:rPr>
          <w:spacing w:val="-4"/>
        </w:rPr>
        <w:t xml:space="preserve"> </w:t>
      </w:r>
      <w:r>
        <w:t>de</w:t>
      </w:r>
      <w:r>
        <w:rPr>
          <w:spacing w:val="-6"/>
        </w:rPr>
        <w:t xml:space="preserve"> </w:t>
      </w:r>
      <w:r>
        <w:t>las</w:t>
      </w:r>
      <w:r>
        <w:rPr>
          <w:spacing w:val="-4"/>
        </w:rPr>
        <w:t xml:space="preserve"> </w:t>
      </w:r>
      <w:r>
        <w:t>uveítis</w:t>
      </w:r>
      <w:r>
        <w:rPr>
          <w:spacing w:val="-3"/>
        </w:rPr>
        <w:t xml:space="preserve"> </w:t>
      </w:r>
      <w:r>
        <w:t>es</w:t>
      </w:r>
      <w:r>
        <w:rPr>
          <w:spacing w:val="-6"/>
        </w:rPr>
        <w:t xml:space="preserve"> </w:t>
      </w:r>
      <w:r>
        <w:rPr>
          <w:spacing w:val="-2"/>
        </w:rPr>
        <w:t>complejo</w:t>
      </w:r>
      <w:r>
        <w:rPr>
          <w:b w:val="0"/>
          <w:spacing w:val="-2"/>
        </w:rPr>
        <w:t>.</w:t>
      </w:r>
    </w:p>
    <w:p w:rsidR="00186257" w:rsidRDefault="00186257">
      <w:pPr>
        <w:pStyle w:val="Textoindependiente"/>
        <w:spacing w:before="32"/>
      </w:pPr>
    </w:p>
    <w:p w:rsidR="00186257" w:rsidRDefault="00000000">
      <w:pPr>
        <w:pStyle w:val="Textoindependiente"/>
        <w:spacing w:line="360" w:lineRule="auto"/>
        <w:ind w:left="2121" w:right="110"/>
        <w:jc w:val="both"/>
      </w:pPr>
      <w:r>
        <w:t>Algunas etiologías se develan simplemente con el examen oftalmológico, pero otras muchas, implican afectación sistémica, y requieren</w:t>
      </w:r>
      <w:r>
        <w:rPr>
          <w:spacing w:val="-16"/>
        </w:rPr>
        <w:t xml:space="preserve"> </w:t>
      </w:r>
      <w:r>
        <w:t>de</w:t>
      </w:r>
      <w:r>
        <w:rPr>
          <w:spacing w:val="-15"/>
        </w:rPr>
        <w:t xml:space="preserve"> </w:t>
      </w:r>
      <w:r>
        <w:t>un</w:t>
      </w:r>
      <w:r>
        <w:rPr>
          <w:spacing w:val="-15"/>
        </w:rPr>
        <w:t xml:space="preserve"> </w:t>
      </w:r>
      <w:r>
        <w:t>estudio</w:t>
      </w:r>
      <w:r>
        <w:rPr>
          <w:spacing w:val="-16"/>
        </w:rPr>
        <w:t xml:space="preserve"> </w:t>
      </w:r>
      <w:r>
        <w:t>general</w:t>
      </w:r>
      <w:r>
        <w:rPr>
          <w:spacing w:val="-15"/>
        </w:rPr>
        <w:t xml:space="preserve"> </w:t>
      </w:r>
      <w:r>
        <w:t>por</w:t>
      </w:r>
      <w:r>
        <w:rPr>
          <w:spacing w:val="-15"/>
        </w:rPr>
        <w:t xml:space="preserve"> </w:t>
      </w:r>
      <w:r>
        <w:t>aparatos,</w:t>
      </w:r>
      <w:r>
        <w:rPr>
          <w:spacing w:val="-15"/>
        </w:rPr>
        <w:t xml:space="preserve"> </w:t>
      </w:r>
      <w:r>
        <w:t>pruebas</w:t>
      </w:r>
      <w:r>
        <w:rPr>
          <w:spacing w:val="-16"/>
        </w:rPr>
        <w:t xml:space="preserve"> </w:t>
      </w:r>
      <w:r>
        <w:t>complementarias, e incluso evaluación por otros especialistas (medicina interna y reumatología fundamentalmente). La uveítis debe tener un tratamiento oportuno,</w:t>
      </w:r>
      <w:r>
        <w:rPr>
          <w:spacing w:val="-13"/>
        </w:rPr>
        <w:t xml:space="preserve"> </w:t>
      </w:r>
      <w:r>
        <w:t>con</w:t>
      </w:r>
      <w:r>
        <w:rPr>
          <w:spacing w:val="-15"/>
        </w:rPr>
        <w:t xml:space="preserve"> </w:t>
      </w:r>
      <w:r>
        <w:t>el</w:t>
      </w:r>
      <w:r>
        <w:rPr>
          <w:spacing w:val="-15"/>
        </w:rPr>
        <w:t xml:space="preserve"> </w:t>
      </w:r>
      <w:r>
        <w:t>objetivo</w:t>
      </w:r>
      <w:r>
        <w:rPr>
          <w:spacing w:val="-16"/>
        </w:rPr>
        <w:t xml:space="preserve"> </w:t>
      </w:r>
      <w:r>
        <w:t>de</w:t>
      </w:r>
      <w:r>
        <w:rPr>
          <w:spacing w:val="-14"/>
        </w:rPr>
        <w:t xml:space="preserve"> </w:t>
      </w:r>
      <w:r>
        <w:t>prevenir</w:t>
      </w:r>
      <w:r>
        <w:rPr>
          <w:spacing w:val="-14"/>
        </w:rPr>
        <w:t xml:space="preserve"> </w:t>
      </w:r>
      <w:r>
        <w:t>secuelas</w:t>
      </w:r>
      <w:r>
        <w:rPr>
          <w:spacing w:val="-14"/>
        </w:rPr>
        <w:t xml:space="preserve"> </w:t>
      </w:r>
      <w:r>
        <w:t>irreversibles</w:t>
      </w:r>
      <w:r>
        <w:rPr>
          <w:spacing w:val="-14"/>
        </w:rPr>
        <w:t xml:space="preserve"> </w:t>
      </w:r>
      <w:r>
        <w:t>a</w:t>
      </w:r>
      <w:r>
        <w:rPr>
          <w:spacing w:val="-15"/>
        </w:rPr>
        <w:t xml:space="preserve"> </w:t>
      </w:r>
      <w:r>
        <w:t>largo</w:t>
      </w:r>
      <w:r>
        <w:rPr>
          <w:spacing w:val="-15"/>
        </w:rPr>
        <w:t xml:space="preserve"> </w:t>
      </w:r>
      <w:r>
        <w:t>plazo. El tratamiento va a depender de la causa y la duración del cuadro. En términos</w:t>
      </w:r>
      <w:r>
        <w:rPr>
          <w:spacing w:val="-16"/>
        </w:rPr>
        <w:t xml:space="preserve"> </w:t>
      </w:r>
      <w:r>
        <w:t>generales,</w:t>
      </w:r>
      <w:r>
        <w:rPr>
          <w:spacing w:val="-15"/>
        </w:rPr>
        <w:t xml:space="preserve"> </w:t>
      </w:r>
      <w:r>
        <w:t>el</w:t>
      </w:r>
      <w:r>
        <w:rPr>
          <w:spacing w:val="-15"/>
        </w:rPr>
        <w:t xml:space="preserve"> </w:t>
      </w:r>
      <w:r>
        <w:t>tratamiento</w:t>
      </w:r>
      <w:r>
        <w:rPr>
          <w:spacing w:val="-16"/>
        </w:rPr>
        <w:t xml:space="preserve"> </w:t>
      </w:r>
      <w:r>
        <w:t>consiste</w:t>
      </w:r>
      <w:r>
        <w:rPr>
          <w:spacing w:val="-15"/>
        </w:rPr>
        <w:t xml:space="preserve"> </w:t>
      </w:r>
      <w:r>
        <w:t>principalmente</w:t>
      </w:r>
      <w:r>
        <w:rPr>
          <w:spacing w:val="-15"/>
        </w:rPr>
        <w:t xml:space="preserve"> </w:t>
      </w:r>
      <w:r>
        <w:t>en</w:t>
      </w:r>
      <w:r>
        <w:rPr>
          <w:spacing w:val="-15"/>
        </w:rPr>
        <w:t xml:space="preserve"> </w:t>
      </w:r>
      <w:r>
        <w:t>corticoides orales</w:t>
      </w:r>
      <w:r>
        <w:rPr>
          <w:spacing w:val="-4"/>
        </w:rPr>
        <w:t xml:space="preserve"> </w:t>
      </w:r>
      <w:r>
        <w:t>y</w:t>
      </w:r>
      <w:r>
        <w:rPr>
          <w:spacing w:val="-5"/>
        </w:rPr>
        <w:t xml:space="preserve"> </w:t>
      </w:r>
      <w:r>
        <w:t>locales,</w:t>
      </w:r>
      <w:r>
        <w:rPr>
          <w:spacing w:val="-5"/>
        </w:rPr>
        <w:t xml:space="preserve"> </w:t>
      </w:r>
      <w:r>
        <w:t>en</w:t>
      </w:r>
      <w:r>
        <w:rPr>
          <w:spacing w:val="-6"/>
        </w:rPr>
        <w:t xml:space="preserve"> </w:t>
      </w:r>
      <w:r>
        <w:t>una</w:t>
      </w:r>
      <w:r>
        <w:rPr>
          <w:spacing w:val="-7"/>
        </w:rPr>
        <w:t xml:space="preserve"> </w:t>
      </w:r>
      <w:r>
        <w:t>primera</w:t>
      </w:r>
      <w:r>
        <w:rPr>
          <w:spacing w:val="-5"/>
        </w:rPr>
        <w:t xml:space="preserve"> </w:t>
      </w:r>
      <w:r>
        <w:t>instancia.</w:t>
      </w:r>
      <w:r>
        <w:rPr>
          <w:spacing w:val="-5"/>
        </w:rPr>
        <w:t xml:space="preserve"> </w:t>
      </w:r>
      <w:r>
        <w:t>Posteriormente,</w:t>
      </w:r>
      <w:r>
        <w:rPr>
          <w:spacing w:val="-5"/>
        </w:rPr>
        <w:t xml:space="preserve"> </w:t>
      </w:r>
      <w:r>
        <w:t>en</w:t>
      </w:r>
      <w:r>
        <w:rPr>
          <w:spacing w:val="-6"/>
        </w:rPr>
        <w:t xml:space="preserve"> </w:t>
      </w:r>
      <w:r>
        <w:t>alrededor de</w:t>
      </w:r>
      <w:r>
        <w:rPr>
          <w:spacing w:val="-5"/>
        </w:rPr>
        <w:t xml:space="preserve"> </w:t>
      </w:r>
      <w:r>
        <w:t>un</w:t>
      </w:r>
      <w:r>
        <w:rPr>
          <w:spacing w:val="-8"/>
        </w:rPr>
        <w:t xml:space="preserve"> </w:t>
      </w:r>
      <w:r>
        <w:t>tercio</w:t>
      </w:r>
      <w:r>
        <w:rPr>
          <w:spacing w:val="-5"/>
        </w:rPr>
        <w:t xml:space="preserve"> </w:t>
      </w:r>
      <w:r>
        <w:t>de</w:t>
      </w:r>
      <w:r>
        <w:rPr>
          <w:spacing w:val="-5"/>
        </w:rPr>
        <w:t xml:space="preserve"> </w:t>
      </w:r>
      <w:r>
        <w:t>los</w:t>
      </w:r>
      <w:r>
        <w:rPr>
          <w:spacing w:val="-7"/>
        </w:rPr>
        <w:t xml:space="preserve"> </w:t>
      </w:r>
      <w:r>
        <w:t>casos</w:t>
      </w:r>
      <w:r>
        <w:rPr>
          <w:spacing w:val="-7"/>
        </w:rPr>
        <w:t xml:space="preserve"> </w:t>
      </w:r>
      <w:r>
        <w:t>se</w:t>
      </w:r>
      <w:r>
        <w:rPr>
          <w:spacing w:val="-7"/>
        </w:rPr>
        <w:t xml:space="preserve"> </w:t>
      </w:r>
      <w:r>
        <w:t>deben</w:t>
      </w:r>
      <w:r>
        <w:rPr>
          <w:spacing w:val="-7"/>
        </w:rPr>
        <w:t xml:space="preserve"> </w:t>
      </w:r>
      <w:r>
        <w:t>incorporar</w:t>
      </w:r>
      <w:r>
        <w:rPr>
          <w:spacing w:val="-7"/>
        </w:rPr>
        <w:t xml:space="preserve"> </w:t>
      </w:r>
      <w:r>
        <w:t>inmunomoduladores</w:t>
      </w:r>
      <w:r>
        <w:rPr>
          <w:spacing w:val="-7"/>
        </w:rPr>
        <w:t xml:space="preserve"> </w:t>
      </w:r>
      <w:r>
        <w:t>y,</w:t>
      </w:r>
      <w:r>
        <w:rPr>
          <w:spacing w:val="-4"/>
        </w:rPr>
        <w:t xml:space="preserve"> </w:t>
      </w:r>
      <w:r>
        <w:t>en aquellos</w:t>
      </w:r>
      <w:r>
        <w:rPr>
          <w:spacing w:val="-16"/>
        </w:rPr>
        <w:t xml:space="preserve"> </w:t>
      </w:r>
      <w:r>
        <w:t>pacientes</w:t>
      </w:r>
      <w:r>
        <w:rPr>
          <w:spacing w:val="-15"/>
        </w:rPr>
        <w:t xml:space="preserve"> </w:t>
      </w:r>
      <w:r>
        <w:t>más</w:t>
      </w:r>
      <w:r>
        <w:rPr>
          <w:spacing w:val="-15"/>
        </w:rPr>
        <w:t xml:space="preserve"> </w:t>
      </w:r>
      <w:r>
        <w:t>refractarios,</w:t>
      </w:r>
      <w:r>
        <w:rPr>
          <w:spacing w:val="-16"/>
        </w:rPr>
        <w:t xml:space="preserve"> </w:t>
      </w:r>
      <w:r>
        <w:t>agentes</w:t>
      </w:r>
      <w:r>
        <w:rPr>
          <w:spacing w:val="-15"/>
        </w:rPr>
        <w:t xml:space="preserve"> </w:t>
      </w:r>
      <w:r>
        <w:t>biológicos,</w:t>
      </w:r>
      <w:r>
        <w:rPr>
          <w:spacing w:val="-15"/>
        </w:rPr>
        <w:t xml:space="preserve"> </w:t>
      </w:r>
      <w:r>
        <w:t>en</w:t>
      </w:r>
      <w:r>
        <w:rPr>
          <w:spacing w:val="-15"/>
        </w:rPr>
        <w:t xml:space="preserve"> </w:t>
      </w:r>
      <w:r>
        <w:t>particular,</w:t>
      </w:r>
      <w:r>
        <w:rPr>
          <w:spacing w:val="-16"/>
        </w:rPr>
        <w:t xml:space="preserve"> </w:t>
      </w:r>
      <w:r>
        <w:t>en pacientes que presentan inflamación persistente y, por ende, daño ocular progresivo e irreversible.</w:t>
      </w:r>
      <w:r>
        <w:rPr>
          <w:spacing w:val="40"/>
        </w:rPr>
        <w:t xml:space="preserve"> </w:t>
      </w:r>
      <w:r>
        <w:t>Estos tratamientos están respaldados por evidencia científica basada en trabajos de investigación multinacionales. Importantemente, se han conducido en las últimas décadas estudios clínicos aleatorizados en pacientes con uveítis en los que se ha podido comprobar la eficacia y seguridad del uso de adalimumab. Este agente biológico es usado en otras patologías autoinmunes, como artritis reumatoidea, enfermedad inflamatoria intestinal</w:t>
      </w:r>
      <w:r>
        <w:rPr>
          <w:spacing w:val="-16"/>
        </w:rPr>
        <w:t xml:space="preserve"> </w:t>
      </w:r>
      <w:r>
        <w:t>o</w:t>
      </w:r>
      <w:r>
        <w:rPr>
          <w:spacing w:val="-15"/>
        </w:rPr>
        <w:t xml:space="preserve"> </w:t>
      </w:r>
      <w:r>
        <w:t>espondiloartritis</w:t>
      </w:r>
      <w:r>
        <w:rPr>
          <w:spacing w:val="-13"/>
        </w:rPr>
        <w:t xml:space="preserve"> </w:t>
      </w:r>
      <w:r>
        <w:t>anquilosante.</w:t>
      </w:r>
      <w:r>
        <w:rPr>
          <w:spacing w:val="-13"/>
        </w:rPr>
        <w:t xml:space="preserve"> </w:t>
      </w:r>
      <w:r>
        <w:t>Asimismo,</w:t>
      </w:r>
      <w:r>
        <w:rPr>
          <w:spacing w:val="-16"/>
        </w:rPr>
        <w:t xml:space="preserve"> </w:t>
      </w:r>
      <w:r>
        <w:t>adalimumab</w:t>
      </w:r>
      <w:r>
        <w:rPr>
          <w:spacing w:val="-14"/>
        </w:rPr>
        <w:t xml:space="preserve"> </w:t>
      </w:r>
      <w:r>
        <w:t>y</w:t>
      </w:r>
      <w:r>
        <w:rPr>
          <w:spacing w:val="-16"/>
        </w:rPr>
        <w:t xml:space="preserve"> </w:t>
      </w:r>
      <w:r>
        <w:t>otros agentes</w:t>
      </w:r>
      <w:r>
        <w:rPr>
          <w:spacing w:val="-1"/>
        </w:rPr>
        <w:t xml:space="preserve"> </w:t>
      </w:r>
      <w:r>
        <w:t>biológicos</w:t>
      </w:r>
      <w:r>
        <w:rPr>
          <w:spacing w:val="-1"/>
        </w:rPr>
        <w:t xml:space="preserve"> </w:t>
      </w:r>
      <w:r>
        <w:t>similares</w:t>
      </w:r>
      <w:r>
        <w:rPr>
          <w:spacing w:val="-1"/>
        </w:rPr>
        <w:t xml:space="preserve"> </w:t>
      </w:r>
      <w:r>
        <w:t>tienen</w:t>
      </w:r>
      <w:r>
        <w:rPr>
          <w:spacing w:val="-2"/>
        </w:rPr>
        <w:t xml:space="preserve"> </w:t>
      </w:r>
      <w:r>
        <w:t>acceso</w:t>
      </w:r>
      <w:r>
        <w:rPr>
          <w:spacing w:val="-2"/>
        </w:rPr>
        <w:t xml:space="preserve"> </w:t>
      </w:r>
      <w:r>
        <w:t>garantizado</w:t>
      </w:r>
      <w:r>
        <w:rPr>
          <w:spacing w:val="-1"/>
        </w:rPr>
        <w:t xml:space="preserve"> </w:t>
      </w:r>
      <w:r>
        <w:t>y</w:t>
      </w:r>
      <w:r>
        <w:rPr>
          <w:spacing w:val="-1"/>
        </w:rPr>
        <w:t xml:space="preserve"> </w:t>
      </w:r>
      <w:r>
        <w:t>facilitado</w:t>
      </w:r>
      <w:r>
        <w:rPr>
          <w:spacing w:val="-1"/>
        </w:rPr>
        <w:t xml:space="preserve"> </w:t>
      </w:r>
      <w:r>
        <w:t>para otras patologías inflamatorias no oculares a través de programas gubernamentales como la Ley Ricarte Soto y el</w:t>
      </w:r>
      <w:r>
        <w:rPr>
          <w:spacing w:val="-1"/>
        </w:rPr>
        <w:t xml:space="preserve"> </w:t>
      </w:r>
      <w:r>
        <w:t>programa de Garantías Explicitas de Salud (GES).</w:t>
      </w:r>
    </w:p>
    <w:p w:rsidR="00186257" w:rsidRDefault="00186257">
      <w:pPr>
        <w:pStyle w:val="Textoindependiente"/>
        <w:spacing w:before="200"/>
      </w:pPr>
    </w:p>
    <w:p w:rsidR="00186257" w:rsidRDefault="00000000">
      <w:pPr>
        <w:pStyle w:val="Ttulo2"/>
        <w:numPr>
          <w:ilvl w:val="1"/>
          <w:numId w:val="1"/>
        </w:numPr>
        <w:tabs>
          <w:tab w:val="left" w:pos="2120"/>
        </w:tabs>
        <w:ind w:left="2120" w:hanging="359"/>
        <w:rPr>
          <w:rFonts w:ascii="Cambria" w:hAnsi="Cambria"/>
        </w:rPr>
      </w:pPr>
      <w:r>
        <w:t>Legislación</w:t>
      </w:r>
      <w:r>
        <w:rPr>
          <w:spacing w:val="-12"/>
        </w:rPr>
        <w:t xml:space="preserve"> </w:t>
      </w:r>
      <w:r>
        <w:rPr>
          <w:spacing w:val="-2"/>
        </w:rPr>
        <w:t>Actual</w:t>
      </w:r>
    </w:p>
    <w:p w:rsidR="00186257" w:rsidRDefault="00186257">
      <w:pPr>
        <w:pStyle w:val="Textoindependiente"/>
        <w:spacing w:before="123"/>
        <w:rPr>
          <w:b/>
        </w:rPr>
      </w:pPr>
    </w:p>
    <w:p w:rsidR="00186257" w:rsidRDefault="00000000">
      <w:pPr>
        <w:pStyle w:val="Textoindependiente"/>
        <w:spacing w:line="360" w:lineRule="auto"/>
        <w:ind w:left="1761" w:right="116"/>
        <w:jc w:val="both"/>
      </w:pPr>
      <w:r>
        <w:t>Para</w:t>
      </w:r>
      <w:r>
        <w:rPr>
          <w:spacing w:val="-6"/>
        </w:rPr>
        <w:t xml:space="preserve"> </w:t>
      </w:r>
      <w:r>
        <w:t>mayor</w:t>
      </w:r>
      <w:r>
        <w:rPr>
          <w:spacing w:val="-5"/>
        </w:rPr>
        <w:t xml:space="preserve"> </w:t>
      </w:r>
      <w:r>
        <w:t>abundamiento,</w:t>
      </w:r>
      <w:r>
        <w:rPr>
          <w:spacing w:val="-7"/>
        </w:rPr>
        <w:t xml:space="preserve"> </w:t>
      </w:r>
      <w:r>
        <w:t>cabe</w:t>
      </w:r>
      <w:r>
        <w:rPr>
          <w:spacing w:val="-6"/>
        </w:rPr>
        <w:t xml:space="preserve"> </w:t>
      </w:r>
      <w:r>
        <w:t>agregar</w:t>
      </w:r>
      <w:r>
        <w:rPr>
          <w:spacing w:val="-5"/>
        </w:rPr>
        <w:t xml:space="preserve"> </w:t>
      </w:r>
      <w:r>
        <w:t>que,</w:t>
      </w:r>
      <w:r>
        <w:rPr>
          <w:spacing w:val="-5"/>
        </w:rPr>
        <w:t xml:space="preserve"> </w:t>
      </w:r>
      <w:r>
        <w:t>al</w:t>
      </w:r>
      <w:r>
        <w:rPr>
          <w:spacing w:val="-9"/>
        </w:rPr>
        <w:t xml:space="preserve"> </w:t>
      </w:r>
      <w:r>
        <w:t>no</w:t>
      </w:r>
      <w:r>
        <w:rPr>
          <w:spacing w:val="-6"/>
        </w:rPr>
        <w:t xml:space="preserve"> </w:t>
      </w:r>
      <w:r>
        <w:t>encontrarse</w:t>
      </w:r>
      <w:r>
        <w:rPr>
          <w:spacing w:val="-6"/>
        </w:rPr>
        <w:t xml:space="preserve"> </w:t>
      </w:r>
      <w:r>
        <w:t>la</w:t>
      </w:r>
      <w:r>
        <w:rPr>
          <w:spacing w:val="-6"/>
        </w:rPr>
        <w:t xml:space="preserve"> </w:t>
      </w:r>
      <w:r>
        <w:t>atención en modalidad institucional para</w:t>
      </w:r>
      <w:r>
        <w:rPr>
          <w:spacing w:val="-2"/>
        </w:rPr>
        <w:t xml:space="preserve"> </w:t>
      </w:r>
      <w:r>
        <w:t>la uveítis</w:t>
      </w:r>
      <w:r>
        <w:rPr>
          <w:spacing w:val="-1"/>
        </w:rPr>
        <w:t xml:space="preserve"> </w:t>
      </w:r>
      <w:r>
        <w:t>no existe actualmente</w:t>
      </w:r>
      <w:r>
        <w:rPr>
          <w:spacing w:val="-2"/>
        </w:rPr>
        <w:t xml:space="preserve"> </w:t>
      </w:r>
      <w:r>
        <w:t>cobertura</w:t>
      </w:r>
      <w:r>
        <w:rPr>
          <w:spacing w:val="-1"/>
        </w:rPr>
        <w:t xml:space="preserve"> </w:t>
      </w:r>
      <w:r>
        <w:t>y acceso garantizado a la evaluación por especialista ni al tratamiento adecuado, particularmente en pacientes que requieren agentes biológicos, como el adalimumab. Hay que considerar que la uveítis no ha sido incorporada</w:t>
      </w:r>
      <w:r>
        <w:rPr>
          <w:spacing w:val="-11"/>
        </w:rPr>
        <w:t xml:space="preserve"> </w:t>
      </w:r>
      <w:r>
        <w:t>al</w:t>
      </w:r>
      <w:r>
        <w:rPr>
          <w:spacing w:val="-12"/>
        </w:rPr>
        <w:t xml:space="preserve"> </w:t>
      </w:r>
      <w:r>
        <w:t>programa</w:t>
      </w:r>
      <w:r>
        <w:rPr>
          <w:spacing w:val="-14"/>
        </w:rPr>
        <w:t xml:space="preserve"> </w:t>
      </w:r>
      <w:r>
        <w:t>de</w:t>
      </w:r>
      <w:r>
        <w:rPr>
          <w:spacing w:val="-12"/>
        </w:rPr>
        <w:t xml:space="preserve"> </w:t>
      </w:r>
      <w:r>
        <w:t>GES</w:t>
      </w:r>
      <w:r>
        <w:rPr>
          <w:spacing w:val="-12"/>
        </w:rPr>
        <w:t xml:space="preserve"> </w:t>
      </w:r>
      <w:r>
        <w:t>ni</w:t>
      </w:r>
      <w:r>
        <w:rPr>
          <w:spacing w:val="-12"/>
        </w:rPr>
        <w:t xml:space="preserve"> </w:t>
      </w:r>
      <w:r>
        <w:t>a</w:t>
      </w:r>
      <w:r>
        <w:rPr>
          <w:spacing w:val="-11"/>
        </w:rPr>
        <w:t xml:space="preserve"> </w:t>
      </w:r>
      <w:r>
        <w:t>la</w:t>
      </w:r>
      <w:r>
        <w:rPr>
          <w:spacing w:val="-11"/>
        </w:rPr>
        <w:t xml:space="preserve"> </w:t>
      </w:r>
      <w:r>
        <w:t>Ley</w:t>
      </w:r>
      <w:r>
        <w:rPr>
          <w:spacing w:val="-11"/>
        </w:rPr>
        <w:t xml:space="preserve"> </w:t>
      </w:r>
      <w:r>
        <w:t>Ricarte</w:t>
      </w:r>
      <w:r>
        <w:rPr>
          <w:spacing w:val="-11"/>
        </w:rPr>
        <w:t xml:space="preserve"> </w:t>
      </w:r>
      <w:r>
        <w:t>Soto,</w:t>
      </w:r>
      <w:r>
        <w:rPr>
          <w:spacing w:val="-12"/>
        </w:rPr>
        <w:t xml:space="preserve"> </w:t>
      </w:r>
      <w:r>
        <w:t>lo</w:t>
      </w:r>
      <w:r>
        <w:rPr>
          <w:spacing w:val="-11"/>
        </w:rPr>
        <w:t xml:space="preserve"> </w:t>
      </w:r>
      <w:r>
        <w:t>que</w:t>
      </w:r>
      <w:r>
        <w:rPr>
          <w:spacing w:val="-11"/>
        </w:rPr>
        <w:t xml:space="preserve"> </w:t>
      </w:r>
      <w:r>
        <w:t>expone</w:t>
      </w:r>
      <w:r>
        <w:rPr>
          <w:spacing w:val="-14"/>
        </w:rPr>
        <w:t xml:space="preserve"> </w:t>
      </w:r>
      <w:r>
        <w:t>aún más a</w:t>
      </w:r>
      <w:r>
        <w:rPr>
          <w:spacing w:val="-1"/>
        </w:rPr>
        <w:t xml:space="preserve"> </w:t>
      </w:r>
      <w:r>
        <w:t>quienes la</w:t>
      </w:r>
      <w:r>
        <w:rPr>
          <w:spacing w:val="-1"/>
        </w:rPr>
        <w:t xml:space="preserve"> </w:t>
      </w:r>
      <w:r>
        <w:t>padecen a sufrir las complicaciones derivadas</w:t>
      </w:r>
      <w:r>
        <w:rPr>
          <w:spacing w:val="-1"/>
        </w:rPr>
        <w:t xml:space="preserve"> </w:t>
      </w:r>
      <w:r>
        <w:t>por la falta de diagnóstico precoz y tratamiento oportuno. Muchos pacientes llegan al</w:t>
      </w:r>
    </w:p>
    <w:p w:rsidR="00186257" w:rsidRDefault="00186257">
      <w:pPr>
        <w:spacing w:line="360" w:lineRule="auto"/>
        <w:jc w:val="both"/>
        <w:sectPr w:rsidR="00186257" w:rsidSect="00294249">
          <w:pgSz w:w="11910" w:h="16840"/>
          <w:pgMar w:top="1340" w:right="1320" w:bottom="280" w:left="1340" w:header="720" w:footer="720" w:gutter="0"/>
          <w:cols w:space="720"/>
        </w:sectPr>
      </w:pPr>
    </w:p>
    <w:p w:rsidR="00186257" w:rsidRDefault="00000000">
      <w:pPr>
        <w:pStyle w:val="Textoindependiente"/>
        <w:spacing w:before="67" w:line="360" w:lineRule="auto"/>
        <w:ind w:left="1761" w:right="116"/>
        <w:jc w:val="both"/>
      </w:pPr>
      <w:r>
        <w:lastRenderedPageBreak/>
        <w:t>especialista, demasiado tarde, con ceguera irreversible, fuera del alcance terapéutico.</w:t>
      </w:r>
      <w:r>
        <w:rPr>
          <w:spacing w:val="40"/>
        </w:rPr>
        <w:t xml:space="preserve"> </w:t>
      </w:r>
      <w:r>
        <w:t>Algo que es totalmente evitable, ya que, si estos pacientes fueran diagnosticados precozmente y tuvieran tratamiento oportuno y adecuados, las consecuencias funcionales son evitables.</w:t>
      </w:r>
    </w:p>
    <w:p w:rsidR="00186257" w:rsidRDefault="00000000">
      <w:pPr>
        <w:pStyle w:val="Textoindependiente"/>
        <w:spacing w:before="200" w:line="360" w:lineRule="auto"/>
        <w:ind w:left="1761" w:right="228"/>
        <w:jc w:val="both"/>
      </w:pPr>
      <w:r>
        <w:t>Es</w:t>
      </w:r>
      <w:r>
        <w:rPr>
          <w:spacing w:val="-5"/>
        </w:rPr>
        <w:t xml:space="preserve"> </w:t>
      </w:r>
      <w:r>
        <w:t>por</w:t>
      </w:r>
      <w:r>
        <w:rPr>
          <w:spacing w:val="-4"/>
        </w:rPr>
        <w:t xml:space="preserve"> </w:t>
      </w:r>
      <w:r>
        <w:t>ello</w:t>
      </w:r>
      <w:r>
        <w:rPr>
          <w:spacing w:val="-5"/>
        </w:rPr>
        <w:t xml:space="preserve"> </w:t>
      </w:r>
      <w:r>
        <w:t>que</w:t>
      </w:r>
      <w:r>
        <w:rPr>
          <w:spacing w:val="-5"/>
        </w:rPr>
        <w:t xml:space="preserve"> </w:t>
      </w:r>
      <w:r>
        <w:t>la</w:t>
      </w:r>
      <w:r>
        <w:rPr>
          <w:spacing w:val="-5"/>
        </w:rPr>
        <w:t xml:space="preserve"> </w:t>
      </w:r>
      <w:r>
        <w:t>iniciativa</w:t>
      </w:r>
      <w:r>
        <w:rPr>
          <w:spacing w:val="-5"/>
        </w:rPr>
        <w:t xml:space="preserve"> </w:t>
      </w:r>
      <w:r>
        <w:t>de</w:t>
      </w:r>
      <w:r>
        <w:rPr>
          <w:spacing w:val="-5"/>
        </w:rPr>
        <w:t xml:space="preserve"> </w:t>
      </w:r>
      <w:r>
        <w:t>facilitar</w:t>
      </w:r>
      <w:r>
        <w:rPr>
          <w:spacing w:val="-7"/>
        </w:rPr>
        <w:t xml:space="preserve"> </w:t>
      </w:r>
      <w:r>
        <w:t>y</w:t>
      </w:r>
      <w:r>
        <w:rPr>
          <w:spacing w:val="-5"/>
        </w:rPr>
        <w:t xml:space="preserve"> </w:t>
      </w:r>
      <w:r>
        <w:t>garantizar</w:t>
      </w:r>
      <w:r>
        <w:rPr>
          <w:spacing w:val="-4"/>
        </w:rPr>
        <w:t xml:space="preserve"> </w:t>
      </w:r>
      <w:r>
        <w:t>el</w:t>
      </w:r>
      <w:r>
        <w:rPr>
          <w:spacing w:val="-6"/>
        </w:rPr>
        <w:t xml:space="preserve"> </w:t>
      </w:r>
      <w:r>
        <w:t>acceso</w:t>
      </w:r>
      <w:r>
        <w:rPr>
          <w:spacing w:val="-5"/>
        </w:rPr>
        <w:t xml:space="preserve"> </w:t>
      </w:r>
      <w:r>
        <w:t>al</w:t>
      </w:r>
      <w:r>
        <w:rPr>
          <w:spacing w:val="-6"/>
        </w:rPr>
        <w:t xml:space="preserve"> </w:t>
      </w:r>
      <w:r>
        <w:t>diagnóstico precoz y al tratamiento oportuno a quienes padecen uveítis es de toda justicia para los pacientes y sus familias, quienes sienten que no pueden esperar más y ven con sentido de urgencia que se hable y que se legisle sobre esta materia.</w:t>
      </w:r>
    </w:p>
    <w:p w:rsidR="00186257" w:rsidRDefault="00000000">
      <w:pPr>
        <w:pStyle w:val="Textoindependiente"/>
        <w:spacing w:before="203" w:line="360" w:lineRule="auto"/>
        <w:ind w:left="1761" w:right="231"/>
        <w:jc w:val="both"/>
      </w:pPr>
      <w:r>
        <w:t>Avanzar</w:t>
      </w:r>
      <w:r>
        <w:rPr>
          <w:spacing w:val="-4"/>
        </w:rPr>
        <w:t xml:space="preserve"> </w:t>
      </w:r>
      <w:r>
        <w:t>en</w:t>
      </w:r>
      <w:r>
        <w:rPr>
          <w:spacing w:val="-5"/>
        </w:rPr>
        <w:t xml:space="preserve"> </w:t>
      </w:r>
      <w:r>
        <w:t>este</w:t>
      </w:r>
      <w:r>
        <w:rPr>
          <w:spacing w:val="-7"/>
        </w:rPr>
        <w:t xml:space="preserve"> </w:t>
      </w:r>
      <w:r>
        <w:t>tema</w:t>
      </w:r>
      <w:r>
        <w:rPr>
          <w:spacing w:val="-7"/>
        </w:rPr>
        <w:t xml:space="preserve"> </w:t>
      </w:r>
      <w:r>
        <w:t>constituye</w:t>
      </w:r>
      <w:r>
        <w:rPr>
          <w:spacing w:val="-5"/>
        </w:rPr>
        <w:t xml:space="preserve"> </w:t>
      </w:r>
      <w:r>
        <w:t>una</w:t>
      </w:r>
      <w:r>
        <w:rPr>
          <w:spacing w:val="-5"/>
        </w:rPr>
        <w:t xml:space="preserve"> </w:t>
      </w:r>
      <w:r>
        <w:t>gran</w:t>
      </w:r>
      <w:r>
        <w:rPr>
          <w:spacing w:val="-3"/>
        </w:rPr>
        <w:t xml:space="preserve"> </w:t>
      </w:r>
      <w:r>
        <w:t>esperanza</w:t>
      </w:r>
      <w:r>
        <w:rPr>
          <w:spacing w:val="-3"/>
        </w:rPr>
        <w:t xml:space="preserve"> </w:t>
      </w:r>
      <w:r>
        <w:t>ante</w:t>
      </w:r>
      <w:r>
        <w:rPr>
          <w:spacing w:val="-5"/>
        </w:rPr>
        <w:t xml:space="preserve"> </w:t>
      </w:r>
      <w:r>
        <w:t>la</w:t>
      </w:r>
      <w:r>
        <w:rPr>
          <w:spacing w:val="-3"/>
        </w:rPr>
        <w:t xml:space="preserve"> </w:t>
      </w:r>
      <w:r>
        <w:t>urgencia</w:t>
      </w:r>
      <w:r>
        <w:rPr>
          <w:spacing w:val="-5"/>
        </w:rPr>
        <w:t xml:space="preserve"> </w:t>
      </w:r>
      <w:r>
        <w:t>que reclaman la realidad que viven las personas con uveítis y sus respectivas familias, que buscan una oportunidad de vivir dignamente.</w:t>
      </w:r>
    </w:p>
    <w:p w:rsidR="00186257" w:rsidRDefault="00186257">
      <w:pPr>
        <w:pStyle w:val="Textoindependiente"/>
      </w:pPr>
    </w:p>
    <w:p w:rsidR="00186257" w:rsidRDefault="00186257">
      <w:pPr>
        <w:pStyle w:val="Textoindependiente"/>
      </w:pPr>
    </w:p>
    <w:p w:rsidR="00186257" w:rsidRDefault="00186257">
      <w:pPr>
        <w:pStyle w:val="Textoindependiente"/>
        <w:spacing w:before="112"/>
      </w:pPr>
    </w:p>
    <w:p w:rsidR="00186257" w:rsidRDefault="00000000">
      <w:pPr>
        <w:pStyle w:val="Ttulo1"/>
        <w:numPr>
          <w:ilvl w:val="0"/>
          <w:numId w:val="1"/>
        </w:numPr>
        <w:tabs>
          <w:tab w:val="left" w:pos="342"/>
        </w:tabs>
        <w:ind w:left="342" w:hanging="242"/>
      </w:pPr>
      <w:r>
        <w:t>OBJETIVOS</w:t>
      </w:r>
      <w:r>
        <w:rPr>
          <w:spacing w:val="-6"/>
        </w:rPr>
        <w:t xml:space="preserve"> </w:t>
      </w:r>
      <w:r>
        <w:t>DEL</w:t>
      </w:r>
      <w:r>
        <w:rPr>
          <w:spacing w:val="-5"/>
        </w:rPr>
        <w:t xml:space="preserve"> </w:t>
      </w:r>
      <w:r>
        <w:t>PROYECTO</w:t>
      </w:r>
      <w:r>
        <w:rPr>
          <w:spacing w:val="-4"/>
        </w:rPr>
        <w:t xml:space="preserve"> </w:t>
      </w:r>
      <w:r>
        <w:t>DE</w:t>
      </w:r>
      <w:r>
        <w:rPr>
          <w:spacing w:val="-7"/>
        </w:rPr>
        <w:t xml:space="preserve"> </w:t>
      </w:r>
      <w:r>
        <w:rPr>
          <w:spacing w:val="-4"/>
        </w:rPr>
        <w:t>LEY.</w:t>
      </w:r>
    </w:p>
    <w:p w:rsidR="00186257" w:rsidRDefault="00186257">
      <w:pPr>
        <w:pStyle w:val="Textoindependiente"/>
        <w:spacing w:before="74"/>
        <w:rPr>
          <w:b/>
        </w:rPr>
      </w:pPr>
    </w:p>
    <w:p w:rsidR="00186257" w:rsidRDefault="00000000">
      <w:pPr>
        <w:pStyle w:val="Textoindependiente"/>
        <w:spacing w:before="1" w:line="276" w:lineRule="auto"/>
        <w:ind w:left="100" w:right="115"/>
        <w:jc w:val="both"/>
      </w:pPr>
      <w:r>
        <w:t>El presente proyecto de ley tiene por objeto la promulgación de una ley con un único articulado, que fije el día 26 de mayo de cada año como el día nacional para concientizar sobre la existencia de la Uveítis, llevando a efecto acciones de visibilidad, de educación en salud, de derechos y de fomento en la detección, al acceso de diagnósticos oportunos y a terapias más eficaces para los pacientes y sus familias.</w:t>
      </w:r>
    </w:p>
    <w:p w:rsidR="00186257" w:rsidRDefault="00186257">
      <w:pPr>
        <w:pStyle w:val="Textoindependiente"/>
        <w:spacing w:before="39"/>
      </w:pPr>
    </w:p>
    <w:p w:rsidR="00186257" w:rsidRDefault="00000000">
      <w:pPr>
        <w:pStyle w:val="Ttulo1"/>
        <w:numPr>
          <w:ilvl w:val="0"/>
          <w:numId w:val="1"/>
        </w:numPr>
        <w:tabs>
          <w:tab w:val="left" w:pos="403"/>
        </w:tabs>
        <w:spacing w:before="1"/>
        <w:ind w:left="403" w:hanging="303"/>
      </w:pPr>
      <w:r>
        <w:rPr>
          <w:spacing w:val="-2"/>
        </w:rPr>
        <w:t>ARTICULADO.</w:t>
      </w:r>
    </w:p>
    <w:p w:rsidR="00186257" w:rsidRDefault="00186257">
      <w:pPr>
        <w:pStyle w:val="Textoindependiente"/>
        <w:spacing w:before="74"/>
        <w:rPr>
          <w:b/>
        </w:rPr>
      </w:pPr>
    </w:p>
    <w:p w:rsidR="00186257" w:rsidRDefault="00000000">
      <w:pPr>
        <w:pStyle w:val="Prrafodelista"/>
        <w:numPr>
          <w:ilvl w:val="1"/>
          <w:numId w:val="1"/>
        </w:numPr>
        <w:tabs>
          <w:tab w:val="left" w:pos="418"/>
        </w:tabs>
        <w:spacing w:line="276" w:lineRule="auto"/>
        <w:ind w:right="116" w:firstLine="0"/>
      </w:pPr>
      <w:r>
        <w:t>Declárese</w:t>
      </w:r>
      <w:r>
        <w:rPr>
          <w:spacing w:val="68"/>
        </w:rPr>
        <w:t xml:space="preserve"> </w:t>
      </w:r>
      <w:r>
        <w:t>el</w:t>
      </w:r>
      <w:r>
        <w:rPr>
          <w:spacing w:val="69"/>
        </w:rPr>
        <w:t xml:space="preserve"> </w:t>
      </w:r>
      <w:r>
        <w:t>día</w:t>
      </w:r>
      <w:r>
        <w:rPr>
          <w:spacing w:val="72"/>
        </w:rPr>
        <w:t xml:space="preserve"> </w:t>
      </w:r>
      <w:r>
        <w:t>26</w:t>
      </w:r>
      <w:r>
        <w:rPr>
          <w:spacing w:val="68"/>
        </w:rPr>
        <w:t xml:space="preserve"> </w:t>
      </w:r>
      <w:r>
        <w:t>de</w:t>
      </w:r>
      <w:r>
        <w:rPr>
          <w:spacing w:val="67"/>
        </w:rPr>
        <w:t xml:space="preserve"> </w:t>
      </w:r>
      <w:r>
        <w:t>mayo</w:t>
      </w:r>
      <w:r>
        <w:rPr>
          <w:spacing w:val="70"/>
        </w:rPr>
        <w:t xml:space="preserve"> </w:t>
      </w:r>
      <w:r>
        <w:t>de</w:t>
      </w:r>
      <w:r>
        <w:rPr>
          <w:spacing w:val="67"/>
        </w:rPr>
        <w:t xml:space="preserve"> </w:t>
      </w:r>
      <w:r>
        <w:t>cada</w:t>
      </w:r>
      <w:r>
        <w:rPr>
          <w:spacing w:val="68"/>
        </w:rPr>
        <w:t xml:space="preserve"> </w:t>
      </w:r>
      <w:r>
        <w:t>año,</w:t>
      </w:r>
      <w:r>
        <w:rPr>
          <w:spacing w:val="69"/>
        </w:rPr>
        <w:t xml:space="preserve"> </w:t>
      </w:r>
      <w:r>
        <w:t>como</w:t>
      </w:r>
      <w:r>
        <w:rPr>
          <w:spacing w:val="68"/>
        </w:rPr>
        <w:t xml:space="preserve"> </w:t>
      </w:r>
      <w:r>
        <w:t>el</w:t>
      </w:r>
      <w:r>
        <w:rPr>
          <w:spacing w:val="67"/>
        </w:rPr>
        <w:t xml:space="preserve"> </w:t>
      </w:r>
      <w:r>
        <w:t>día</w:t>
      </w:r>
      <w:r>
        <w:rPr>
          <w:spacing w:val="68"/>
        </w:rPr>
        <w:t xml:space="preserve"> </w:t>
      </w:r>
      <w:r>
        <w:t>nacional</w:t>
      </w:r>
      <w:r>
        <w:rPr>
          <w:spacing w:val="69"/>
        </w:rPr>
        <w:t xml:space="preserve"> </w:t>
      </w:r>
      <w:r>
        <w:t>destinado</w:t>
      </w:r>
      <w:r>
        <w:rPr>
          <w:spacing w:val="67"/>
        </w:rPr>
        <w:t xml:space="preserve"> </w:t>
      </w:r>
      <w:r>
        <w:t>a</w:t>
      </w:r>
      <w:r>
        <w:rPr>
          <w:spacing w:val="68"/>
        </w:rPr>
        <w:t xml:space="preserve"> </w:t>
      </w:r>
      <w:r>
        <w:t>la concientización sobre la Uveítis</w:t>
      </w:r>
    </w:p>
    <w:p w:rsidR="00186257" w:rsidRDefault="00186257">
      <w:pPr>
        <w:pStyle w:val="Textoindependiente"/>
      </w:pPr>
    </w:p>
    <w:p w:rsidR="00186257" w:rsidRDefault="00186257">
      <w:pPr>
        <w:pStyle w:val="Textoindependiente"/>
        <w:spacing w:before="76"/>
      </w:pPr>
    </w:p>
    <w:p w:rsidR="00186257" w:rsidRDefault="00000000">
      <w:pPr>
        <w:pStyle w:val="Ttulo1"/>
        <w:spacing w:before="1"/>
        <w:ind w:right="17" w:firstLine="0"/>
        <w:jc w:val="center"/>
      </w:pPr>
      <w:r>
        <w:rPr>
          <w:spacing w:val="-2"/>
        </w:rPr>
        <w:t>ANEXOS.</w:t>
      </w:r>
    </w:p>
    <w:p w:rsidR="00186257" w:rsidRDefault="00186257">
      <w:pPr>
        <w:pStyle w:val="Textoindependiente"/>
        <w:spacing w:before="77"/>
        <w:rPr>
          <w:b/>
        </w:rPr>
      </w:pPr>
    </w:p>
    <w:p w:rsidR="00186257" w:rsidRDefault="00000000">
      <w:pPr>
        <w:pStyle w:val="Prrafodelista"/>
        <w:numPr>
          <w:ilvl w:val="2"/>
          <w:numId w:val="1"/>
        </w:numPr>
        <w:tabs>
          <w:tab w:val="left" w:pos="818"/>
        </w:tabs>
        <w:spacing w:before="1"/>
        <w:ind w:left="818" w:hanging="358"/>
      </w:pPr>
      <w:r>
        <w:t>Silva,</w:t>
      </w:r>
      <w:r>
        <w:rPr>
          <w:spacing w:val="-7"/>
        </w:rPr>
        <w:t xml:space="preserve"> </w:t>
      </w:r>
      <w:r>
        <w:t>L.,</w:t>
      </w:r>
      <w:r>
        <w:rPr>
          <w:spacing w:val="-4"/>
        </w:rPr>
        <w:t xml:space="preserve"> </w:t>
      </w:r>
      <w:r>
        <w:t>Arantes,</w:t>
      </w:r>
      <w:r>
        <w:rPr>
          <w:spacing w:val="-4"/>
        </w:rPr>
        <w:t xml:space="preserve"> </w:t>
      </w:r>
      <w:r>
        <w:t>T.,</w:t>
      </w:r>
      <w:r>
        <w:rPr>
          <w:spacing w:val="-6"/>
        </w:rPr>
        <w:t xml:space="preserve"> </w:t>
      </w:r>
      <w:r>
        <w:t>Vaz,</w:t>
      </w:r>
      <w:r>
        <w:rPr>
          <w:spacing w:val="-3"/>
        </w:rPr>
        <w:t xml:space="preserve"> </w:t>
      </w:r>
      <w:r>
        <w:t>T.,</w:t>
      </w:r>
      <w:r>
        <w:rPr>
          <w:spacing w:val="-6"/>
        </w:rPr>
        <w:t xml:space="preserve"> </w:t>
      </w:r>
      <w:r>
        <w:t>Belfort,</w:t>
      </w:r>
      <w:r>
        <w:rPr>
          <w:spacing w:val="-5"/>
        </w:rPr>
        <w:t xml:space="preserve"> </w:t>
      </w:r>
      <w:r>
        <w:t>R.,</w:t>
      </w:r>
      <w:r>
        <w:rPr>
          <w:spacing w:val="-6"/>
        </w:rPr>
        <w:t xml:space="preserve"> </w:t>
      </w:r>
      <w:r>
        <w:t>Muccioli,</w:t>
      </w:r>
      <w:r>
        <w:rPr>
          <w:spacing w:val="-3"/>
        </w:rPr>
        <w:t xml:space="preserve"> </w:t>
      </w:r>
      <w:r>
        <w:t>C.,</w:t>
      </w:r>
      <w:r>
        <w:rPr>
          <w:spacing w:val="-4"/>
        </w:rPr>
        <w:t xml:space="preserve"> </w:t>
      </w:r>
      <w:r>
        <w:t>Casaroli-Marano,</w:t>
      </w:r>
      <w:r>
        <w:rPr>
          <w:spacing w:val="-5"/>
        </w:rPr>
        <w:t xml:space="preserve"> </w:t>
      </w:r>
      <w:r>
        <w:t>R.,</w:t>
      </w:r>
      <w:r>
        <w:rPr>
          <w:spacing w:val="-4"/>
        </w:rPr>
        <w:t xml:space="preserve"> </w:t>
      </w:r>
      <w:r>
        <w:t>&amp;</w:t>
      </w:r>
      <w:r>
        <w:rPr>
          <w:spacing w:val="-4"/>
        </w:rPr>
        <w:t xml:space="preserve"> </w:t>
      </w:r>
      <w:r>
        <w:rPr>
          <w:spacing w:val="-2"/>
        </w:rPr>
        <w:t>Belfort,</w:t>
      </w:r>
    </w:p>
    <w:p w:rsidR="00186257" w:rsidRDefault="00000000">
      <w:pPr>
        <w:pStyle w:val="Textoindependiente"/>
        <w:spacing w:before="20" w:line="259" w:lineRule="auto"/>
        <w:ind w:left="820" w:right="187"/>
      </w:pPr>
      <w:r>
        <w:t>R. (2019). Quality of Life and Psychological Aspects in Patients with Visual Impairment</w:t>
      </w:r>
      <w:r>
        <w:rPr>
          <w:spacing w:val="-4"/>
        </w:rPr>
        <w:t xml:space="preserve"> </w:t>
      </w:r>
      <w:r>
        <w:t>Secondary</w:t>
      </w:r>
      <w:r>
        <w:rPr>
          <w:spacing w:val="-5"/>
        </w:rPr>
        <w:t xml:space="preserve"> </w:t>
      </w:r>
      <w:r>
        <w:t>to</w:t>
      </w:r>
      <w:r>
        <w:rPr>
          <w:spacing w:val="-3"/>
        </w:rPr>
        <w:t xml:space="preserve"> </w:t>
      </w:r>
      <w:r>
        <w:t>Uveitis:</w:t>
      </w:r>
      <w:r>
        <w:rPr>
          <w:spacing w:val="-4"/>
        </w:rPr>
        <w:t xml:space="preserve"> </w:t>
      </w:r>
      <w:r>
        <w:t>A</w:t>
      </w:r>
      <w:r>
        <w:rPr>
          <w:spacing w:val="-3"/>
        </w:rPr>
        <w:t xml:space="preserve"> </w:t>
      </w:r>
      <w:r>
        <w:t>Clinical</w:t>
      </w:r>
      <w:r>
        <w:rPr>
          <w:spacing w:val="-4"/>
        </w:rPr>
        <w:t xml:space="preserve"> </w:t>
      </w:r>
      <w:r>
        <w:t>Study</w:t>
      </w:r>
      <w:r>
        <w:rPr>
          <w:spacing w:val="-2"/>
        </w:rPr>
        <w:t xml:space="preserve"> </w:t>
      </w:r>
      <w:r>
        <w:t>in</w:t>
      </w:r>
      <w:r>
        <w:rPr>
          <w:spacing w:val="-3"/>
        </w:rPr>
        <w:t xml:space="preserve"> </w:t>
      </w:r>
      <w:r>
        <w:t>a</w:t>
      </w:r>
      <w:r>
        <w:rPr>
          <w:spacing w:val="-2"/>
        </w:rPr>
        <w:t xml:space="preserve"> </w:t>
      </w:r>
      <w:r>
        <w:t>Tertiary</w:t>
      </w:r>
      <w:r>
        <w:rPr>
          <w:spacing w:val="-2"/>
        </w:rPr>
        <w:t xml:space="preserve"> </w:t>
      </w:r>
      <w:r>
        <w:t>Care</w:t>
      </w:r>
      <w:r>
        <w:rPr>
          <w:spacing w:val="-3"/>
        </w:rPr>
        <w:t xml:space="preserve"> </w:t>
      </w:r>
      <w:r>
        <w:t>Hospital</w:t>
      </w:r>
      <w:r>
        <w:rPr>
          <w:spacing w:val="-4"/>
        </w:rPr>
        <w:t xml:space="preserve"> </w:t>
      </w:r>
      <w:r>
        <w:t>in Brazil. Ocular Immunology &amp; Inflammation, 27(1), 99–107</w:t>
      </w:r>
    </w:p>
    <w:p w:rsidR="00186257" w:rsidRDefault="00186257">
      <w:pPr>
        <w:pStyle w:val="Textoindependiente"/>
        <w:spacing w:before="197"/>
      </w:pPr>
    </w:p>
    <w:p w:rsidR="00186257" w:rsidRDefault="00000000">
      <w:pPr>
        <w:pStyle w:val="Prrafodelista"/>
        <w:numPr>
          <w:ilvl w:val="2"/>
          <w:numId w:val="1"/>
        </w:numPr>
        <w:tabs>
          <w:tab w:val="left" w:pos="818"/>
          <w:tab w:val="left" w:pos="820"/>
        </w:tabs>
        <w:spacing w:line="259" w:lineRule="auto"/>
        <w:ind w:right="513"/>
      </w:pPr>
      <w:r>
        <w:t>Krishna, U., Ajanaku, D., Denniston, A., &amp; Gkika, T. (2017). Uveitis: a sight- threatening</w:t>
      </w:r>
      <w:r>
        <w:rPr>
          <w:spacing w:val="-4"/>
        </w:rPr>
        <w:t xml:space="preserve"> </w:t>
      </w:r>
      <w:r>
        <w:t>disease</w:t>
      </w:r>
      <w:r>
        <w:rPr>
          <w:spacing w:val="-4"/>
        </w:rPr>
        <w:t xml:space="preserve"> </w:t>
      </w:r>
      <w:r>
        <w:t>which</w:t>
      </w:r>
      <w:r>
        <w:rPr>
          <w:spacing w:val="-4"/>
        </w:rPr>
        <w:t xml:space="preserve"> </w:t>
      </w:r>
      <w:r>
        <w:t>can</w:t>
      </w:r>
      <w:r>
        <w:rPr>
          <w:spacing w:val="-3"/>
        </w:rPr>
        <w:t xml:space="preserve"> </w:t>
      </w:r>
      <w:r>
        <w:t>impact</w:t>
      </w:r>
      <w:r>
        <w:rPr>
          <w:spacing w:val="-5"/>
        </w:rPr>
        <w:t xml:space="preserve"> </w:t>
      </w:r>
      <w:r>
        <w:t>all</w:t>
      </w:r>
      <w:r>
        <w:rPr>
          <w:spacing w:val="-4"/>
        </w:rPr>
        <w:t xml:space="preserve"> </w:t>
      </w:r>
      <w:r>
        <w:t>systems.</w:t>
      </w:r>
      <w:r>
        <w:rPr>
          <w:spacing w:val="-3"/>
        </w:rPr>
        <w:t xml:space="preserve"> </w:t>
      </w:r>
      <w:r>
        <w:t>Postgraduate</w:t>
      </w:r>
      <w:r>
        <w:rPr>
          <w:spacing w:val="-6"/>
        </w:rPr>
        <w:t xml:space="preserve"> </w:t>
      </w:r>
      <w:r>
        <w:t>Medical</w:t>
      </w:r>
      <w:r>
        <w:rPr>
          <w:spacing w:val="-5"/>
        </w:rPr>
        <w:t xml:space="preserve"> </w:t>
      </w:r>
      <w:r>
        <w:t>Journal, 93(1106), 766–773.</w:t>
      </w:r>
    </w:p>
    <w:p w:rsidR="00186257" w:rsidRDefault="00186257">
      <w:pPr>
        <w:spacing w:line="259" w:lineRule="auto"/>
        <w:sectPr w:rsidR="00186257" w:rsidSect="00294249">
          <w:pgSz w:w="11910" w:h="16840"/>
          <w:pgMar w:top="1360" w:right="1320" w:bottom="280" w:left="1340" w:header="720" w:footer="720" w:gutter="0"/>
          <w:cols w:space="720"/>
        </w:sectPr>
      </w:pPr>
    </w:p>
    <w:p w:rsidR="00186257" w:rsidRDefault="00000000">
      <w:pPr>
        <w:pStyle w:val="Prrafodelista"/>
        <w:numPr>
          <w:ilvl w:val="2"/>
          <w:numId w:val="1"/>
        </w:numPr>
        <w:tabs>
          <w:tab w:val="left" w:pos="818"/>
          <w:tab w:val="left" w:pos="820"/>
        </w:tabs>
        <w:spacing w:before="69" w:line="259" w:lineRule="auto"/>
        <w:ind w:right="407"/>
      </w:pPr>
      <w:r>
        <w:t>Urzúa,</w:t>
      </w:r>
      <w:r>
        <w:rPr>
          <w:spacing w:val="-4"/>
        </w:rPr>
        <w:t xml:space="preserve"> </w:t>
      </w:r>
      <w:r>
        <w:t>C.,</w:t>
      </w:r>
      <w:r>
        <w:rPr>
          <w:spacing w:val="-4"/>
        </w:rPr>
        <w:t xml:space="preserve"> </w:t>
      </w:r>
      <w:r>
        <w:t>Kumarasamy,</w:t>
      </w:r>
      <w:r>
        <w:rPr>
          <w:spacing w:val="-4"/>
        </w:rPr>
        <w:t xml:space="preserve"> </w:t>
      </w:r>
      <w:r>
        <w:t>C.,</w:t>
      </w:r>
      <w:r>
        <w:rPr>
          <w:spacing w:val="-4"/>
        </w:rPr>
        <w:t xml:space="preserve"> </w:t>
      </w:r>
      <w:r>
        <w:t>&amp;</w:t>
      </w:r>
      <w:r>
        <w:rPr>
          <w:spacing w:val="-3"/>
        </w:rPr>
        <w:t xml:space="preserve"> </w:t>
      </w:r>
      <w:r>
        <w:t>Vega,</w:t>
      </w:r>
      <w:r>
        <w:rPr>
          <w:spacing w:val="-1"/>
        </w:rPr>
        <w:t xml:space="preserve"> </w:t>
      </w:r>
      <w:r>
        <w:t>S.</w:t>
      </w:r>
      <w:r>
        <w:rPr>
          <w:spacing w:val="-4"/>
        </w:rPr>
        <w:t xml:space="preserve"> </w:t>
      </w:r>
      <w:r>
        <w:t>(2020).</w:t>
      </w:r>
      <w:r>
        <w:rPr>
          <w:spacing w:val="-1"/>
        </w:rPr>
        <w:t xml:space="preserve"> </w:t>
      </w:r>
      <w:r>
        <w:t>Uveítis.</w:t>
      </w:r>
      <w:r>
        <w:rPr>
          <w:spacing w:val="-1"/>
        </w:rPr>
        <w:t xml:space="preserve"> </w:t>
      </w:r>
      <w:r>
        <w:t>En</w:t>
      </w:r>
      <w:r>
        <w:rPr>
          <w:spacing w:val="-3"/>
        </w:rPr>
        <w:t xml:space="preserve"> </w:t>
      </w:r>
      <w:r>
        <w:t>C.</w:t>
      </w:r>
      <w:r>
        <w:rPr>
          <w:spacing w:val="-1"/>
        </w:rPr>
        <w:t xml:space="preserve"> </w:t>
      </w:r>
      <w:r>
        <w:t>Cumsille</w:t>
      </w:r>
      <w:r>
        <w:rPr>
          <w:spacing w:val="-3"/>
        </w:rPr>
        <w:t xml:space="preserve"> </w:t>
      </w:r>
      <w:r>
        <w:t>&amp;</w:t>
      </w:r>
      <w:r>
        <w:rPr>
          <w:spacing w:val="-5"/>
        </w:rPr>
        <w:t xml:space="preserve"> </w:t>
      </w:r>
      <w:r>
        <w:t>T.</w:t>
      </w:r>
      <w:r>
        <w:rPr>
          <w:spacing w:val="-2"/>
        </w:rPr>
        <w:t xml:space="preserve"> </w:t>
      </w:r>
      <w:r>
        <w:t>Rojas (Eds.), Manual de Oftalmología (3ra ed., pp. 1-78). Editorial Departamento de Oftalmología, Facultad de Medicina. Universidad de Chile.</w:t>
      </w:r>
    </w:p>
    <w:p w:rsidR="00186257" w:rsidRDefault="00186257">
      <w:pPr>
        <w:pStyle w:val="Textoindependiente"/>
        <w:spacing w:before="197"/>
      </w:pPr>
    </w:p>
    <w:p w:rsidR="00186257" w:rsidRDefault="00000000">
      <w:pPr>
        <w:pStyle w:val="Prrafodelista"/>
        <w:numPr>
          <w:ilvl w:val="2"/>
          <w:numId w:val="1"/>
        </w:numPr>
        <w:tabs>
          <w:tab w:val="left" w:pos="818"/>
          <w:tab w:val="left" w:pos="820"/>
        </w:tabs>
        <w:spacing w:line="256" w:lineRule="auto"/>
        <w:ind w:right="537"/>
      </w:pPr>
      <w:r>
        <w:t>Concha,</w:t>
      </w:r>
      <w:r>
        <w:rPr>
          <w:spacing w:val="-1"/>
        </w:rPr>
        <w:t xml:space="preserve"> </w:t>
      </w:r>
      <w:r>
        <w:t>L.,</w:t>
      </w:r>
      <w:r>
        <w:rPr>
          <w:spacing w:val="-4"/>
        </w:rPr>
        <w:t xml:space="preserve"> </w:t>
      </w:r>
      <w:r>
        <w:t>&amp;</w:t>
      </w:r>
      <w:r>
        <w:rPr>
          <w:spacing w:val="-3"/>
        </w:rPr>
        <w:t xml:space="preserve"> </w:t>
      </w:r>
      <w:r>
        <w:t>Cheja,</w:t>
      </w:r>
      <w:r>
        <w:rPr>
          <w:spacing w:val="-4"/>
        </w:rPr>
        <w:t xml:space="preserve"> </w:t>
      </w:r>
      <w:r>
        <w:t>R.</w:t>
      </w:r>
      <w:r>
        <w:rPr>
          <w:spacing w:val="-4"/>
        </w:rPr>
        <w:t xml:space="preserve"> </w:t>
      </w:r>
      <w:r>
        <w:t>(2021).</w:t>
      </w:r>
      <w:r>
        <w:rPr>
          <w:spacing w:val="-4"/>
        </w:rPr>
        <w:t xml:space="preserve"> </w:t>
      </w:r>
      <w:r>
        <w:t>Impacto</w:t>
      </w:r>
      <w:r>
        <w:rPr>
          <w:spacing w:val="-5"/>
        </w:rPr>
        <w:t xml:space="preserve"> </w:t>
      </w:r>
      <w:r>
        <w:t>psicosocial</w:t>
      </w:r>
      <w:r>
        <w:rPr>
          <w:spacing w:val="-4"/>
        </w:rPr>
        <w:t xml:space="preserve"> </w:t>
      </w:r>
      <w:r>
        <w:t>y</w:t>
      </w:r>
      <w:r>
        <w:rPr>
          <w:spacing w:val="-2"/>
        </w:rPr>
        <w:t xml:space="preserve"> </w:t>
      </w:r>
      <w:r>
        <w:t>económico</w:t>
      </w:r>
      <w:r>
        <w:rPr>
          <w:spacing w:val="-3"/>
        </w:rPr>
        <w:t xml:space="preserve"> </w:t>
      </w:r>
      <w:r>
        <w:t>de</w:t>
      </w:r>
      <w:r>
        <w:rPr>
          <w:spacing w:val="-5"/>
        </w:rPr>
        <w:t xml:space="preserve"> </w:t>
      </w:r>
      <w:r>
        <w:t>la</w:t>
      </w:r>
      <w:r>
        <w:rPr>
          <w:spacing w:val="-3"/>
        </w:rPr>
        <w:t xml:space="preserve"> </w:t>
      </w:r>
      <w:r>
        <w:t>uveítis</w:t>
      </w:r>
      <w:r>
        <w:rPr>
          <w:spacing w:val="-2"/>
        </w:rPr>
        <w:t xml:space="preserve"> </w:t>
      </w:r>
      <w:r>
        <w:t>en México. Gaceta médica de México, 157(2), 147-153.</w:t>
      </w:r>
    </w:p>
    <w:p w:rsidR="00186257" w:rsidRDefault="00186257">
      <w:pPr>
        <w:pStyle w:val="Textoindependiente"/>
        <w:spacing w:before="204"/>
      </w:pPr>
    </w:p>
    <w:p w:rsidR="00186257" w:rsidRDefault="00000000">
      <w:pPr>
        <w:pStyle w:val="Prrafodelista"/>
        <w:numPr>
          <w:ilvl w:val="2"/>
          <w:numId w:val="1"/>
        </w:numPr>
        <w:tabs>
          <w:tab w:val="left" w:pos="818"/>
          <w:tab w:val="left" w:pos="820"/>
        </w:tabs>
        <w:spacing w:line="256" w:lineRule="auto"/>
        <w:ind w:right="512"/>
      </w:pPr>
      <w:r>
        <w:t>Liberman,</w:t>
      </w:r>
      <w:r>
        <w:rPr>
          <w:spacing w:val="-3"/>
        </w:rPr>
        <w:t xml:space="preserve"> </w:t>
      </w:r>
      <w:r>
        <w:t>P.,</w:t>
      </w:r>
      <w:r>
        <w:rPr>
          <w:spacing w:val="-3"/>
        </w:rPr>
        <w:t xml:space="preserve"> </w:t>
      </w:r>
      <w:r>
        <w:t>Gauro,</w:t>
      </w:r>
      <w:r>
        <w:rPr>
          <w:spacing w:val="-3"/>
        </w:rPr>
        <w:t xml:space="preserve"> </w:t>
      </w:r>
      <w:r>
        <w:t>F.,</w:t>
      </w:r>
      <w:r>
        <w:rPr>
          <w:spacing w:val="-3"/>
        </w:rPr>
        <w:t xml:space="preserve"> </w:t>
      </w:r>
      <w:r>
        <w:t>Berger,</w:t>
      </w:r>
      <w:r>
        <w:rPr>
          <w:spacing w:val="-4"/>
        </w:rPr>
        <w:t xml:space="preserve"> </w:t>
      </w:r>
      <w:r>
        <w:t>O., &amp;</w:t>
      </w:r>
      <w:r>
        <w:rPr>
          <w:spacing w:val="-5"/>
        </w:rPr>
        <w:t xml:space="preserve"> </w:t>
      </w:r>
      <w:r>
        <w:t>Urzua, C.</w:t>
      </w:r>
      <w:r>
        <w:rPr>
          <w:spacing w:val="-5"/>
        </w:rPr>
        <w:t xml:space="preserve"> </w:t>
      </w:r>
      <w:r>
        <w:t>A. (2015).</w:t>
      </w:r>
      <w:r>
        <w:rPr>
          <w:spacing w:val="-3"/>
        </w:rPr>
        <w:t xml:space="preserve"> </w:t>
      </w:r>
      <w:r>
        <w:t>Causes</w:t>
      </w:r>
      <w:r>
        <w:rPr>
          <w:spacing w:val="-4"/>
        </w:rPr>
        <w:t xml:space="preserve"> </w:t>
      </w:r>
      <w:r>
        <w:t>of</w:t>
      </w:r>
      <w:r>
        <w:rPr>
          <w:spacing w:val="-3"/>
        </w:rPr>
        <w:t xml:space="preserve"> </w:t>
      </w:r>
      <w:r>
        <w:t>Uveitis</w:t>
      </w:r>
      <w:r>
        <w:rPr>
          <w:spacing w:val="-1"/>
        </w:rPr>
        <w:t xml:space="preserve"> </w:t>
      </w:r>
      <w:r>
        <w:t>in</w:t>
      </w:r>
      <w:r>
        <w:rPr>
          <w:spacing w:val="-2"/>
        </w:rPr>
        <w:t xml:space="preserve"> </w:t>
      </w:r>
      <w:r>
        <w:t>a Tertiary Center in Chile: A Cross-sectional Retrospective Review. Ocular immunology and inflammation, 23(4), 339–345.</w:t>
      </w:r>
    </w:p>
    <w:p w:rsidR="00186257" w:rsidRDefault="00186257">
      <w:pPr>
        <w:pStyle w:val="Textoindependiente"/>
        <w:spacing w:before="205"/>
      </w:pPr>
    </w:p>
    <w:p w:rsidR="00186257" w:rsidRDefault="00000000">
      <w:pPr>
        <w:pStyle w:val="Prrafodelista"/>
        <w:numPr>
          <w:ilvl w:val="2"/>
          <w:numId w:val="1"/>
        </w:numPr>
        <w:tabs>
          <w:tab w:val="left" w:pos="818"/>
          <w:tab w:val="left" w:pos="820"/>
        </w:tabs>
        <w:spacing w:line="259" w:lineRule="auto"/>
        <w:ind w:right="174"/>
      </w:pPr>
      <w:r>
        <w:t>Jaffe, G. J., Dick, A. D., Brézin, A. P., Nguyen, Q. D., Thorne, J. E., Kestelyn, P., Barisani-Asenbauer,</w:t>
      </w:r>
      <w:r>
        <w:rPr>
          <w:spacing w:val="-5"/>
        </w:rPr>
        <w:t xml:space="preserve"> </w:t>
      </w:r>
      <w:r>
        <w:t>T.,</w:t>
      </w:r>
      <w:r>
        <w:rPr>
          <w:spacing w:val="-6"/>
        </w:rPr>
        <w:t xml:space="preserve"> </w:t>
      </w:r>
      <w:r>
        <w:t>Franco,</w:t>
      </w:r>
      <w:r>
        <w:rPr>
          <w:spacing w:val="-5"/>
        </w:rPr>
        <w:t xml:space="preserve"> </w:t>
      </w:r>
      <w:r>
        <w:t>P.,</w:t>
      </w:r>
      <w:r>
        <w:rPr>
          <w:spacing w:val="-2"/>
        </w:rPr>
        <w:t xml:space="preserve"> </w:t>
      </w:r>
      <w:r>
        <w:t>Heiligenhaus,</w:t>
      </w:r>
      <w:r>
        <w:rPr>
          <w:spacing w:val="-2"/>
        </w:rPr>
        <w:t xml:space="preserve"> </w:t>
      </w:r>
      <w:r>
        <w:t>A.,</w:t>
      </w:r>
      <w:r>
        <w:rPr>
          <w:spacing w:val="-5"/>
        </w:rPr>
        <w:t xml:space="preserve"> </w:t>
      </w:r>
      <w:r>
        <w:t>Scales,</w:t>
      </w:r>
      <w:r>
        <w:rPr>
          <w:spacing w:val="-3"/>
        </w:rPr>
        <w:t xml:space="preserve"> </w:t>
      </w:r>
      <w:r>
        <w:t>D.,</w:t>
      </w:r>
      <w:r>
        <w:rPr>
          <w:spacing w:val="-5"/>
        </w:rPr>
        <w:t xml:space="preserve"> </w:t>
      </w:r>
      <w:r>
        <w:t>Chu,</w:t>
      </w:r>
      <w:r>
        <w:rPr>
          <w:spacing w:val="-5"/>
        </w:rPr>
        <w:t xml:space="preserve"> </w:t>
      </w:r>
      <w:r>
        <w:t>D.</w:t>
      </w:r>
      <w:r>
        <w:rPr>
          <w:spacing w:val="-6"/>
        </w:rPr>
        <w:t xml:space="preserve"> </w:t>
      </w:r>
      <w:r>
        <w:t>S.,</w:t>
      </w:r>
      <w:r>
        <w:rPr>
          <w:spacing w:val="-2"/>
        </w:rPr>
        <w:t xml:space="preserve"> </w:t>
      </w:r>
      <w:r>
        <w:t>Camez, A.,</w:t>
      </w:r>
      <w:r>
        <w:rPr>
          <w:spacing w:val="-2"/>
        </w:rPr>
        <w:t xml:space="preserve"> </w:t>
      </w:r>
      <w:r>
        <w:t>Kwatra,</w:t>
      </w:r>
      <w:r>
        <w:rPr>
          <w:spacing w:val="-2"/>
        </w:rPr>
        <w:t xml:space="preserve"> </w:t>
      </w:r>
      <w:r>
        <w:t>N.</w:t>
      </w:r>
      <w:r>
        <w:rPr>
          <w:spacing w:val="-2"/>
        </w:rPr>
        <w:t xml:space="preserve"> </w:t>
      </w:r>
      <w:r>
        <w:t>V.,</w:t>
      </w:r>
      <w:r>
        <w:rPr>
          <w:spacing w:val="-2"/>
        </w:rPr>
        <w:t xml:space="preserve"> </w:t>
      </w:r>
      <w:r>
        <w:t>Song,</w:t>
      </w:r>
      <w:r>
        <w:rPr>
          <w:spacing w:val="-5"/>
        </w:rPr>
        <w:t xml:space="preserve"> </w:t>
      </w:r>
      <w:r>
        <w:t>A.</w:t>
      </w:r>
      <w:r>
        <w:rPr>
          <w:spacing w:val="-2"/>
        </w:rPr>
        <w:t xml:space="preserve"> </w:t>
      </w:r>
      <w:r>
        <w:t>P.,</w:t>
      </w:r>
      <w:r>
        <w:rPr>
          <w:spacing w:val="-2"/>
        </w:rPr>
        <w:t xml:space="preserve"> </w:t>
      </w:r>
      <w:r>
        <w:t>Kron,</w:t>
      </w:r>
      <w:r>
        <w:rPr>
          <w:spacing w:val="-5"/>
        </w:rPr>
        <w:t xml:space="preserve"> </w:t>
      </w:r>
      <w:r>
        <w:t>M.,</w:t>
      </w:r>
      <w:r>
        <w:rPr>
          <w:spacing w:val="-5"/>
        </w:rPr>
        <w:t xml:space="preserve"> </w:t>
      </w:r>
      <w:r>
        <w:t>Tari,</w:t>
      </w:r>
      <w:r>
        <w:rPr>
          <w:spacing w:val="-2"/>
        </w:rPr>
        <w:t xml:space="preserve"> </w:t>
      </w:r>
      <w:r>
        <w:t>S.,</w:t>
      </w:r>
      <w:r>
        <w:rPr>
          <w:spacing w:val="-6"/>
        </w:rPr>
        <w:t xml:space="preserve"> </w:t>
      </w:r>
      <w:r>
        <w:t>&amp;</w:t>
      </w:r>
      <w:r>
        <w:rPr>
          <w:spacing w:val="-4"/>
        </w:rPr>
        <w:t xml:space="preserve"> </w:t>
      </w:r>
      <w:r>
        <w:t>Suhler,</w:t>
      </w:r>
      <w:r>
        <w:rPr>
          <w:spacing w:val="-2"/>
        </w:rPr>
        <w:t xml:space="preserve"> </w:t>
      </w:r>
      <w:r>
        <w:t>E.</w:t>
      </w:r>
      <w:r>
        <w:rPr>
          <w:spacing w:val="-2"/>
        </w:rPr>
        <w:t xml:space="preserve"> </w:t>
      </w:r>
      <w:r>
        <w:t>B.</w:t>
      </w:r>
      <w:r>
        <w:rPr>
          <w:spacing w:val="-5"/>
        </w:rPr>
        <w:t xml:space="preserve"> </w:t>
      </w:r>
      <w:r>
        <w:t>(2016).</w:t>
      </w:r>
      <w:r>
        <w:rPr>
          <w:spacing w:val="-2"/>
        </w:rPr>
        <w:t xml:space="preserve"> </w:t>
      </w:r>
      <w:r>
        <w:t>Adalimumab in Patients with Active Noninfectious Uveitis. The New England journal of medicine, 375(10), 932–943.</w:t>
      </w:r>
    </w:p>
    <w:p w:rsidR="00186257" w:rsidRDefault="00000000">
      <w:pPr>
        <w:pStyle w:val="Prrafodelista"/>
        <w:numPr>
          <w:ilvl w:val="2"/>
          <w:numId w:val="1"/>
        </w:numPr>
        <w:tabs>
          <w:tab w:val="left" w:pos="818"/>
          <w:tab w:val="left" w:pos="820"/>
        </w:tabs>
        <w:spacing w:before="252" w:line="259" w:lineRule="auto"/>
        <w:ind w:right="286"/>
      </w:pPr>
      <w:r>
        <w:t>Nguyen, Q. D., Merrill, P. T., Jaffe, G. J., Dick, A. D., Kurup, S. K., Sheppard, J., Schlaen, A., Pavesio, C., Cimino, L., Van Calster, J., Camez, A. A., Kwatra, N. V., Song,</w:t>
      </w:r>
      <w:r>
        <w:rPr>
          <w:spacing w:val="-2"/>
        </w:rPr>
        <w:t xml:space="preserve"> </w:t>
      </w:r>
      <w:r>
        <w:t>A.</w:t>
      </w:r>
      <w:r>
        <w:rPr>
          <w:spacing w:val="-4"/>
        </w:rPr>
        <w:t xml:space="preserve"> </w:t>
      </w:r>
      <w:r>
        <w:t>P.,</w:t>
      </w:r>
      <w:r>
        <w:rPr>
          <w:spacing w:val="-1"/>
        </w:rPr>
        <w:t xml:space="preserve"> </w:t>
      </w:r>
      <w:r>
        <w:t>Kron,</w:t>
      </w:r>
      <w:r>
        <w:rPr>
          <w:spacing w:val="-4"/>
        </w:rPr>
        <w:t xml:space="preserve"> </w:t>
      </w:r>
      <w:r>
        <w:t>M.,</w:t>
      </w:r>
      <w:r>
        <w:rPr>
          <w:spacing w:val="-4"/>
        </w:rPr>
        <w:t xml:space="preserve"> </w:t>
      </w:r>
      <w:r>
        <w:t>Tari,</w:t>
      </w:r>
      <w:r>
        <w:rPr>
          <w:spacing w:val="-1"/>
        </w:rPr>
        <w:t xml:space="preserve"> </w:t>
      </w:r>
      <w:r>
        <w:t>S.,</w:t>
      </w:r>
      <w:r>
        <w:rPr>
          <w:spacing w:val="-4"/>
        </w:rPr>
        <w:t xml:space="preserve"> </w:t>
      </w:r>
      <w:r>
        <w:t>&amp;</w:t>
      </w:r>
      <w:r>
        <w:rPr>
          <w:spacing w:val="-3"/>
        </w:rPr>
        <w:t xml:space="preserve"> </w:t>
      </w:r>
      <w:r>
        <w:t>Brézin,</w:t>
      </w:r>
      <w:r>
        <w:rPr>
          <w:spacing w:val="-1"/>
        </w:rPr>
        <w:t xml:space="preserve"> </w:t>
      </w:r>
      <w:r>
        <w:t>A.</w:t>
      </w:r>
      <w:r>
        <w:rPr>
          <w:spacing w:val="-1"/>
        </w:rPr>
        <w:t xml:space="preserve"> </w:t>
      </w:r>
      <w:r>
        <w:t>P.</w:t>
      </w:r>
      <w:r>
        <w:rPr>
          <w:spacing w:val="-4"/>
        </w:rPr>
        <w:t xml:space="preserve"> </w:t>
      </w:r>
      <w:r>
        <w:t>(2016).</w:t>
      </w:r>
      <w:r>
        <w:rPr>
          <w:spacing w:val="-4"/>
        </w:rPr>
        <w:t xml:space="preserve"> </w:t>
      </w:r>
      <w:r>
        <w:t>Adalimumab</w:t>
      </w:r>
      <w:r>
        <w:rPr>
          <w:spacing w:val="-5"/>
        </w:rPr>
        <w:t xml:space="preserve"> </w:t>
      </w:r>
      <w:r>
        <w:t>for</w:t>
      </w:r>
      <w:r>
        <w:rPr>
          <w:spacing w:val="-2"/>
        </w:rPr>
        <w:t xml:space="preserve"> </w:t>
      </w:r>
      <w:r>
        <w:t>prevention</w:t>
      </w:r>
      <w:r>
        <w:rPr>
          <w:spacing w:val="-3"/>
        </w:rPr>
        <w:t xml:space="preserve"> </w:t>
      </w:r>
      <w:r>
        <w:t>of uveitic flare in patients with inactive non-infectious uveitis controlled by corticosteroids (VISUAL II): a multicentre, double-masked, randomised, placebo- controlled phase 3 trial. Lancet (London, England), 388(10050), 1183–1192.</w:t>
      </w:r>
    </w:p>
    <w:p w:rsidR="00186257" w:rsidRDefault="00000000">
      <w:pPr>
        <w:pStyle w:val="Prrafodelista"/>
        <w:numPr>
          <w:ilvl w:val="2"/>
          <w:numId w:val="1"/>
        </w:numPr>
        <w:tabs>
          <w:tab w:val="left" w:pos="818"/>
          <w:tab w:val="left" w:pos="820"/>
        </w:tabs>
        <w:spacing w:before="252" w:line="259" w:lineRule="auto"/>
        <w:ind w:right="211"/>
      </w:pPr>
      <w:r>
        <w:t>Suhler, E. B., Adán, A., Brézin, A. P., Fortin, E., Goto, H., Jaffe, G. J., Kaburaki, T., Kramer,</w:t>
      </w:r>
      <w:r>
        <w:rPr>
          <w:spacing w:val="-4"/>
        </w:rPr>
        <w:t xml:space="preserve"> </w:t>
      </w:r>
      <w:r>
        <w:t>M.,</w:t>
      </w:r>
      <w:r>
        <w:rPr>
          <w:spacing w:val="-4"/>
        </w:rPr>
        <w:t xml:space="preserve"> </w:t>
      </w:r>
      <w:r>
        <w:t>Lim,</w:t>
      </w:r>
      <w:r>
        <w:rPr>
          <w:spacing w:val="-1"/>
        </w:rPr>
        <w:t xml:space="preserve"> </w:t>
      </w:r>
      <w:r>
        <w:t>L.</w:t>
      </w:r>
      <w:r>
        <w:rPr>
          <w:spacing w:val="-1"/>
        </w:rPr>
        <w:t xml:space="preserve"> </w:t>
      </w:r>
      <w:r>
        <w:t>L.,</w:t>
      </w:r>
      <w:r>
        <w:rPr>
          <w:spacing w:val="-4"/>
        </w:rPr>
        <w:t xml:space="preserve"> </w:t>
      </w:r>
      <w:r>
        <w:t>Muccioli,</w:t>
      </w:r>
      <w:r>
        <w:rPr>
          <w:spacing w:val="-1"/>
        </w:rPr>
        <w:t xml:space="preserve"> </w:t>
      </w:r>
      <w:r>
        <w:t>C.,</w:t>
      </w:r>
      <w:r>
        <w:rPr>
          <w:spacing w:val="-4"/>
        </w:rPr>
        <w:t xml:space="preserve"> </w:t>
      </w:r>
      <w:r>
        <w:t>Nguyen,</w:t>
      </w:r>
      <w:r>
        <w:rPr>
          <w:spacing w:val="-4"/>
        </w:rPr>
        <w:t xml:space="preserve"> </w:t>
      </w:r>
      <w:r>
        <w:t>Q.</w:t>
      </w:r>
      <w:r>
        <w:rPr>
          <w:spacing w:val="-4"/>
        </w:rPr>
        <w:t xml:space="preserve"> </w:t>
      </w:r>
      <w:r>
        <w:t>D.,</w:t>
      </w:r>
      <w:r>
        <w:rPr>
          <w:spacing w:val="-4"/>
        </w:rPr>
        <w:t xml:space="preserve"> </w:t>
      </w:r>
      <w:r>
        <w:t>Van</w:t>
      </w:r>
      <w:r>
        <w:rPr>
          <w:spacing w:val="-3"/>
        </w:rPr>
        <w:t xml:space="preserve"> </w:t>
      </w:r>
      <w:r>
        <w:t>Calster,</w:t>
      </w:r>
      <w:r>
        <w:rPr>
          <w:spacing w:val="-4"/>
        </w:rPr>
        <w:t xml:space="preserve"> </w:t>
      </w:r>
      <w:r>
        <w:t>J.,</w:t>
      </w:r>
      <w:r>
        <w:rPr>
          <w:spacing w:val="-1"/>
        </w:rPr>
        <w:t xml:space="preserve"> </w:t>
      </w:r>
      <w:r>
        <w:t>Cimino,</w:t>
      </w:r>
      <w:r>
        <w:rPr>
          <w:spacing w:val="-1"/>
        </w:rPr>
        <w:t xml:space="preserve"> </w:t>
      </w:r>
      <w:r>
        <w:t>L.,</w:t>
      </w:r>
      <w:r>
        <w:rPr>
          <w:spacing w:val="-4"/>
        </w:rPr>
        <w:t xml:space="preserve"> </w:t>
      </w:r>
      <w:r>
        <w:t>Kron, M., Song, A. P., Liu, J., Pathai, S., Camez, A., Schlaen, A., van Velthoven, M. E. J.,</w:t>
      </w:r>
    </w:p>
    <w:p w:rsidR="00186257" w:rsidRDefault="00000000">
      <w:pPr>
        <w:pStyle w:val="Textoindependiente"/>
        <w:spacing w:line="259" w:lineRule="auto"/>
        <w:ind w:left="820" w:right="187"/>
      </w:pPr>
      <w:r>
        <w:rPr>
          <w:noProof/>
        </w:rPr>
        <w:drawing>
          <wp:anchor distT="0" distB="0" distL="0" distR="0" simplePos="0" relativeHeight="15729152" behindDoc="0" locked="0" layoutInCell="1" allowOverlap="1">
            <wp:simplePos x="0" y="0"/>
            <wp:positionH relativeFrom="page">
              <wp:posOffset>2211704</wp:posOffset>
            </wp:positionH>
            <wp:positionV relativeFrom="paragraph">
              <wp:posOffset>848451</wp:posOffset>
            </wp:positionV>
            <wp:extent cx="2795905" cy="1746250"/>
            <wp:effectExtent l="0" t="0" r="0" b="0"/>
            <wp:wrapNone/>
            <wp:docPr id="1" name="Image 1" descr="Imagen que contiene oscuro, tabla, sostener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agen que contiene oscuro, tabla, sostener  Descripción generada automáticamente"/>
                    <pic:cNvPicPr/>
                  </pic:nvPicPr>
                  <pic:blipFill>
                    <a:blip r:embed="rId5" cstate="print"/>
                    <a:stretch>
                      <a:fillRect/>
                    </a:stretch>
                  </pic:blipFill>
                  <pic:spPr>
                    <a:xfrm>
                      <a:off x="0" y="0"/>
                      <a:ext cx="2795905" cy="1746250"/>
                    </a:xfrm>
                    <a:prstGeom prst="rect">
                      <a:avLst/>
                    </a:prstGeom>
                  </pic:spPr>
                </pic:pic>
              </a:graphicData>
            </a:graphic>
          </wp:anchor>
        </w:drawing>
      </w:r>
      <w:r>
        <w:t>… Dick, A. D. (2018). Safety and Efficacy of Adalimumab in Patients with Noninfectious</w:t>
      </w:r>
      <w:r>
        <w:rPr>
          <w:spacing w:val="-2"/>
        </w:rPr>
        <w:t xml:space="preserve"> </w:t>
      </w:r>
      <w:r>
        <w:t>Uveitis</w:t>
      </w:r>
      <w:r>
        <w:rPr>
          <w:spacing w:val="-5"/>
        </w:rPr>
        <w:t xml:space="preserve"> </w:t>
      </w:r>
      <w:r>
        <w:t>in</w:t>
      </w:r>
      <w:r>
        <w:rPr>
          <w:spacing w:val="-5"/>
        </w:rPr>
        <w:t xml:space="preserve"> </w:t>
      </w:r>
      <w:r>
        <w:t>an</w:t>
      </w:r>
      <w:r>
        <w:rPr>
          <w:spacing w:val="-3"/>
        </w:rPr>
        <w:t xml:space="preserve"> </w:t>
      </w:r>
      <w:r>
        <w:t>Ongoing</w:t>
      </w:r>
      <w:r>
        <w:rPr>
          <w:spacing w:val="-5"/>
        </w:rPr>
        <w:t xml:space="preserve"> </w:t>
      </w:r>
      <w:r>
        <w:t>Open-Label</w:t>
      </w:r>
      <w:r>
        <w:rPr>
          <w:spacing w:val="-6"/>
        </w:rPr>
        <w:t xml:space="preserve"> </w:t>
      </w:r>
      <w:r>
        <w:t>Study:</w:t>
      </w:r>
      <w:r>
        <w:rPr>
          <w:spacing w:val="-4"/>
        </w:rPr>
        <w:t xml:space="preserve"> </w:t>
      </w:r>
      <w:r>
        <w:t>VISUAL</w:t>
      </w:r>
      <w:r>
        <w:rPr>
          <w:spacing w:val="-5"/>
        </w:rPr>
        <w:t xml:space="preserve"> </w:t>
      </w:r>
      <w:r>
        <w:t>III.</w:t>
      </w:r>
      <w:r>
        <w:rPr>
          <w:spacing w:val="-4"/>
        </w:rPr>
        <w:t xml:space="preserve"> </w:t>
      </w:r>
      <w:r>
        <w:t>Ophthalmology, 125(7), 1075–1087.</w:t>
      </w:r>
    </w:p>
    <w:p w:rsidR="00186257" w:rsidRDefault="00186257">
      <w:pPr>
        <w:pStyle w:val="Textoindependiente"/>
        <w:rPr>
          <w:sz w:val="20"/>
        </w:rPr>
      </w:pPr>
    </w:p>
    <w:p w:rsidR="00186257" w:rsidRDefault="00000000">
      <w:pPr>
        <w:pStyle w:val="Textoindependiente"/>
        <w:spacing w:before="32"/>
        <w:rPr>
          <w:sz w:val="20"/>
        </w:rPr>
      </w:pPr>
      <w:r>
        <w:rPr>
          <w:noProof/>
        </w:rPr>
        <mc:AlternateContent>
          <mc:Choice Requires="wps">
            <w:drawing>
              <wp:anchor distT="0" distB="0" distL="0" distR="0" simplePos="0" relativeHeight="487587840" behindDoc="1" locked="0" layoutInCell="1" allowOverlap="1">
                <wp:simplePos x="0" y="0"/>
                <wp:positionH relativeFrom="page">
                  <wp:posOffset>2211704</wp:posOffset>
                </wp:positionH>
                <wp:positionV relativeFrom="paragraph">
                  <wp:posOffset>181597</wp:posOffset>
                </wp:positionV>
                <wp:extent cx="2795905" cy="174625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905" cy="1746250"/>
                        </a:xfrm>
                        <a:prstGeom prst="rect">
                          <a:avLst/>
                        </a:prstGeom>
                      </wps:spPr>
                      <wps:txbx>
                        <w:txbxContent>
                          <w:p w:rsidR="00186257" w:rsidRDefault="00186257">
                            <w:pPr>
                              <w:pStyle w:val="Textoindependiente"/>
                            </w:pPr>
                          </w:p>
                          <w:p w:rsidR="00186257" w:rsidRDefault="00186257">
                            <w:pPr>
                              <w:pStyle w:val="Textoindependiente"/>
                            </w:pPr>
                          </w:p>
                          <w:p w:rsidR="00186257" w:rsidRDefault="00186257">
                            <w:pPr>
                              <w:pStyle w:val="Textoindependiente"/>
                            </w:pPr>
                          </w:p>
                          <w:p w:rsidR="00186257" w:rsidRDefault="00186257">
                            <w:pPr>
                              <w:pStyle w:val="Textoindependiente"/>
                            </w:pPr>
                          </w:p>
                          <w:p w:rsidR="00186257" w:rsidRDefault="00186257">
                            <w:pPr>
                              <w:pStyle w:val="Textoindependiente"/>
                            </w:pPr>
                          </w:p>
                          <w:p w:rsidR="00186257" w:rsidRDefault="00186257">
                            <w:pPr>
                              <w:pStyle w:val="Textoindependiente"/>
                            </w:pPr>
                          </w:p>
                          <w:p w:rsidR="00186257" w:rsidRDefault="00186257">
                            <w:pPr>
                              <w:pStyle w:val="Textoindependiente"/>
                              <w:spacing w:before="197"/>
                            </w:pPr>
                          </w:p>
                          <w:p w:rsidR="00186257" w:rsidRDefault="00000000">
                            <w:pPr>
                              <w:ind w:left="845"/>
                              <w:rPr>
                                <w:b/>
                              </w:rPr>
                            </w:pPr>
                            <w:r>
                              <w:rPr>
                                <w:b/>
                              </w:rPr>
                              <w:t>H.D.</w:t>
                            </w:r>
                            <w:r>
                              <w:rPr>
                                <w:b/>
                                <w:spacing w:val="-3"/>
                              </w:rPr>
                              <w:t xml:space="preserve"> </w:t>
                            </w:r>
                            <w:r>
                              <w:rPr>
                                <w:b/>
                              </w:rPr>
                              <w:t>Patricio</w:t>
                            </w:r>
                            <w:r>
                              <w:rPr>
                                <w:b/>
                                <w:spacing w:val="-5"/>
                              </w:rPr>
                              <w:t xml:space="preserve"> </w:t>
                            </w:r>
                            <w:r>
                              <w:rPr>
                                <w:b/>
                              </w:rPr>
                              <w:t>Rosas</w:t>
                            </w:r>
                            <w:r>
                              <w:rPr>
                                <w:b/>
                                <w:spacing w:val="-6"/>
                              </w:rPr>
                              <w:t xml:space="preserve"> </w:t>
                            </w:r>
                            <w:r>
                              <w:rPr>
                                <w:b/>
                                <w:spacing w:val="-2"/>
                              </w:rPr>
                              <w:t>Barrientos.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74.15pt;margin-top:14.3pt;width:220.15pt;height:13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" filled="f" stroked="f">
                <v:textbox inset="0,0,0,0">
                  <w:txbxContent>
                    <w:p w:rsidR="00186257" w:rsidRDefault="00186257">
                      <w:pPr>
                        <w:pStyle w:val="Textoindependiente"/>
                      </w:pPr>
                    </w:p>
                    <w:p w:rsidR="00186257" w:rsidRDefault="00186257">
                      <w:pPr>
                        <w:pStyle w:val="Textoindependiente"/>
                      </w:pPr>
                    </w:p>
                    <w:p w:rsidR="00186257" w:rsidRDefault="00186257">
                      <w:pPr>
                        <w:pStyle w:val="Textoindependiente"/>
                      </w:pPr>
                    </w:p>
                    <w:p w:rsidR="00186257" w:rsidRDefault="00186257">
                      <w:pPr>
                        <w:pStyle w:val="Textoindependiente"/>
                      </w:pPr>
                    </w:p>
                    <w:p w:rsidR="00186257" w:rsidRDefault="00186257">
                      <w:pPr>
                        <w:pStyle w:val="Textoindependiente"/>
                      </w:pPr>
                    </w:p>
                    <w:p w:rsidR="00186257" w:rsidRDefault="00186257">
                      <w:pPr>
                        <w:pStyle w:val="Textoindependiente"/>
                      </w:pPr>
                    </w:p>
                    <w:p w:rsidR="00186257" w:rsidRDefault="00186257">
                      <w:pPr>
                        <w:pStyle w:val="Textoindependiente"/>
                        <w:spacing w:before="197"/>
                      </w:pPr>
                    </w:p>
                    <w:p w:rsidR="00186257" w:rsidRDefault="00000000">
                      <w:pPr>
                        <w:ind w:left="845"/>
                        <w:rPr>
                          <w:b/>
                        </w:rPr>
                      </w:pPr>
                      <w:r>
                        <w:rPr>
                          <w:b/>
                        </w:rPr>
                        <w:t>H.D.</w:t>
                      </w:r>
                      <w:r>
                        <w:rPr>
                          <w:b/>
                          <w:spacing w:val="-3"/>
                        </w:rPr>
                        <w:t xml:space="preserve"> </w:t>
                      </w:r>
                      <w:r>
                        <w:rPr>
                          <w:b/>
                        </w:rPr>
                        <w:t>Patricio</w:t>
                      </w:r>
                      <w:r>
                        <w:rPr>
                          <w:b/>
                          <w:spacing w:val="-5"/>
                        </w:rPr>
                        <w:t xml:space="preserve"> </w:t>
                      </w:r>
                      <w:r>
                        <w:rPr>
                          <w:b/>
                        </w:rPr>
                        <w:t>Rosas</w:t>
                      </w:r>
                      <w:r>
                        <w:rPr>
                          <w:b/>
                          <w:spacing w:val="-6"/>
                        </w:rPr>
                        <w:t xml:space="preserve"> </w:t>
                      </w:r>
                      <w:r>
                        <w:rPr>
                          <w:b/>
                          <w:spacing w:val="-2"/>
                        </w:rPr>
                        <w:t>Barrientos.</w:t>
                      </w:r>
                    </w:p>
                  </w:txbxContent>
                </v:textbox>
                <w10:wrap type="topAndBottom" anchorx="page"/>
              </v:shape>
            </w:pict>
          </mc:Fallback>
        </mc:AlternateContent>
      </w:r>
    </w:p>
    <w:sectPr w:rsidR="00186257">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D67F2"/>
    <w:multiLevelType w:val="hybridMultilevel"/>
    <w:tmpl w:val="E1503D26"/>
    <w:lvl w:ilvl="0" w:tplc="2F64996A">
      <w:start w:val="1"/>
      <w:numFmt w:val="upperRoman"/>
      <w:lvlText w:val="%1."/>
      <w:lvlJc w:val="left"/>
      <w:pPr>
        <w:ind w:left="285" w:hanging="185"/>
        <w:jc w:val="left"/>
      </w:pPr>
      <w:rPr>
        <w:rFonts w:ascii="Arial" w:eastAsia="Arial" w:hAnsi="Arial" w:cs="Arial" w:hint="default"/>
        <w:b/>
        <w:bCs/>
        <w:i w:val="0"/>
        <w:iCs w:val="0"/>
        <w:spacing w:val="0"/>
        <w:w w:val="100"/>
        <w:sz w:val="22"/>
        <w:szCs w:val="22"/>
        <w:lang w:val="es-ES" w:eastAsia="en-US" w:bidi="ar-SA"/>
      </w:rPr>
    </w:lvl>
    <w:lvl w:ilvl="1" w:tplc="F1DE67D8">
      <w:start w:val="1"/>
      <w:numFmt w:val="decimal"/>
      <w:lvlText w:val="%2."/>
      <w:lvlJc w:val="left"/>
      <w:pPr>
        <w:ind w:left="100" w:hanging="320"/>
        <w:jc w:val="left"/>
      </w:pPr>
      <w:rPr>
        <w:rFonts w:hint="default"/>
        <w:spacing w:val="0"/>
        <w:w w:val="100"/>
        <w:lang w:val="es-ES" w:eastAsia="en-US" w:bidi="ar-SA"/>
      </w:rPr>
    </w:lvl>
    <w:lvl w:ilvl="2" w:tplc="5A18DD92">
      <w:start w:val="1"/>
      <w:numFmt w:val="decimal"/>
      <w:lvlText w:val="%3."/>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3" w:tplc="A69C3BF0">
      <w:numFmt w:val="bullet"/>
      <w:lvlText w:val="•"/>
      <w:lvlJc w:val="left"/>
      <w:pPr>
        <w:ind w:left="2120" w:hanging="360"/>
      </w:pPr>
      <w:rPr>
        <w:rFonts w:hint="default"/>
        <w:lang w:val="es-ES" w:eastAsia="en-US" w:bidi="ar-SA"/>
      </w:rPr>
    </w:lvl>
    <w:lvl w:ilvl="4" w:tplc="BCDAAFC0">
      <w:numFmt w:val="bullet"/>
      <w:lvlText w:val="•"/>
      <w:lvlJc w:val="left"/>
      <w:pPr>
        <w:ind w:left="3138" w:hanging="360"/>
      </w:pPr>
      <w:rPr>
        <w:rFonts w:hint="default"/>
        <w:lang w:val="es-ES" w:eastAsia="en-US" w:bidi="ar-SA"/>
      </w:rPr>
    </w:lvl>
    <w:lvl w:ilvl="5" w:tplc="E398EA34">
      <w:numFmt w:val="bullet"/>
      <w:lvlText w:val="•"/>
      <w:lvlJc w:val="left"/>
      <w:pPr>
        <w:ind w:left="4156" w:hanging="360"/>
      </w:pPr>
      <w:rPr>
        <w:rFonts w:hint="default"/>
        <w:lang w:val="es-ES" w:eastAsia="en-US" w:bidi="ar-SA"/>
      </w:rPr>
    </w:lvl>
    <w:lvl w:ilvl="6" w:tplc="602E58AC">
      <w:numFmt w:val="bullet"/>
      <w:lvlText w:val="•"/>
      <w:lvlJc w:val="left"/>
      <w:pPr>
        <w:ind w:left="5175" w:hanging="360"/>
      </w:pPr>
      <w:rPr>
        <w:rFonts w:hint="default"/>
        <w:lang w:val="es-ES" w:eastAsia="en-US" w:bidi="ar-SA"/>
      </w:rPr>
    </w:lvl>
    <w:lvl w:ilvl="7" w:tplc="210C3960">
      <w:numFmt w:val="bullet"/>
      <w:lvlText w:val="•"/>
      <w:lvlJc w:val="left"/>
      <w:pPr>
        <w:ind w:left="6193" w:hanging="360"/>
      </w:pPr>
      <w:rPr>
        <w:rFonts w:hint="default"/>
        <w:lang w:val="es-ES" w:eastAsia="en-US" w:bidi="ar-SA"/>
      </w:rPr>
    </w:lvl>
    <w:lvl w:ilvl="8" w:tplc="77D6C56C">
      <w:numFmt w:val="bullet"/>
      <w:lvlText w:val="•"/>
      <w:lvlJc w:val="left"/>
      <w:pPr>
        <w:ind w:left="7212" w:hanging="360"/>
      </w:pPr>
      <w:rPr>
        <w:rFonts w:hint="default"/>
        <w:lang w:val="es-ES" w:eastAsia="en-US" w:bidi="ar-SA"/>
      </w:rPr>
    </w:lvl>
  </w:abstractNum>
  <w:num w:numId="1" w16cid:durableId="192945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57"/>
    <w:rsid w:val="000A5C64"/>
    <w:rsid w:val="00186257"/>
    <w:rsid w:val="002942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816E3-FDF4-414D-B5E3-D27672BB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hanging="1803"/>
      <w:outlineLvl w:val="0"/>
    </w:pPr>
    <w:rPr>
      <w:b/>
      <w:bCs/>
    </w:rPr>
  </w:style>
  <w:style w:type="paragraph" w:styleId="Ttulo2">
    <w:name w:val="heading 2"/>
    <w:basedOn w:val="Normal"/>
    <w:uiPriority w:val="9"/>
    <w:unhideWhenUsed/>
    <w:qFormat/>
    <w:pPr>
      <w:ind w:left="845" w:hanging="36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6755</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Antonio Quijada Ossa</dc:creator>
  <cp:lastModifiedBy>Guillermo Diaz Vallejos</cp:lastModifiedBy>
  <cp:revision>1</cp:revision>
  <dcterms:created xsi:type="dcterms:W3CDTF">2024-04-03T16:25:00Z</dcterms:created>
  <dcterms:modified xsi:type="dcterms:W3CDTF">2024-04-10T00:36:00Z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LTSC</vt:lpwstr>
  </property>
  <property fmtid="{D5CDD505-2E9C-101B-9397-08002B2CF9AE}" pid="4" name="LastSaved">
    <vt:filetime>2024-04-03T00:00:00Z</vt:filetime>
  </property>
  <property fmtid="{D5CDD505-2E9C-101B-9397-08002B2CF9AE}" pid="5" name="Producer">
    <vt:lpwstr>Microsoft® Word LTSC</vt:lpwstr>
  </property>
</Properties>
</file>