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147D" w:rsidRDefault="00000000">
      <w:pPr>
        <w:pStyle w:val="Textoindependiente"/>
        <w:ind w:left="3672"/>
        <w:rPr>
          <w:rFonts w:ascii="Times New Roman"/>
          <w:sz w:val="20"/>
        </w:rPr>
      </w:pPr>
      <w:r>
        <w:rPr>
          <w:rFonts w:ascii="Times New Roman"/>
          <w:noProof/>
          <w:sz w:val="20"/>
        </w:rPr>
        <w:drawing>
          <wp:inline distT="0" distB="0" distL="0" distR="0">
            <wp:extent cx="1424886" cy="14382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424886" cy="1438275"/>
                    </a:xfrm>
                    <a:prstGeom prst="rect">
                      <a:avLst/>
                    </a:prstGeom>
                  </pic:spPr>
                </pic:pic>
              </a:graphicData>
            </a:graphic>
          </wp:inline>
        </w:drawing>
      </w:r>
    </w:p>
    <w:p w:rsidR="00A9147D" w:rsidRDefault="00000000">
      <w:pPr>
        <w:spacing w:before="242" w:line="360" w:lineRule="auto"/>
        <w:ind w:left="120" w:right="118"/>
        <w:jc w:val="both"/>
        <w:rPr>
          <w:b/>
        </w:rPr>
      </w:pPr>
      <w:r>
        <w:rPr>
          <w:b/>
        </w:rPr>
        <w:t xml:space="preserve">PROYECTO DE LEY QUE MODIFICA LA LEY ORGÁNICA CONSTITUCIONAL DE PROCEDIMIENTOS DE EXPROPIACIONES PARA ESTABLECER UNA EXCEPCIÓN RESPECTO DEL MONTO PROVISIONAL DE LA EXPROPIACIÓN DE TERRENOS </w:t>
      </w:r>
      <w:r>
        <w:rPr>
          <w:b/>
          <w:spacing w:val="-2"/>
        </w:rPr>
        <w:t>SINIESTRADOS.</w:t>
      </w:r>
    </w:p>
    <w:p w:rsidR="00A9147D" w:rsidRDefault="00A9147D">
      <w:pPr>
        <w:pStyle w:val="Textoindependiente"/>
        <w:rPr>
          <w:b/>
        </w:rPr>
      </w:pPr>
    </w:p>
    <w:p w:rsidR="00A9147D" w:rsidRDefault="00A9147D">
      <w:pPr>
        <w:pStyle w:val="Textoindependiente"/>
        <w:rPr>
          <w:b/>
        </w:rPr>
      </w:pPr>
    </w:p>
    <w:p w:rsidR="00A9147D" w:rsidRDefault="00A9147D">
      <w:pPr>
        <w:pStyle w:val="Textoindependiente"/>
        <w:spacing w:before="34"/>
        <w:rPr>
          <w:b/>
        </w:rPr>
      </w:pPr>
    </w:p>
    <w:p w:rsidR="00A9147D" w:rsidRDefault="00000000">
      <w:pPr>
        <w:pStyle w:val="Prrafodelista"/>
        <w:numPr>
          <w:ilvl w:val="0"/>
          <w:numId w:val="2"/>
        </w:numPr>
        <w:tabs>
          <w:tab w:val="left" w:pos="839"/>
        </w:tabs>
        <w:ind w:left="839" w:hanging="489"/>
        <w:jc w:val="left"/>
      </w:pPr>
      <w:r>
        <w:rPr>
          <w:b/>
          <w:spacing w:val="-2"/>
        </w:rPr>
        <w:t>ANTECEDENTES.</w:t>
      </w:r>
    </w:p>
    <w:p w:rsidR="00A9147D" w:rsidRDefault="00A9147D">
      <w:pPr>
        <w:pStyle w:val="Textoindependiente"/>
        <w:spacing w:before="92"/>
        <w:rPr>
          <w:b/>
        </w:rPr>
      </w:pPr>
    </w:p>
    <w:p w:rsidR="00A9147D" w:rsidRDefault="00000000">
      <w:pPr>
        <w:pStyle w:val="Textoindependiente"/>
        <w:spacing w:line="360" w:lineRule="auto"/>
        <w:ind w:left="119" w:right="117" w:firstLine="720"/>
        <w:jc w:val="both"/>
        <w:rPr>
          <w:sz w:val="14"/>
        </w:rPr>
      </w:pPr>
      <w:r>
        <w:t>En</w:t>
      </w:r>
      <w:r>
        <w:rPr>
          <w:spacing w:val="-12"/>
        </w:rPr>
        <w:t xml:space="preserve"> </w:t>
      </w:r>
      <w:r>
        <w:t>febrero</w:t>
      </w:r>
      <w:r>
        <w:rPr>
          <w:spacing w:val="-11"/>
        </w:rPr>
        <w:t xml:space="preserve"> </w:t>
      </w:r>
      <w:r>
        <w:t>de</w:t>
      </w:r>
      <w:r>
        <w:rPr>
          <w:spacing w:val="-12"/>
        </w:rPr>
        <w:t xml:space="preserve"> </w:t>
      </w:r>
      <w:r>
        <w:t>este</w:t>
      </w:r>
      <w:r>
        <w:rPr>
          <w:spacing w:val="-12"/>
        </w:rPr>
        <w:t xml:space="preserve"> </w:t>
      </w:r>
      <w:r>
        <w:t>año</w:t>
      </w:r>
      <w:r>
        <w:rPr>
          <w:spacing w:val="-12"/>
        </w:rPr>
        <w:t xml:space="preserve"> </w:t>
      </w:r>
      <w:r>
        <w:t>2024,</w:t>
      </w:r>
      <w:r>
        <w:rPr>
          <w:spacing w:val="-12"/>
        </w:rPr>
        <w:t xml:space="preserve"> </w:t>
      </w:r>
      <w:r>
        <w:t>la</w:t>
      </w:r>
      <w:r>
        <w:rPr>
          <w:spacing w:val="-12"/>
        </w:rPr>
        <w:t xml:space="preserve"> </w:t>
      </w:r>
      <w:r>
        <w:t>quinta</w:t>
      </w:r>
      <w:r>
        <w:rPr>
          <w:spacing w:val="-12"/>
        </w:rPr>
        <w:t xml:space="preserve"> </w:t>
      </w:r>
      <w:r>
        <w:t>región</w:t>
      </w:r>
      <w:r>
        <w:rPr>
          <w:spacing w:val="-12"/>
        </w:rPr>
        <w:t xml:space="preserve"> </w:t>
      </w:r>
      <w:r>
        <w:t>de</w:t>
      </w:r>
      <w:r>
        <w:rPr>
          <w:spacing w:val="-12"/>
        </w:rPr>
        <w:t xml:space="preserve"> </w:t>
      </w:r>
      <w:r>
        <w:t>nuestro</w:t>
      </w:r>
      <w:r>
        <w:rPr>
          <w:spacing w:val="-11"/>
        </w:rPr>
        <w:t xml:space="preserve"> </w:t>
      </w:r>
      <w:r>
        <w:t>país</w:t>
      </w:r>
      <w:r>
        <w:rPr>
          <w:spacing w:val="-12"/>
        </w:rPr>
        <w:t xml:space="preserve"> </w:t>
      </w:r>
      <w:r>
        <w:t>sufrió</w:t>
      </w:r>
      <w:r>
        <w:rPr>
          <w:spacing w:val="-11"/>
        </w:rPr>
        <w:t xml:space="preserve"> </w:t>
      </w:r>
      <w:r>
        <w:t>un</w:t>
      </w:r>
      <w:r>
        <w:rPr>
          <w:spacing w:val="-12"/>
        </w:rPr>
        <w:t xml:space="preserve"> </w:t>
      </w:r>
      <w:r>
        <w:t>terrible</w:t>
      </w:r>
      <w:r>
        <w:rPr>
          <w:spacing w:val="-12"/>
        </w:rPr>
        <w:t xml:space="preserve"> </w:t>
      </w:r>
      <w:r>
        <w:t>incendio que</w:t>
      </w:r>
      <w:r>
        <w:rPr>
          <w:spacing w:val="-4"/>
        </w:rPr>
        <w:t xml:space="preserve"> </w:t>
      </w:r>
      <w:r>
        <w:t>afectó</w:t>
      </w:r>
      <w:r>
        <w:rPr>
          <w:spacing w:val="-3"/>
        </w:rPr>
        <w:t xml:space="preserve"> </w:t>
      </w:r>
      <w:r>
        <w:t>más</w:t>
      </w:r>
      <w:r>
        <w:rPr>
          <w:spacing w:val="-4"/>
        </w:rPr>
        <w:t xml:space="preserve"> </w:t>
      </w:r>
      <w:r>
        <w:t>de</w:t>
      </w:r>
      <w:r>
        <w:rPr>
          <w:spacing w:val="-4"/>
        </w:rPr>
        <w:t xml:space="preserve"> </w:t>
      </w:r>
      <w:r>
        <w:t>nueve</w:t>
      </w:r>
      <w:r>
        <w:rPr>
          <w:spacing w:val="-4"/>
        </w:rPr>
        <w:t xml:space="preserve"> </w:t>
      </w:r>
      <w:r>
        <w:t>mil</w:t>
      </w:r>
      <w:r>
        <w:rPr>
          <w:spacing w:val="-4"/>
        </w:rPr>
        <w:t xml:space="preserve"> </w:t>
      </w:r>
      <w:r>
        <w:t>hectáreas</w:t>
      </w:r>
      <w:r>
        <w:rPr>
          <w:spacing w:val="-3"/>
        </w:rPr>
        <w:t xml:space="preserve"> </w:t>
      </w:r>
      <w:r>
        <w:t>de</w:t>
      </w:r>
      <w:r>
        <w:rPr>
          <w:spacing w:val="-4"/>
        </w:rPr>
        <w:t xml:space="preserve"> </w:t>
      </w:r>
      <w:r>
        <w:t>las</w:t>
      </w:r>
      <w:r>
        <w:rPr>
          <w:spacing w:val="-4"/>
        </w:rPr>
        <w:t xml:space="preserve"> </w:t>
      </w:r>
      <w:r>
        <w:t>comunas</w:t>
      </w:r>
      <w:r>
        <w:rPr>
          <w:spacing w:val="-3"/>
        </w:rPr>
        <w:t xml:space="preserve"> </w:t>
      </w:r>
      <w:r>
        <w:t>de</w:t>
      </w:r>
      <w:r>
        <w:rPr>
          <w:spacing w:val="-4"/>
        </w:rPr>
        <w:t xml:space="preserve"> </w:t>
      </w:r>
      <w:r>
        <w:t>Valparaíso,</w:t>
      </w:r>
      <w:r>
        <w:rPr>
          <w:spacing w:val="-4"/>
        </w:rPr>
        <w:t xml:space="preserve"> </w:t>
      </w:r>
      <w:r>
        <w:t>Viña</w:t>
      </w:r>
      <w:r>
        <w:rPr>
          <w:spacing w:val="-4"/>
        </w:rPr>
        <w:t xml:space="preserve"> </w:t>
      </w:r>
      <w:r>
        <w:t>del</w:t>
      </w:r>
      <w:r>
        <w:rPr>
          <w:spacing w:val="-4"/>
        </w:rPr>
        <w:t xml:space="preserve"> </w:t>
      </w:r>
      <w:r>
        <w:t>Mar,</w:t>
      </w:r>
      <w:r>
        <w:rPr>
          <w:spacing w:val="-4"/>
        </w:rPr>
        <w:t xml:space="preserve"> </w:t>
      </w:r>
      <w:r>
        <w:t>Quilpué, Villa Alemana y Limache.</w:t>
      </w:r>
      <w:r>
        <w:rPr>
          <w:position w:val="7"/>
          <w:sz w:val="14"/>
        </w:rPr>
        <w:t>1</w:t>
      </w:r>
    </w:p>
    <w:p w:rsidR="00A9147D" w:rsidRDefault="00A9147D">
      <w:pPr>
        <w:pStyle w:val="Textoindependiente"/>
      </w:pPr>
    </w:p>
    <w:p w:rsidR="00A9147D" w:rsidRDefault="00A9147D">
      <w:pPr>
        <w:pStyle w:val="Textoindependiente"/>
      </w:pPr>
    </w:p>
    <w:p w:rsidR="00A9147D" w:rsidRDefault="00A9147D">
      <w:pPr>
        <w:pStyle w:val="Textoindependiente"/>
        <w:spacing w:before="34"/>
      </w:pPr>
    </w:p>
    <w:p w:rsidR="00A9147D" w:rsidRDefault="00000000">
      <w:pPr>
        <w:pStyle w:val="Textoindependiente"/>
        <w:spacing w:before="1" w:line="360" w:lineRule="auto"/>
        <w:ind w:left="120" w:right="118" w:firstLine="720"/>
        <w:jc w:val="both"/>
        <w:rPr>
          <w:sz w:val="14"/>
        </w:rPr>
      </w:pPr>
      <w:r>
        <w:t xml:space="preserve">De acuerdo a lo informado por las autoridades, las personas afectadas fueron más de 30 mil, hubo 135 fallecidos por causa del siniestro y entre 7 mil y 12 mil casas fueron consumidas por el fuego. </w:t>
      </w:r>
      <w:r>
        <w:rPr>
          <w:position w:val="7"/>
          <w:sz w:val="14"/>
        </w:rPr>
        <w:t>2</w:t>
      </w:r>
    </w:p>
    <w:p w:rsidR="00A9147D" w:rsidRDefault="00A9147D">
      <w:pPr>
        <w:pStyle w:val="Textoindependiente"/>
      </w:pPr>
    </w:p>
    <w:p w:rsidR="00A9147D" w:rsidRDefault="00A9147D">
      <w:pPr>
        <w:pStyle w:val="Textoindependiente"/>
      </w:pPr>
    </w:p>
    <w:p w:rsidR="00A9147D" w:rsidRDefault="00A9147D">
      <w:pPr>
        <w:pStyle w:val="Textoindependiente"/>
        <w:spacing w:before="34"/>
      </w:pPr>
    </w:p>
    <w:p w:rsidR="00A9147D" w:rsidRDefault="00000000">
      <w:pPr>
        <w:spacing w:line="360" w:lineRule="auto"/>
        <w:ind w:left="120" w:right="118" w:firstLine="720"/>
        <w:jc w:val="both"/>
      </w:pPr>
      <w:r>
        <w:t xml:space="preserve">Nuestra Constitución establece en su artículo 19 n°24, respecto del procedimiento de expropiación que el expropiado </w:t>
      </w:r>
      <w:r>
        <w:rPr>
          <w:i/>
        </w:rPr>
        <w:t>tendrá siempre derecho a indemnización por el daño patrimonial efectivamente causado</w:t>
      </w:r>
      <w:r>
        <w:rPr>
          <w:b/>
          <w:i/>
          <w:position w:val="7"/>
          <w:sz w:val="14"/>
        </w:rPr>
        <w:t>3</w:t>
      </w:r>
      <w:r>
        <w:rPr>
          <w:b/>
          <w:i/>
          <w:spacing w:val="25"/>
          <w:position w:val="7"/>
          <w:sz w:val="14"/>
        </w:rPr>
        <w:t xml:space="preserve"> </w:t>
      </w:r>
      <w:r>
        <w:t>e indica que dicha indemnización se fijará por acuerdo entre las partes o sentencia dictada por tribunales.</w:t>
      </w:r>
    </w:p>
    <w:p w:rsidR="00A9147D" w:rsidRDefault="00000000">
      <w:pPr>
        <w:pStyle w:val="Textoindependiente"/>
        <w:spacing w:before="117"/>
        <w:rPr>
          <w:sz w:val="20"/>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261083</wp:posOffset>
                </wp:positionV>
                <wp:extent cx="182245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1270"/>
                        </a:xfrm>
                        <a:custGeom>
                          <a:avLst/>
                          <a:gdLst/>
                          <a:ahLst/>
                          <a:cxnLst/>
                          <a:rect l="l" t="t" r="r" b="b"/>
                          <a:pathLst>
                            <a:path w="1822450">
                              <a:moveTo>
                                <a:pt x="0" y="0"/>
                              </a:moveTo>
                              <a:lnTo>
                                <a:pt x="182245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5EF869" id="Graphic 2" o:spid="_x0000_s1026" style="position:absolute;margin-left:1in;margin-top:20.55pt;width:143.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2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" path="m,l1822450,e" filled="f" strokeweight="1pt">
                <v:path arrowok="t"/>
                <w10:wrap type="topAndBottom" anchorx="page"/>
              </v:shape>
            </w:pict>
          </mc:Fallback>
        </mc:AlternateContent>
      </w:r>
    </w:p>
    <w:p w:rsidR="00A9147D" w:rsidRDefault="00000000">
      <w:pPr>
        <w:pStyle w:val="Prrafodelista"/>
        <w:numPr>
          <w:ilvl w:val="0"/>
          <w:numId w:val="1"/>
        </w:numPr>
        <w:tabs>
          <w:tab w:val="left" w:pos="237"/>
        </w:tabs>
        <w:spacing w:before="101"/>
        <w:ind w:hanging="117"/>
        <w:rPr>
          <w:sz w:val="16"/>
        </w:rPr>
      </w:pPr>
      <w:r>
        <w:rPr>
          <w:sz w:val="16"/>
        </w:rPr>
        <w:t>Disponible en: https://clapesuc.cl/en-los-medios/reconstruccion-post-incendio-las-cifras-desafios-y-planes-de-</w:t>
      </w:r>
      <w:r>
        <w:rPr>
          <w:spacing w:val="-2"/>
          <w:sz w:val="16"/>
        </w:rPr>
        <w:t>accion</w:t>
      </w:r>
    </w:p>
    <w:p w:rsidR="00A9147D" w:rsidRDefault="00000000">
      <w:pPr>
        <w:pStyle w:val="Prrafodelista"/>
        <w:numPr>
          <w:ilvl w:val="0"/>
          <w:numId w:val="1"/>
        </w:numPr>
        <w:tabs>
          <w:tab w:val="left" w:pos="237"/>
        </w:tabs>
        <w:spacing w:before="5"/>
        <w:ind w:hanging="117"/>
        <w:rPr>
          <w:sz w:val="16"/>
        </w:rPr>
      </w:pPr>
      <w:r>
        <w:rPr>
          <w:spacing w:val="-4"/>
          <w:sz w:val="16"/>
        </w:rPr>
        <w:t>Ibid</w:t>
      </w:r>
    </w:p>
    <w:p w:rsidR="00A9147D" w:rsidRDefault="00000000">
      <w:pPr>
        <w:pStyle w:val="Prrafodelista"/>
        <w:numPr>
          <w:ilvl w:val="0"/>
          <w:numId w:val="1"/>
        </w:numPr>
        <w:tabs>
          <w:tab w:val="left" w:pos="277"/>
        </w:tabs>
        <w:spacing w:before="5"/>
        <w:ind w:left="277" w:hanging="157"/>
        <w:rPr>
          <w:sz w:val="16"/>
        </w:rPr>
      </w:pPr>
      <w:r>
        <w:rPr>
          <w:sz w:val="16"/>
        </w:rPr>
        <w:t>Artículo</w:t>
      </w:r>
      <w:r>
        <w:rPr>
          <w:spacing w:val="-2"/>
          <w:sz w:val="16"/>
        </w:rPr>
        <w:t xml:space="preserve"> </w:t>
      </w:r>
      <w:r>
        <w:rPr>
          <w:sz w:val="16"/>
        </w:rPr>
        <w:t>19</w:t>
      </w:r>
      <w:r>
        <w:rPr>
          <w:spacing w:val="-1"/>
          <w:sz w:val="16"/>
        </w:rPr>
        <w:t xml:space="preserve"> </w:t>
      </w:r>
      <w:r>
        <w:rPr>
          <w:sz w:val="16"/>
        </w:rPr>
        <w:t>n°24 de</w:t>
      </w:r>
      <w:r>
        <w:rPr>
          <w:spacing w:val="-1"/>
          <w:sz w:val="16"/>
        </w:rPr>
        <w:t xml:space="preserve"> </w:t>
      </w:r>
      <w:r>
        <w:rPr>
          <w:sz w:val="16"/>
        </w:rPr>
        <w:t>la Constitución Política</w:t>
      </w:r>
      <w:r>
        <w:rPr>
          <w:spacing w:val="-1"/>
          <w:sz w:val="16"/>
        </w:rPr>
        <w:t xml:space="preserve"> </w:t>
      </w:r>
      <w:r>
        <w:rPr>
          <w:sz w:val="16"/>
        </w:rPr>
        <w:t>de</w:t>
      </w:r>
      <w:r>
        <w:rPr>
          <w:spacing w:val="-1"/>
          <w:sz w:val="16"/>
        </w:rPr>
        <w:t xml:space="preserve"> </w:t>
      </w:r>
      <w:r>
        <w:rPr>
          <w:sz w:val="16"/>
        </w:rPr>
        <w:t>la República</w:t>
      </w:r>
      <w:r>
        <w:rPr>
          <w:spacing w:val="-1"/>
          <w:sz w:val="16"/>
        </w:rPr>
        <w:t xml:space="preserve"> </w:t>
      </w:r>
      <w:r>
        <w:rPr>
          <w:sz w:val="16"/>
        </w:rPr>
        <w:t xml:space="preserve">de </w:t>
      </w:r>
      <w:r>
        <w:rPr>
          <w:spacing w:val="-2"/>
          <w:sz w:val="16"/>
        </w:rPr>
        <w:t>Chile.</w:t>
      </w:r>
    </w:p>
    <w:p w:rsidR="00A9147D" w:rsidRDefault="00A9147D">
      <w:pPr>
        <w:rPr>
          <w:sz w:val="16"/>
        </w:rPr>
        <w:sectPr w:rsidR="00A9147D" w:rsidSect="003943DD">
          <w:type w:val="continuous"/>
          <w:pgSz w:w="11910" w:h="16840"/>
          <w:pgMar w:top="1900" w:right="1320" w:bottom="280" w:left="1320" w:header="720" w:footer="720" w:gutter="0"/>
          <w:cols w:space="720"/>
        </w:sectPr>
      </w:pPr>
    </w:p>
    <w:p w:rsidR="00A9147D" w:rsidRDefault="00000000">
      <w:pPr>
        <w:pStyle w:val="Textoindependiente"/>
        <w:spacing w:before="191" w:line="360" w:lineRule="auto"/>
        <w:ind w:left="119" w:right="118" w:firstLine="720"/>
        <w:jc w:val="both"/>
      </w:pPr>
      <w:r>
        <w:lastRenderedPageBreak/>
        <w:t>Además, la Ley Orgánica Constitucional de Procedimiento de Expropiaciones, en su artículo 4, indica que el monto provisional de la indemnización será determinado por la comisión constituida con tal efecto. Posteriormente, el artículo 5 establece que el monto provisional de la indemnización será el que fije la comisión y que, de mediar más de 30 días desde el informe emitido por dicho organismo y la fecha de notificación del acto expropiatorio, será reajustado de acuerdo al índice de precios al consumidor.</w:t>
      </w:r>
    </w:p>
    <w:p w:rsidR="00A9147D" w:rsidRDefault="00A9147D">
      <w:pPr>
        <w:pStyle w:val="Textoindependiente"/>
      </w:pPr>
    </w:p>
    <w:p w:rsidR="00A9147D" w:rsidRDefault="00A9147D">
      <w:pPr>
        <w:pStyle w:val="Textoindependiente"/>
      </w:pPr>
    </w:p>
    <w:p w:rsidR="00A9147D" w:rsidRDefault="00A9147D">
      <w:pPr>
        <w:pStyle w:val="Textoindependiente"/>
        <w:spacing w:before="34"/>
      </w:pPr>
    </w:p>
    <w:p w:rsidR="00A9147D" w:rsidRDefault="00000000">
      <w:pPr>
        <w:pStyle w:val="Textoindependiente"/>
        <w:spacing w:before="1" w:line="360" w:lineRule="auto"/>
        <w:ind w:left="119" w:right="118" w:firstLine="720"/>
        <w:jc w:val="both"/>
      </w:pPr>
      <w:r>
        <w:t>Sin</w:t>
      </w:r>
      <w:r>
        <w:rPr>
          <w:spacing w:val="-6"/>
        </w:rPr>
        <w:t xml:space="preserve"> </w:t>
      </w:r>
      <w:r>
        <w:t>embargo,</w:t>
      </w:r>
      <w:r>
        <w:rPr>
          <w:spacing w:val="-6"/>
        </w:rPr>
        <w:t xml:space="preserve"> </w:t>
      </w:r>
      <w:r>
        <w:t>ante</w:t>
      </w:r>
      <w:r>
        <w:rPr>
          <w:spacing w:val="-6"/>
        </w:rPr>
        <w:t xml:space="preserve"> </w:t>
      </w:r>
      <w:r>
        <w:t>catástrofes</w:t>
      </w:r>
      <w:r>
        <w:rPr>
          <w:spacing w:val="-4"/>
        </w:rPr>
        <w:t xml:space="preserve"> </w:t>
      </w:r>
      <w:r>
        <w:t>como</w:t>
      </w:r>
      <w:r>
        <w:rPr>
          <w:spacing w:val="-5"/>
        </w:rPr>
        <w:t xml:space="preserve"> </w:t>
      </w:r>
      <w:r>
        <w:t>la</w:t>
      </w:r>
      <w:r>
        <w:rPr>
          <w:spacing w:val="-6"/>
        </w:rPr>
        <w:t xml:space="preserve"> </w:t>
      </w:r>
      <w:r>
        <w:t>ocurrida</w:t>
      </w:r>
      <w:r>
        <w:rPr>
          <w:spacing w:val="-6"/>
        </w:rPr>
        <w:t xml:space="preserve"> </w:t>
      </w:r>
      <w:r>
        <w:t>en</w:t>
      </w:r>
      <w:r>
        <w:rPr>
          <w:spacing w:val="-6"/>
        </w:rPr>
        <w:t xml:space="preserve"> </w:t>
      </w:r>
      <w:r>
        <w:t>febrero</w:t>
      </w:r>
      <w:r>
        <w:rPr>
          <w:spacing w:val="-5"/>
        </w:rPr>
        <w:t xml:space="preserve"> </w:t>
      </w:r>
      <w:r>
        <w:t>de</w:t>
      </w:r>
      <w:r>
        <w:rPr>
          <w:spacing w:val="-6"/>
        </w:rPr>
        <w:t xml:space="preserve"> </w:t>
      </w:r>
      <w:r>
        <w:t>este</w:t>
      </w:r>
      <w:r>
        <w:rPr>
          <w:spacing w:val="-6"/>
        </w:rPr>
        <w:t xml:space="preserve"> </w:t>
      </w:r>
      <w:r>
        <w:t>año,</w:t>
      </w:r>
      <w:r>
        <w:rPr>
          <w:spacing w:val="-6"/>
        </w:rPr>
        <w:t xml:space="preserve"> </w:t>
      </w:r>
      <w:r>
        <w:t>la</w:t>
      </w:r>
      <w:r>
        <w:rPr>
          <w:spacing w:val="-6"/>
        </w:rPr>
        <w:t xml:space="preserve"> </w:t>
      </w:r>
      <w:r>
        <w:t>norma</w:t>
      </w:r>
      <w:r>
        <w:rPr>
          <w:spacing w:val="-6"/>
        </w:rPr>
        <w:t xml:space="preserve"> </w:t>
      </w:r>
      <w:r>
        <w:t xml:space="preserve">actual no se hace cargo del perjuicio que podría ocasionarse para las víctimas de estos siniestros, dado que el Estado podría expropiar terrenos afectados por los incendios a un precio muy </w:t>
      </w:r>
      <w:r>
        <w:rPr>
          <w:spacing w:val="-2"/>
        </w:rPr>
        <w:t>inferior.</w:t>
      </w:r>
    </w:p>
    <w:p w:rsidR="00A9147D" w:rsidRDefault="00A9147D">
      <w:pPr>
        <w:pStyle w:val="Textoindependiente"/>
      </w:pPr>
    </w:p>
    <w:p w:rsidR="00A9147D" w:rsidRDefault="00A9147D">
      <w:pPr>
        <w:pStyle w:val="Textoindependiente"/>
      </w:pPr>
    </w:p>
    <w:p w:rsidR="00A9147D" w:rsidRDefault="00A9147D">
      <w:pPr>
        <w:pStyle w:val="Textoindependiente"/>
        <w:spacing w:before="34"/>
      </w:pPr>
    </w:p>
    <w:p w:rsidR="00A9147D" w:rsidRDefault="00000000">
      <w:pPr>
        <w:pStyle w:val="Textoindependiente"/>
        <w:spacing w:line="360" w:lineRule="auto"/>
        <w:ind w:left="120" w:right="117" w:firstLine="720"/>
        <w:jc w:val="both"/>
      </w:pPr>
      <w:r>
        <w:t>Es por ello que la presente moción busca incorporar una excepción a la normativa vigente,</w:t>
      </w:r>
      <w:r>
        <w:rPr>
          <w:spacing w:val="-14"/>
        </w:rPr>
        <w:t xml:space="preserve"> </w:t>
      </w:r>
      <w:r>
        <w:t>con</w:t>
      </w:r>
      <w:r>
        <w:rPr>
          <w:spacing w:val="-14"/>
        </w:rPr>
        <w:t xml:space="preserve"> </w:t>
      </w:r>
      <w:r>
        <w:t>el</w:t>
      </w:r>
      <w:r>
        <w:rPr>
          <w:spacing w:val="-14"/>
        </w:rPr>
        <w:t xml:space="preserve"> </w:t>
      </w:r>
      <w:r>
        <w:t>propósito</w:t>
      </w:r>
      <w:r>
        <w:rPr>
          <w:spacing w:val="-13"/>
        </w:rPr>
        <w:t xml:space="preserve"> </w:t>
      </w:r>
      <w:r>
        <w:t>de</w:t>
      </w:r>
      <w:r>
        <w:rPr>
          <w:spacing w:val="-14"/>
        </w:rPr>
        <w:t xml:space="preserve"> </w:t>
      </w:r>
      <w:r>
        <w:t>resguardar</w:t>
      </w:r>
      <w:r>
        <w:rPr>
          <w:spacing w:val="-14"/>
        </w:rPr>
        <w:t xml:space="preserve"> </w:t>
      </w:r>
      <w:r>
        <w:t>los</w:t>
      </w:r>
      <w:r>
        <w:rPr>
          <w:spacing w:val="-14"/>
        </w:rPr>
        <w:t xml:space="preserve"> </w:t>
      </w:r>
      <w:r>
        <w:t>derechos</w:t>
      </w:r>
      <w:r>
        <w:rPr>
          <w:spacing w:val="-13"/>
        </w:rPr>
        <w:t xml:space="preserve"> </w:t>
      </w:r>
      <w:r>
        <w:t>de</w:t>
      </w:r>
      <w:r>
        <w:rPr>
          <w:spacing w:val="-14"/>
        </w:rPr>
        <w:t xml:space="preserve"> </w:t>
      </w:r>
      <w:r>
        <w:t>las</w:t>
      </w:r>
      <w:r>
        <w:rPr>
          <w:spacing w:val="-14"/>
        </w:rPr>
        <w:t xml:space="preserve"> </w:t>
      </w:r>
      <w:r>
        <w:t>víctimas,</w:t>
      </w:r>
      <w:r>
        <w:rPr>
          <w:spacing w:val="-14"/>
        </w:rPr>
        <w:t xml:space="preserve"> </w:t>
      </w:r>
      <w:r>
        <w:t>evitando</w:t>
      </w:r>
      <w:r>
        <w:rPr>
          <w:spacing w:val="-13"/>
        </w:rPr>
        <w:t xml:space="preserve"> </w:t>
      </w:r>
      <w:r>
        <w:t>abusos</w:t>
      </w:r>
      <w:r>
        <w:rPr>
          <w:spacing w:val="-14"/>
        </w:rPr>
        <w:t xml:space="preserve"> </w:t>
      </w:r>
      <w:r>
        <w:t>por</w:t>
      </w:r>
      <w:r>
        <w:rPr>
          <w:spacing w:val="-14"/>
        </w:rPr>
        <w:t xml:space="preserve"> </w:t>
      </w:r>
      <w:r>
        <w:t>parte del Estado, estableciendo que la comisión que debe determinar el monto provisional de la indemnización deba contemplar para tal efecto, el valor del bien anterior al incendio.</w:t>
      </w:r>
    </w:p>
    <w:p w:rsidR="00A9147D" w:rsidRDefault="00A9147D">
      <w:pPr>
        <w:pStyle w:val="Textoindependiente"/>
      </w:pPr>
    </w:p>
    <w:p w:rsidR="00A9147D" w:rsidRDefault="00A9147D">
      <w:pPr>
        <w:pStyle w:val="Textoindependiente"/>
      </w:pPr>
    </w:p>
    <w:p w:rsidR="00A9147D" w:rsidRDefault="00A9147D">
      <w:pPr>
        <w:pStyle w:val="Textoindependiente"/>
        <w:spacing w:before="35"/>
      </w:pPr>
    </w:p>
    <w:p w:rsidR="00A9147D" w:rsidRDefault="00000000">
      <w:pPr>
        <w:pStyle w:val="Prrafodelista"/>
        <w:numPr>
          <w:ilvl w:val="0"/>
          <w:numId w:val="2"/>
        </w:numPr>
        <w:tabs>
          <w:tab w:val="left" w:pos="839"/>
        </w:tabs>
        <w:ind w:left="839" w:hanging="586"/>
        <w:jc w:val="left"/>
        <w:rPr>
          <w:b/>
        </w:rPr>
      </w:pPr>
      <w:r>
        <w:rPr>
          <w:b/>
        </w:rPr>
        <w:t>OBJETIVO</w:t>
      </w:r>
      <w:r>
        <w:rPr>
          <w:b/>
          <w:spacing w:val="-1"/>
        </w:rPr>
        <w:t xml:space="preserve"> </w:t>
      </w:r>
      <w:r>
        <w:rPr>
          <w:b/>
        </w:rPr>
        <w:t>DEL</w:t>
      </w:r>
      <w:r>
        <w:rPr>
          <w:b/>
          <w:spacing w:val="-2"/>
        </w:rPr>
        <w:t xml:space="preserve"> PROYECTO</w:t>
      </w:r>
    </w:p>
    <w:p w:rsidR="00A9147D" w:rsidRDefault="00A9147D">
      <w:pPr>
        <w:pStyle w:val="Textoindependiente"/>
        <w:spacing w:before="92"/>
        <w:rPr>
          <w:b/>
        </w:rPr>
      </w:pPr>
    </w:p>
    <w:p w:rsidR="00A9147D" w:rsidRDefault="00000000">
      <w:pPr>
        <w:pStyle w:val="Textoindependiente"/>
        <w:spacing w:line="360" w:lineRule="auto"/>
        <w:ind w:left="119" w:right="118" w:firstLine="720"/>
        <w:jc w:val="both"/>
      </w:pPr>
      <w:r>
        <w:t>Resguardar el derecho de las víctimas de incendios, evitando abusos por parte del Estado en procedimientos de expropiación, estableciendo una excepción, a fin de que la comisión encargada de determinar el monto provisional de la indemnización tenga en consideración el valor del bien con anterioridad al incendio. Es por esto que se somete a vuestra discusión el siguiente:</w:t>
      </w:r>
    </w:p>
    <w:p w:rsidR="00A9147D" w:rsidRDefault="00A9147D">
      <w:pPr>
        <w:spacing w:line="360" w:lineRule="auto"/>
        <w:jc w:val="both"/>
        <w:sectPr w:rsidR="00A9147D" w:rsidSect="003943DD">
          <w:pgSz w:w="11910" w:h="16840"/>
          <w:pgMar w:top="1920" w:right="1320" w:bottom="280" w:left="1320" w:header="720" w:footer="720" w:gutter="0"/>
          <w:cols w:space="720"/>
        </w:sectPr>
      </w:pPr>
    </w:p>
    <w:p w:rsidR="00A9147D" w:rsidRDefault="00000000">
      <w:pPr>
        <w:spacing w:before="6"/>
        <w:ind w:left="175"/>
        <w:jc w:val="both"/>
        <w:rPr>
          <w:b/>
        </w:rPr>
      </w:pPr>
      <w:r>
        <w:rPr>
          <w:b/>
        </w:rPr>
        <w:lastRenderedPageBreak/>
        <w:t>PROYECTO</w:t>
      </w:r>
      <w:r>
        <w:rPr>
          <w:b/>
          <w:spacing w:val="-1"/>
        </w:rPr>
        <w:t xml:space="preserve"> </w:t>
      </w:r>
      <w:r>
        <w:rPr>
          <w:b/>
        </w:rPr>
        <w:t>DE</w:t>
      </w:r>
      <w:r>
        <w:rPr>
          <w:b/>
          <w:spacing w:val="-1"/>
        </w:rPr>
        <w:t xml:space="preserve"> </w:t>
      </w:r>
      <w:r>
        <w:rPr>
          <w:b/>
          <w:spacing w:val="-5"/>
        </w:rPr>
        <w:t>LEY</w:t>
      </w:r>
    </w:p>
    <w:p w:rsidR="00A9147D" w:rsidRDefault="00A9147D">
      <w:pPr>
        <w:pStyle w:val="Textoindependiente"/>
        <w:spacing w:before="91"/>
        <w:rPr>
          <w:b/>
        </w:rPr>
      </w:pPr>
    </w:p>
    <w:p w:rsidR="00A9147D" w:rsidRDefault="00000000">
      <w:pPr>
        <w:pStyle w:val="Textoindependiente"/>
        <w:spacing w:line="360" w:lineRule="auto"/>
        <w:ind w:left="120" w:right="118"/>
        <w:jc w:val="both"/>
      </w:pPr>
      <w:r>
        <w:t>Artículo único.- Modifíquese el Decreto Ley N°2.186 que aprueba la Ley Orgánica Constitucional de Procedimientos de Expropiaciones.</w:t>
      </w:r>
    </w:p>
    <w:p w:rsidR="00A9147D" w:rsidRDefault="00000000">
      <w:pPr>
        <w:pStyle w:val="Textoindependiente"/>
        <w:spacing w:before="240"/>
        <w:ind w:left="175"/>
        <w:jc w:val="both"/>
      </w:pPr>
      <w:r>
        <w:t>Incorpórese</w:t>
      </w:r>
      <w:r>
        <w:rPr>
          <w:spacing w:val="-2"/>
        </w:rPr>
        <w:t xml:space="preserve"> </w:t>
      </w:r>
      <w:r>
        <w:t>un</w:t>
      </w:r>
      <w:r>
        <w:rPr>
          <w:spacing w:val="-2"/>
        </w:rPr>
        <w:t xml:space="preserve"> </w:t>
      </w:r>
      <w:r>
        <w:t>nuevo</w:t>
      </w:r>
      <w:r>
        <w:rPr>
          <w:spacing w:val="-2"/>
        </w:rPr>
        <w:t xml:space="preserve"> </w:t>
      </w:r>
      <w:r>
        <w:t>inciso</w:t>
      </w:r>
      <w:r>
        <w:rPr>
          <w:spacing w:val="-3"/>
        </w:rPr>
        <w:t xml:space="preserve"> </w:t>
      </w:r>
      <w:r>
        <w:t>final al</w:t>
      </w:r>
      <w:r>
        <w:rPr>
          <w:spacing w:val="-1"/>
        </w:rPr>
        <w:t xml:space="preserve"> </w:t>
      </w:r>
      <w:r>
        <w:t>artículo</w:t>
      </w:r>
      <w:r>
        <w:rPr>
          <w:spacing w:val="-3"/>
        </w:rPr>
        <w:t xml:space="preserve"> </w:t>
      </w:r>
      <w:r>
        <w:t>5,</w:t>
      </w:r>
      <w:r>
        <w:rPr>
          <w:spacing w:val="-1"/>
        </w:rPr>
        <w:t xml:space="preserve"> </w:t>
      </w:r>
      <w:r>
        <w:t>del</w:t>
      </w:r>
      <w:r>
        <w:rPr>
          <w:spacing w:val="-2"/>
        </w:rPr>
        <w:t xml:space="preserve"> </w:t>
      </w:r>
      <w:r>
        <w:t>siguiente</w:t>
      </w:r>
      <w:r>
        <w:rPr>
          <w:spacing w:val="-1"/>
        </w:rPr>
        <w:t xml:space="preserve"> </w:t>
      </w:r>
      <w:r>
        <w:rPr>
          <w:spacing w:val="-2"/>
        </w:rPr>
        <w:t>tenor:</w:t>
      </w:r>
    </w:p>
    <w:p w:rsidR="00A9147D" w:rsidRDefault="00A9147D">
      <w:pPr>
        <w:pStyle w:val="Textoindependiente"/>
        <w:spacing w:before="92"/>
      </w:pPr>
    </w:p>
    <w:p w:rsidR="00A9147D" w:rsidRDefault="00000000">
      <w:pPr>
        <w:spacing w:line="360" w:lineRule="auto"/>
        <w:ind w:left="119" w:right="118"/>
        <w:jc w:val="both"/>
        <w:rPr>
          <w:i/>
        </w:rPr>
      </w:pPr>
      <w:r>
        <w:rPr>
          <w:i/>
        </w:rPr>
        <w:t>“En el caso de los terrenos siniestrados por un incendio, la comisión deberá considerar para la determinación del monto provisional de la indemnización, el valor del terreno con anterioridad al siniestro ocurrido.”</w:t>
      </w:r>
    </w:p>
    <w:p w:rsidR="00A9147D" w:rsidRDefault="00A9147D">
      <w:pPr>
        <w:pStyle w:val="Textoindependiente"/>
        <w:rPr>
          <w:i/>
        </w:rPr>
      </w:pPr>
    </w:p>
    <w:p w:rsidR="00A9147D" w:rsidRDefault="00A9147D">
      <w:pPr>
        <w:pStyle w:val="Textoindependiente"/>
        <w:rPr>
          <w:i/>
        </w:rPr>
      </w:pPr>
    </w:p>
    <w:p w:rsidR="00A9147D" w:rsidRDefault="00A9147D">
      <w:pPr>
        <w:pStyle w:val="Textoindependiente"/>
        <w:rPr>
          <w:i/>
        </w:rPr>
      </w:pPr>
    </w:p>
    <w:p w:rsidR="00A9147D" w:rsidRDefault="00A9147D">
      <w:pPr>
        <w:pStyle w:val="Textoindependiente"/>
        <w:rPr>
          <w:i/>
        </w:rPr>
      </w:pPr>
    </w:p>
    <w:p w:rsidR="00A9147D" w:rsidRDefault="00A9147D">
      <w:pPr>
        <w:pStyle w:val="Textoindependiente"/>
        <w:rPr>
          <w:i/>
        </w:rPr>
      </w:pPr>
    </w:p>
    <w:p w:rsidR="00A9147D" w:rsidRDefault="00A9147D">
      <w:pPr>
        <w:pStyle w:val="Textoindependiente"/>
        <w:rPr>
          <w:i/>
        </w:rPr>
      </w:pPr>
    </w:p>
    <w:p w:rsidR="00A9147D" w:rsidRDefault="00A9147D">
      <w:pPr>
        <w:pStyle w:val="Textoindependiente"/>
        <w:spacing w:before="218"/>
        <w:rPr>
          <w:i/>
        </w:rPr>
      </w:pPr>
    </w:p>
    <w:p w:rsidR="00A9147D" w:rsidRDefault="00000000">
      <w:pPr>
        <w:jc w:val="center"/>
        <w:rPr>
          <w:b/>
        </w:rPr>
      </w:pPr>
      <w:r>
        <w:rPr>
          <w:b/>
        </w:rPr>
        <w:t>CHIARA</w:t>
      </w:r>
      <w:r>
        <w:rPr>
          <w:b/>
          <w:spacing w:val="-8"/>
        </w:rPr>
        <w:t xml:space="preserve"> </w:t>
      </w:r>
      <w:r>
        <w:rPr>
          <w:b/>
        </w:rPr>
        <w:t>BARCHIESI</w:t>
      </w:r>
      <w:r>
        <w:rPr>
          <w:b/>
          <w:spacing w:val="-7"/>
        </w:rPr>
        <w:t xml:space="preserve"> </w:t>
      </w:r>
      <w:r>
        <w:rPr>
          <w:b/>
          <w:spacing w:val="-2"/>
        </w:rPr>
        <w:t>CHAVEZ</w:t>
      </w:r>
    </w:p>
    <w:p w:rsidR="00A9147D" w:rsidRDefault="00A9147D">
      <w:pPr>
        <w:pStyle w:val="Textoindependiente"/>
        <w:spacing w:before="91"/>
        <w:rPr>
          <w:b/>
        </w:rPr>
      </w:pPr>
    </w:p>
    <w:p w:rsidR="00A9147D" w:rsidRDefault="00000000">
      <w:pPr>
        <w:ind w:left="3303"/>
        <w:rPr>
          <w:b/>
        </w:rPr>
      </w:pPr>
      <w:r>
        <w:rPr>
          <w:b/>
        </w:rPr>
        <w:t>H.</w:t>
      </w:r>
      <w:r>
        <w:rPr>
          <w:b/>
          <w:spacing w:val="-1"/>
        </w:rPr>
        <w:t xml:space="preserve"> </w:t>
      </w:r>
      <w:r>
        <w:rPr>
          <w:b/>
        </w:rPr>
        <w:t>D. DE</w:t>
      </w:r>
      <w:r>
        <w:rPr>
          <w:b/>
          <w:spacing w:val="-2"/>
        </w:rPr>
        <w:t xml:space="preserve"> </w:t>
      </w:r>
      <w:r>
        <w:rPr>
          <w:b/>
        </w:rPr>
        <w:t>LA</w:t>
      </w:r>
      <w:r>
        <w:rPr>
          <w:b/>
          <w:spacing w:val="-1"/>
        </w:rPr>
        <w:t xml:space="preserve"> </w:t>
      </w:r>
      <w:r>
        <w:rPr>
          <w:b/>
          <w:spacing w:val="-2"/>
        </w:rPr>
        <w:t>REPÚBLICA.</w:t>
      </w:r>
    </w:p>
    <w:sectPr w:rsidR="00A9147D">
      <w:pgSz w:w="11910" w:h="16840"/>
      <w:pgMar w:top="142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0021AA"/>
    <w:multiLevelType w:val="hybridMultilevel"/>
    <w:tmpl w:val="594294CA"/>
    <w:lvl w:ilvl="0" w:tplc="9BF81AD2">
      <w:start w:val="1"/>
      <w:numFmt w:val="upperRoman"/>
      <w:lvlText w:val="%1."/>
      <w:lvlJc w:val="left"/>
      <w:pPr>
        <w:ind w:left="840" w:hanging="490"/>
        <w:jc w:val="right"/>
      </w:pPr>
      <w:rPr>
        <w:rFonts w:hint="default"/>
        <w:spacing w:val="0"/>
        <w:w w:val="100"/>
        <w:lang w:val="es-ES" w:eastAsia="en-US" w:bidi="ar-SA"/>
      </w:rPr>
    </w:lvl>
    <w:lvl w:ilvl="1" w:tplc="58B6C390">
      <w:numFmt w:val="bullet"/>
      <w:lvlText w:val="•"/>
      <w:lvlJc w:val="left"/>
      <w:pPr>
        <w:ind w:left="1682" w:hanging="490"/>
      </w:pPr>
      <w:rPr>
        <w:rFonts w:hint="default"/>
        <w:lang w:val="es-ES" w:eastAsia="en-US" w:bidi="ar-SA"/>
      </w:rPr>
    </w:lvl>
    <w:lvl w:ilvl="2" w:tplc="27DEFC6A">
      <w:numFmt w:val="bullet"/>
      <w:lvlText w:val="•"/>
      <w:lvlJc w:val="left"/>
      <w:pPr>
        <w:ind w:left="2525" w:hanging="490"/>
      </w:pPr>
      <w:rPr>
        <w:rFonts w:hint="default"/>
        <w:lang w:val="es-ES" w:eastAsia="en-US" w:bidi="ar-SA"/>
      </w:rPr>
    </w:lvl>
    <w:lvl w:ilvl="3" w:tplc="23DE6DE6">
      <w:numFmt w:val="bullet"/>
      <w:lvlText w:val="•"/>
      <w:lvlJc w:val="left"/>
      <w:pPr>
        <w:ind w:left="3368" w:hanging="490"/>
      </w:pPr>
      <w:rPr>
        <w:rFonts w:hint="default"/>
        <w:lang w:val="es-ES" w:eastAsia="en-US" w:bidi="ar-SA"/>
      </w:rPr>
    </w:lvl>
    <w:lvl w:ilvl="4" w:tplc="78560274">
      <w:numFmt w:val="bullet"/>
      <w:lvlText w:val="•"/>
      <w:lvlJc w:val="left"/>
      <w:pPr>
        <w:ind w:left="4211" w:hanging="490"/>
      </w:pPr>
      <w:rPr>
        <w:rFonts w:hint="default"/>
        <w:lang w:val="es-ES" w:eastAsia="en-US" w:bidi="ar-SA"/>
      </w:rPr>
    </w:lvl>
    <w:lvl w:ilvl="5" w:tplc="904E6ADC">
      <w:numFmt w:val="bullet"/>
      <w:lvlText w:val="•"/>
      <w:lvlJc w:val="left"/>
      <w:pPr>
        <w:ind w:left="5054" w:hanging="490"/>
      </w:pPr>
      <w:rPr>
        <w:rFonts w:hint="default"/>
        <w:lang w:val="es-ES" w:eastAsia="en-US" w:bidi="ar-SA"/>
      </w:rPr>
    </w:lvl>
    <w:lvl w:ilvl="6" w:tplc="D684FE44">
      <w:numFmt w:val="bullet"/>
      <w:lvlText w:val="•"/>
      <w:lvlJc w:val="left"/>
      <w:pPr>
        <w:ind w:left="5897" w:hanging="490"/>
      </w:pPr>
      <w:rPr>
        <w:rFonts w:hint="default"/>
        <w:lang w:val="es-ES" w:eastAsia="en-US" w:bidi="ar-SA"/>
      </w:rPr>
    </w:lvl>
    <w:lvl w:ilvl="7" w:tplc="049AE0CC">
      <w:numFmt w:val="bullet"/>
      <w:lvlText w:val="•"/>
      <w:lvlJc w:val="left"/>
      <w:pPr>
        <w:ind w:left="6740" w:hanging="490"/>
      </w:pPr>
      <w:rPr>
        <w:rFonts w:hint="default"/>
        <w:lang w:val="es-ES" w:eastAsia="en-US" w:bidi="ar-SA"/>
      </w:rPr>
    </w:lvl>
    <w:lvl w:ilvl="8" w:tplc="A2A420D8">
      <w:numFmt w:val="bullet"/>
      <w:lvlText w:val="•"/>
      <w:lvlJc w:val="left"/>
      <w:pPr>
        <w:ind w:left="7583" w:hanging="490"/>
      </w:pPr>
      <w:rPr>
        <w:rFonts w:hint="default"/>
        <w:lang w:val="es-ES" w:eastAsia="en-US" w:bidi="ar-SA"/>
      </w:rPr>
    </w:lvl>
  </w:abstractNum>
  <w:abstractNum w:abstractNumId="1" w15:restartNumberingAfterBreak="0">
    <w:nsid w:val="5B604A23"/>
    <w:multiLevelType w:val="hybridMultilevel"/>
    <w:tmpl w:val="AB682272"/>
    <w:lvl w:ilvl="0" w:tplc="CC2E7734">
      <w:start w:val="1"/>
      <w:numFmt w:val="decimal"/>
      <w:lvlText w:val="%1"/>
      <w:lvlJc w:val="left"/>
      <w:pPr>
        <w:ind w:left="237" w:hanging="118"/>
        <w:jc w:val="left"/>
      </w:pPr>
      <w:rPr>
        <w:rFonts w:ascii="Arial" w:eastAsia="Arial" w:hAnsi="Arial" w:cs="Arial" w:hint="default"/>
        <w:b w:val="0"/>
        <w:bCs w:val="0"/>
        <w:i w:val="0"/>
        <w:iCs w:val="0"/>
        <w:spacing w:val="0"/>
        <w:w w:val="100"/>
        <w:position w:val="7"/>
        <w:sz w:val="14"/>
        <w:szCs w:val="14"/>
        <w:lang w:val="es-ES" w:eastAsia="en-US" w:bidi="ar-SA"/>
      </w:rPr>
    </w:lvl>
    <w:lvl w:ilvl="1" w:tplc="72BAC11E">
      <w:numFmt w:val="bullet"/>
      <w:lvlText w:val="•"/>
      <w:lvlJc w:val="left"/>
      <w:pPr>
        <w:ind w:left="1142" w:hanging="118"/>
      </w:pPr>
      <w:rPr>
        <w:rFonts w:hint="default"/>
        <w:lang w:val="es-ES" w:eastAsia="en-US" w:bidi="ar-SA"/>
      </w:rPr>
    </w:lvl>
    <w:lvl w:ilvl="2" w:tplc="23E2169E">
      <w:numFmt w:val="bullet"/>
      <w:lvlText w:val="•"/>
      <w:lvlJc w:val="left"/>
      <w:pPr>
        <w:ind w:left="2045" w:hanging="118"/>
      </w:pPr>
      <w:rPr>
        <w:rFonts w:hint="default"/>
        <w:lang w:val="es-ES" w:eastAsia="en-US" w:bidi="ar-SA"/>
      </w:rPr>
    </w:lvl>
    <w:lvl w:ilvl="3" w:tplc="1BC25C32">
      <w:numFmt w:val="bullet"/>
      <w:lvlText w:val="•"/>
      <w:lvlJc w:val="left"/>
      <w:pPr>
        <w:ind w:left="2948" w:hanging="118"/>
      </w:pPr>
      <w:rPr>
        <w:rFonts w:hint="default"/>
        <w:lang w:val="es-ES" w:eastAsia="en-US" w:bidi="ar-SA"/>
      </w:rPr>
    </w:lvl>
    <w:lvl w:ilvl="4" w:tplc="72849F56">
      <w:numFmt w:val="bullet"/>
      <w:lvlText w:val="•"/>
      <w:lvlJc w:val="left"/>
      <w:pPr>
        <w:ind w:left="3851" w:hanging="118"/>
      </w:pPr>
      <w:rPr>
        <w:rFonts w:hint="default"/>
        <w:lang w:val="es-ES" w:eastAsia="en-US" w:bidi="ar-SA"/>
      </w:rPr>
    </w:lvl>
    <w:lvl w:ilvl="5" w:tplc="565C7EBE">
      <w:numFmt w:val="bullet"/>
      <w:lvlText w:val="•"/>
      <w:lvlJc w:val="left"/>
      <w:pPr>
        <w:ind w:left="4754" w:hanging="118"/>
      </w:pPr>
      <w:rPr>
        <w:rFonts w:hint="default"/>
        <w:lang w:val="es-ES" w:eastAsia="en-US" w:bidi="ar-SA"/>
      </w:rPr>
    </w:lvl>
    <w:lvl w:ilvl="6" w:tplc="B28E9A86">
      <w:numFmt w:val="bullet"/>
      <w:lvlText w:val="•"/>
      <w:lvlJc w:val="left"/>
      <w:pPr>
        <w:ind w:left="5657" w:hanging="118"/>
      </w:pPr>
      <w:rPr>
        <w:rFonts w:hint="default"/>
        <w:lang w:val="es-ES" w:eastAsia="en-US" w:bidi="ar-SA"/>
      </w:rPr>
    </w:lvl>
    <w:lvl w:ilvl="7" w:tplc="B20621FA">
      <w:numFmt w:val="bullet"/>
      <w:lvlText w:val="•"/>
      <w:lvlJc w:val="left"/>
      <w:pPr>
        <w:ind w:left="6560" w:hanging="118"/>
      </w:pPr>
      <w:rPr>
        <w:rFonts w:hint="default"/>
        <w:lang w:val="es-ES" w:eastAsia="en-US" w:bidi="ar-SA"/>
      </w:rPr>
    </w:lvl>
    <w:lvl w:ilvl="8" w:tplc="C00AE784">
      <w:numFmt w:val="bullet"/>
      <w:lvlText w:val="•"/>
      <w:lvlJc w:val="left"/>
      <w:pPr>
        <w:ind w:left="7463" w:hanging="118"/>
      </w:pPr>
      <w:rPr>
        <w:rFonts w:hint="default"/>
        <w:lang w:val="es-ES" w:eastAsia="en-US" w:bidi="ar-SA"/>
      </w:rPr>
    </w:lvl>
  </w:abstractNum>
  <w:num w:numId="1" w16cid:durableId="116149464">
    <w:abstractNumId w:val="1"/>
  </w:num>
  <w:num w:numId="2" w16cid:durableId="1713725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47D"/>
    <w:rsid w:val="003943DD"/>
    <w:rsid w:val="00550B53"/>
    <w:rsid w:val="00A914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816E3-FDF4-414D-B5E3-D27672BB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237" w:hanging="11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2691</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2024-04-04T12:44:00Z</dcterms:created>
  <dcterms:modified xsi:type="dcterms:W3CDTF">2024-04-10T00:36:00Z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2024-03-22T00:00:00Z</vt:filetime>
  </property>
  <property fmtid="{D5CDD505-2E9C-101B-9397-08002B2CF9AE}" pid="3" name="Creator">
    <vt:lpwstr>Microsoft Office Word</vt:lpwstr>
  </property>
  <property fmtid="{D5CDD505-2E9C-101B-9397-08002B2CF9AE}" pid="4" name="LastSaved">
    <vt:filetime>2024-04-04T00:00:00Z</vt:filetime>
  </property>
  <property fmtid="{D5CDD505-2E9C-101B-9397-08002B2CF9AE}" pid="5" name="Producer">
    <vt:lpwstr>Aspose.Words for .NET 16.6.0.0</vt:lpwstr>
  </property>
</Properties>
</file>