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57D5" w:rsidRDefault="00000000">
      <w:pPr>
        <w:pStyle w:val="Textoindependiente"/>
        <w:ind w:left="3660"/>
        <w:rPr>
          <w:rFonts w:ascii="Times New Roman"/>
          <w:sz w:val="20"/>
        </w:rPr>
      </w:pPr>
      <w:r>
        <w:rPr>
          <w:rFonts w:ascii="Times New Roman"/>
          <w:noProof/>
          <w:sz w:val="20"/>
        </w:rPr>
        <w:drawing>
          <wp:inline distT="0" distB="0" distL="0" distR="0">
            <wp:extent cx="1086210" cy="11334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86210" cy="1133475"/>
                    </a:xfrm>
                    <a:prstGeom prst="rect">
                      <a:avLst/>
                    </a:prstGeom>
                  </pic:spPr>
                </pic:pic>
              </a:graphicData>
            </a:graphic>
          </wp:inline>
        </w:drawing>
      </w:r>
    </w:p>
    <w:p w:rsidR="00FB57D5" w:rsidRDefault="00FB57D5">
      <w:pPr>
        <w:pStyle w:val="Textoindependiente"/>
        <w:spacing w:before="69"/>
        <w:rPr>
          <w:rFonts w:ascii="Times New Roman"/>
        </w:rPr>
      </w:pPr>
    </w:p>
    <w:p w:rsidR="00FB57D5" w:rsidRDefault="00000000">
      <w:pPr>
        <w:ind w:left="1364" w:hanging="701"/>
        <w:rPr>
          <w:b/>
          <w:sz w:val="24"/>
        </w:rPr>
      </w:pPr>
      <w:r>
        <w:rPr>
          <w:b/>
          <w:sz w:val="24"/>
        </w:rPr>
        <w:t>Proyecto</w:t>
      </w:r>
      <w:r>
        <w:rPr>
          <w:b/>
          <w:spacing w:val="-4"/>
          <w:sz w:val="24"/>
        </w:rPr>
        <w:t xml:space="preserve"> </w:t>
      </w:r>
      <w:r>
        <w:rPr>
          <w:b/>
          <w:sz w:val="24"/>
        </w:rPr>
        <w:t>de</w:t>
      </w:r>
      <w:r>
        <w:rPr>
          <w:b/>
          <w:spacing w:val="-2"/>
          <w:sz w:val="24"/>
        </w:rPr>
        <w:t xml:space="preserve"> </w:t>
      </w:r>
      <w:r>
        <w:rPr>
          <w:b/>
          <w:sz w:val="24"/>
        </w:rPr>
        <w:t>ley</w:t>
      </w:r>
      <w:r>
        <w:rPr>
          <w:b/>
          <w:spacing w:val="-7"/>
          <w:sz w:val="24"/>
        </w:rPr>
        <w:t xml:space="preserve"> </w:t>
      </w:r>
      <w:r>
        <w:rPr>
          <w:b/>
          <w:sz w:val="24"/>
        </w:rPr>
        <w:t>que asegura</w:t>
      </w:r>
      <w:r>
        <w:rPr>
          <w:b/>
          <w:spacing w:val="40"/>
          <w:sz w:val="24"/>
        </w:rPr>
        <w:t xml:space="preserve"> </w:t>
      </w:r>
      <w:r>
        <w:rPr>
          <w:b/>
          <w:sz w:val="24"/>
        </w:rPr>
        <w:t>un</w:t>
      </w:r>
      <w:r>
        <w:rPr>
          <w:b/>
          <w:spacing w:val="-3"/>
          <w:sz w:val="24"/>
        </w:rPr>
        <w:t xml:space="preserve"> </w:t>
      </w:r>
      <w:r>
        <w:rPr>
          <w:b/>
          <w:sz w:val="24"/>
        </w:rPr>
        <w:t>caudal</w:t>
      </w:r>
      <w:r>
        <w:rPr>
          <w:b/>
          <w:spacing w:val="-3"/>
          <w:sz w:val="24"/>
        </w:rPr>
        <w:t xml:space="preserve"> </w:t>
      </w:r>
      <w:r>
        <w:rPr>
          <w:b/>
          <w:sz w:val="24"/>
        </w:rPr>
        <w:t>mínimo</w:t>
      </w:r>
      <w:r>
        <w:rPr>
          <w:b/>
          <w:spacing w:val="-3"/>
          <w:sz w:val="24"/>
        </w:rPr>
        <w:t xml:space="preserve"> </w:t>
      </w:r>
      <w:r>
        <w:rPr>
          <w:b/>
          <w:sz w:val="24"/>
        </w:rPr>
        <w:t>de</w:t>
      </w:r>
      <w:r>
        <w:rPr>
          <w:b/>
          <w:spacing w:val="-3"/>
          <w:sz w:val="24"/>
        </w:rPr>
        <w:t xml:space="preserve"> </w:t>
      </w:r>
      <w:r>
        <w:rPr>
          <w:b/>
          <w:sz w:val="24"/>
        </w:rPr>
        <w:t>agua</w:t>
      </w:r>
      <w:r>
        <w:rPr>
          <w:b/>
          <w:spacing w:val="-3"/>
          <w:sz w:val="24"/>
        </w:rPr>
        <w:t xml:space="preserve"> </w:t>
      </w:r>
      <w:r>
        <w:rPr>
          <w:b/>
          <w:sz w:val="24"/>
        </w:rPr>
        <w:t>a</w:t>
      </w:r>
      <w:r>
        <w:rPr>
          <w:b/>
          <w:spacing w:val="-2"/>
          <w:sz w:val="24"/>
        </w:rPr>
        <w:t xml:space="preserve"> </w:t>
      </w:r>
      <w:r>
        <w:rPr>
          <w:b/>
          <w:sz w:val="24"/>
        </w:rPr>
        <w:t>todas</w:t>
      </w:r>
      <w:r>
        <w:rPr>
          <w:b/>
          <w:spacing w:val="-3"/>
          <w:sz w:val="24"/>
        </w:rPr>
        <w:t xml:space="preserve"> </w:t>
      </w:r>
      <w:r>
        <w:rPr>
          <w:b/>
          <w:sz w:val="24"/>
        </w:rPr>
        <w:t>las personas, denominado “</w:t>
      </w:r>
      <w:r>
        <w:rPr>
          <w:b/>
          <w:i/>
          <w:sz w:val="24"/>
        </w:rPr>
        <w:t>el agua no se le niega a nadie</w:t>
      </w:r>
      <w:r>
        <w:rPr>
          <w:b/>
          <w:sz w:val="24"/>
        </w:rPr>
        <w:t>”</w:t>
      </w:r>
    </w:p>
    <w:p w:rsidR="00FB57D5" w:rsidRDefault="00FB57D5">
      <w:pPr>
        <w:pStyle w:val="Textoindependiente"/>
        <w:spacing w:before="142"/>
        <w:rPr>
          <w:b/>
        </w:rPr>
      </w:pPr>
    </w:p>
    <w:p w:rsidR="00FB57D5" w:rsidRDefault="00000000">
      <w:pPr>
        <w:pStyle w:val="Ttulo1"/>
      </w:pPr>
      <w:r>
        <w:rPr>
          <w:spacing w:val="-2"/>
          <w:u w:val="single"/>
        </w:rPr>
        <w:t>ANTECEDENTES</w:t>
      </w:r>
    </w:p>
    <w:p w:rsidR="00FB57D5" w:rsidRDefault="00000000">
      <w:pPr>
        <w:spacing w:before="137" w:line="360" w:lineRule="auto"/>
        <w:ind w:left="102" w:right="119" w:firstLine="602"/>
        <w:jc w:val="both"/>
        <w:rPr>
          <w:sz w:val="24"/>
        </w:rPr>
      </w:pPr>
      <w:r>
        <w:rPr>
          <w:sz w:val="24"/>
        </w:rPr>
        <w:t>El consumo de agua es un elemento fundamental para la vida de las personas, por ello, “</w:t>
      </w:r>
      <w:r>
        <w:rPr>
          <w:i/>
          <w:sz w:val="24"/>
        </w:rPr>
        <w:t>en 2010 la Asamblea General de las Naciones Unidas reconoció explícitamente el derecho humano al abastecimiento de agua y al saneamiento. Todas las personas tienen derecho a disponer de forma continuada de cantidades suficientes de agua salubre, físicamente accesible, asequible y de una calidad aceptable para el uso personal y doméstico</w:t>
      </w:r>
      <w:r>
        <w:rPr>
          <w:sz w:val="24"/>
        </w:rPr>
        <w:t>.”</w:t>
      </w:r>
      <w:r>
        <w:rPr>
          <w:sz w:val="24"/>
          <w:vertAlign w:val="superscript"/>
        </w:rPr>
        <w:t>1</w:t>
      </w:r>
    </w:p>
    <w:p w:rsidR="00FB57D5" w:rsidRDefault="00000000">
      <w:pPr>
        <w:pStyle w:val="Textoindependiente"/>
        <w:spacing w:before="200" w:line="360" w:lineRule="auto"/>
        <w:ind w:left="102" w:right="115" w:firstLine="535"/>
        <w:jc w:val="both"/>
      </w:pPr>
      <w:r>
        <w:t>El agua es indispensable para el desarrollo adecuado de las actividades diarias y cotidianas de todas las personas, de manera de cubrir los requerimientos propios de nuestro organismo tanto de alimentos y bebestible, ya que indistintamente de nuestra composición física, es importante que todos los días se considere tomar mínimo 2 a 3 litros de agua como parte de nuestros hábitos.</w:t>
      </w:r>
    </w:p>
    <w:p w:rsidR="00FB57D5" w:rsidRDefault="00000000">
      <w:pPr>
        <w:spacing w:before="201" w:line="360" w:lineRule="auto"/>
        <w:ind w:left="102" w:right="114" w:firstLine="587"/>
        <w:jc w:val="both"/>
        <w:rPr>
          <w:i/>
          <w:sz w:val="24"/>
        </w:rPr>
      </w:pPr>
      <w:r>
        <w:rPr>
          <w:sz w:val="24"/>
        </w:rPr>
        <w:t>Según el estudio denominado</w:t>
      </w:r>
      <w:r>
        <w:rPr>
          <w:spacing w:val="40"/>
          <w:sz w:val="24"/>
        </w:rPr>
        <w:t xml:space="preserve"> </w:t>
      </w:r>
      <w:r>
        <w:rPr>
          <w:b/>
          <w:sz w:val="24"/>
        </w:rPr>
        <w:t>Importancia del consumo de agua en la salud y la prevención de la enfermedad: situación actual</w:t>
      </w:r>
      <w:r>
        <w:rPr>
          <w:sz w:val="24"/>
        </w:rPr>
        <w:t>, se indica que “</w:t>
      </w:r>
      <w:r>
        <w:rPr>
          <w:i/>
          <w:sz w:val="24"/>
        </w:rPr>
        <w:t>El agua participa en prácticamente todas las funciones del cuerpo humano, jugando un papel fundamental en el mantenimiento de la salud. Por tanto, los</w:t>
      </w:r>
      <w:r>
        <w:rPr>
          <w:i/>
          <w:spacing w:val="40"/>
          <w:sz w:val="24"/>
        </w:rPr>
        <w:t xml:space="preserve"> </w:t>
      </w:r>
      <w:r>
        <w:rPr>
          <w:i/>
          <w:sz w:val="24"/>
        </w:rPr>
        <w:t>desequilibrios del agua, ya sean cuantitativos (deshidratación y sobrehidratación)</w:t>
      </w:r>
      <w:r>
        <w:rPr>
          <w:i/>
          <w:spacing w:val="40"/>
          <w:sz w:val="24"/>
        </w:rPr>
        <w:t xml:space="preserve"> </w:t>
      </w:r>
      <w:r>
        <w:rPr>
          <w:i/>
          <w:sz w:val="24"/>
        </w:rPr>
        <w:t>o cualitativos (cambios en los porcentajes de los compartimentos intracelular y extracelular), afectan a</w:t>
      </w:r>
      <w:r>
        <w:rPr>
          <w:i/>
          <w:spacing w:val="-1"/>
          <w:sz w:val="24"/>
        </w:rPr>
        <w:t xml:space="preserve"> </w:t>
      </w:r>
      <w:r>
        <w:rPr>
          <w:i/>
          <w:sz w:val="24"/>
        </w:rPr>
        <w:t>las funciones del cuerpo, pudiendo causar</w:t>
      </w:r>
      <w:r>
        <w:rPr>
          <w:i/>
          <w:spacing w:val="-1"/>
          <w:sz w:val="24"/>
        </w:rPr>
        <w:t xml:space="preserve"> </w:t>
      </w:r>
      <w:r>
        <w:rPr>
          <w:i/>
          <w:sz w:val="24"/>
        </w:rPr>
        <w:t>enfermedades</w:t>
      </w:r>
      <w:r>
        <w:rPr>
          <w:i/>
          <w:spacing w:val="-5"/>
          <w:sz w:val="24"/>
        </w:rPr>
        <w:t xml:space="preserve"> </w:t>
      </w:r>
      <w:r>
        <w:rPr>
          <w:i/>
          <w:sz w:val="24"/>
        </w:rPr>
        <w:t>e incluso la muerte.”</w:t>
      </w:r>
      <w:r>
        <w:rPr>
          <w:i/>
          <w:sz w:val="24"/>
          <w:vertAlign w:val="superscript"/>
        </w:rPr>
        <w:t>2</w:t>
      </w:r>
    </w:p>
    <w:p w:rsidR="00FB57D5" w:rsidRDefault="00FB57D5">
      <w:pPr>
        <w:pStyle w:val="Textoindependiente"/>
        <w:rPr>
          <w:i/>
          <w:sz w:val="20"/>
        </w:rPr>
      </w:pPr>
    </w:p>
    <w:p w:rsidR="00FB57D5" w:rsidRDefault="00000000">
      <w:pPr>
        <w:pStyle w:val="Textoindependiente"/>
        <w:spacing w:before="135"/>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247399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E555A" id="Graphic 3" o:spid="_x0000_s1026" style="position:absolute;margin-left:85.1pt;margin-top:19.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" path="m1829054,l,,,9143r1829054,l1829054,xe" fillcolor="black" stroked="f">
                <v:path arrowok="t"/>
                <w10:wrap type="topAndBottom" anchorx="page"/>
              </v:shape>
            </w:pict>
          </mc:Fallback>
        </mc:AlternateContent>
      </w:r>
    </w:p>
    <w:p w:rsidR="00FB57D5" w:rsidRDefault="00000000">
      <w:pPr>
        <w:spacing w:before="102"/>
        <w:ind w:left="102"/>
        <w:rPr>
          <w:rFonts w:ascii="Calibri"/>
          <w:sz w:val="20"/>
        </w:rPr>
      </w:pPr>
      <w:r>
        <w:rPr>
          <w:rFonts w:ascii="Calibri"/>
          <w:spacing w:val="-2"/>
          <w:sz w:val="20"/>
          <w:vertAlign w:val="superscript"/>
        </w:rPr>
        <w:t>1</w:t>
      </w:r>
      <w:r>
        <w:rPr>
          <w:rFonts w:ascii="Calibri"/>
          <w:spacing w:val="58"/>
          <w:sz w:val="20"/>
        </w:rPr>
        <w:t xml:space="preserve"> </w:t>
      </w:r>
      <w:hyperlink r:id="rId8">
        <w:r>
          <w:rPr>
            <w:rFonts w:ascii="Calibri"/>
            <w:color w:val="0000FF"/>
            <w:spacing w:val="-2"/>
            <w:sz w:val="20"/>
            <w:u w:val="single" w:color="0000FF"/>
          </w:rPr>
          <w:t>https://www.who.int/es/news-room/fact-sheets/detail/drinking-water</w:t>
        </w:r>
      </w:hyperlink>
    </w:p>
    <w:p w:rsidR="00FB57D5" w:rsidRDefault="00000000">
      <w:pPr>
        <w:spacing w:before="1"/>
        <w:ind w:left="102"/>
        <w:rPr>
          <w:rFonts w:ascii="Calibri"/>
          <w:sz w:val="20"/>
        </w:rPr>
      </w:pPr>
      <w:r>
        <w:rPr>
          <w:rFonts w:ascii="Calibri"/>
          <w:spacing w:val="-2"/>
          <w:sz w:val="20"/>
          <w:vertAlign w:val="superscript"/>
        </w:rPr>
        <w:t>2</w:t>
      </w:r>
      <w:r>
        <w:rPr>
          <w:rFonts w:ascii="Calibri"/>
          <w:spacing w:val="63"/>
          <w:sz w:val="20"/>
        </w:rPr>
        <w:t xml:space="preserve"> </w:t>
      </w:r>
      <w:hyperlink r:id="rId9">
        <w:r>
          <w:rPr>
            <w:rFonts w:ascii="Calibri"/>
            <w:color w:val="0000FF"/>
            <w:spacing w:val="-2"/>
            <w:sz w:val="20"/>
            <w:u w:val="single" w:color="0000FF"/>
          </w:rPr>
          <w:t>https://scielo.isciii.es/scielo.php?script=sci_arttext&amp;pid=S0212-16112020000700026</w:t>
        </w:r>
      </w:hyperlink>
    </w:p>
    <w:p w:rsidR="00FB57D5" w:rsidRDefault="00FB57D5">
      <w:pPr>
        <w:rPr>
          <w:rFonts w:ascii="Calibri"/>
          <w:sz w:val="20"/>
        </w:rPr>
        <w:sectPr w:rsidR="00FB57D5" w:rsidSect="002E5E12">
          <w:footerReference w:type="default" r:id="rId10"/>
          <w:type w:val="continuous"/>
          <w:pgSz w:w="12240" w:h="15840"/>
          <w:pgMar w:top="1420" w:right="1580" w:bottom="1200" w:left="1600" w:header="0" w:footer="1003" w:gutter="0"/>
          <w:pgNumType w:start="1"/>
          <w:cols w:space="720"/>
        </w:sectPr>
      </w:pPr>
    </w:p>
    <w:p w:rsidR="00FB57D5" w:rsidRDefault="00000000">
      <w:pPr>
        <w:pStyle w:val="Textoindependiente"/>
        <w:spacing w:before="74" w:line="360" w:lineRule="auto"/>
        <w:ind w:left="102" w:right="117" w:firstLine="669"/>
        <w:jc w:val="both"/>
      </w:pPr>
      <w:r>
        <w:lastRenderedPageBreak/>
        <w:t>En este sentido nuestra legislación ha resguardado el consumo de agua potable, establecido legalmente como un servicio básico según la</w:t>
      </w:r>
      <w:r>
        <w:rPr>
          <w:spacing w:val="-1"/>
        </w:rPr>
        <w:t xml:space="preserve"> </w:t>
      </w:r>
      <w:r>
        <w:t>Ley del Consumidor, donde se aseguran a los usuarios los siguientes derechos:</w:t>
      </w:r>
      <w:r>
        <w:rPr>
          <w:vertAlign w:val="superscript"/>
        </w:rPr>
        <w:t>3</w:t>
      </w:r>
    </w:p>
    <w:p w:rsidR="00FB57D5" w:rsidRDefault="00000000">
      <w:pPr>
        <w:pStyle w:val="Prrafodelista"/>
        <w:numPr>
          <w:ilvl w:val="0"/>
          <w:numId w:val="2"/>
        </w:numPr>
        <w:tabs>
          <w:tab w:val="left" w:pos="821"/>
        </w:tabs>
        <w:spacing w:before="201" w:line="350" w:lineRule="auto"/>
        <w:ind w:left="821" w:right="127"/>
        <w:rPr>
          <w:sz w:val="24"/>
        </w:rPr>
      </w:pPr>
      <w:r>
        <w:rPr>
          <w:sz w:val="24"/>
        </w:rPr>
        <w:t>Acceder al servicio de agua potable y alcantarillado dentro del área donde</w:t>
      </w:r>
      <w:r>
        <w:rPr>
          <w:spacing w:val="40"/>
          <w:sz w:val="24"/>
        </w:rPr>
        <w:t xml:space="preserve"> </w:t>
      </w:r>
      <w:r>
        <w:rPr>
          <w:sz w:val="24"/>
        </w:rPr>
        <w:t>la empresa sanitaria presta sus servicios.</w:t>
      </w:r>
    </w:p>
    <w:p w:rsidR="00FB57D5" w:rsidRDefault="00000000">
      <w:pPr>
        <w:pStyle w:val="Prrafodelista"/>
        <w:numPr>
          <w:ilvl w:val="0"/>
          <w:numId w:val="2"/>
        </w:numPr>
        <w:tabs>
          <w:tab w:val="left" w:pos="820"/>
        </w:tabs>
        <w:spacing w:before="13"/>
        <w:ind w:left="820" w:hanging="359"/>
        <w:rPr>
          <w:sz w:val="24"/>
        </w:rPr>
      </w:pPr>
      <w:r>
        <w:rPr>
          <w:sz w:val="24"/>
        </w:rPr>
        <w:t>Recibir</w:t>
      </w:r>
      <w:r>
        <w:rPr>
          <w:spacing w:val="-5"/>
          <w:sz w:val="24"/>
        </w:rPr>
        <w:t xml:space="preserve"> </w:t>
      </w:r>
      <w:r>
        <w:rPr>
          <w:sz w:val="24"/>
        </w:rPr>
        <w:t>un</w:t>
      </w:r>
      <w:r>
        <w:rPr>
          <w:spacing w:val="-2"/>
          <w:sz w:val="24"/>
        </w:rPr>
        <w:t xml:space="preserve"> </w:t>
      </w:r>
      <w:r>
        <w:rPr>
          <w:sz w:val="24"/>
        </w:rPr>
        <w:t>servicio</w:t>
      </w:r>
      <w:r>
        <w:rPr>
          <w:spacing w:val="-2"/>
          <w:sz w:val="24"/>
        </w:rPr>
        <w:t xml:space="preserve"> </w:t>
      </w:r>
      <w:r>
        <w:rPr>
          <w:sz w:val="24"/>
        </w:rPr>
        <w:t>continuo</w:t>
      </w:r>
      <w:r>
        <w:rPr>
          <w:spacing w:val="-2"/>
          <w:sz w:val="24"/>
        </w:rPr>
        <w:t xml:space="preserve"> </w:t>
      </w:r>
      <w:r>
        <w:rPr>
          <w:sz w:val="24"/>
        </w:rPr>
        <w:t>y</w:t>
      </w:r>
      <w:r>
        <w:rPr>
          <w:spacing w:val="-4"/>
          <w:sz w:val="24"/>
        </w:rPr>
        <w:t xml:space="preserve"> </w:t>
      </w:r>
      <w:r>
        <w:rPr>
          <w:sz w:val="24"/>
        </w:rPr>
        <w:t>de</w:t>
      </w:r>
      <w:r>
        <w:rPr>
          <w:spacing w:val="-4"/>
          <w:sz w:val="24"/>
        </w:rPr>
        <w:t xml:space="preserve"> </w:t>
      </w:r>
      <w:r>
        <w:rPr>
          <w:spacing w:val="-2"/>
          <w:sz w:val="24"/>
        </w:rPr>
        <w:t>calidad.</w:t>
      </w:r>
    </w:p>
    <w:p w:rsidR="00FB57D5" w:rsidRDefault="00000000">
      <w:pPr>
        <w:pStyle w:val="Prrafodelista"/>
        <w:numPr>
          <w:ilvl w:val="0"/>
          <w:numId w:val="2"/>
        </w:numPr>
        <w:tabs>
          <w:tab w:val="left" w:pos="821"/>
        </w:tabs>
        <w:spacing w:before="135" w:line="350" w:lineRule="auto"/>
        <w:ind w:left="821" w:right="127"/>
        <w:jc w:val="left"/>
        <w:rPr>
          <w:sz w:val="24"/>
        </w:rPr>
      </w:pPr>
      <w:r>
        <w:rPr>
          <w:sz w:val="24"/>
        </w:rPr>
        <w:t>Ser informado de cualquier medida que afecte la calidad y continuidad de</w:t>
      </w:r>
      <w:r>
        <w:rPr>
          <w:spacing w:val="40"/>
          <w:sz w:val="24"/>
        </w:rPr>
        <w:t xml:space="preserve"> </w:t>
      </w:r>
      <w:r>
        <w:rPr>
          <w:sz w:val="24"/>
        </w:rPr>
        <w:t>los servicios o de los motivos de cualquier cobro.</w:t>
      </w:r>
    </w:p>
    <w:p w:rsidR="00FB57D5" w:rsidRDefault="00000000">
      <w:pPr>
        <w:pStyle w:val="Prrafodelista"/>
        <w:numPr>
          <w:ilvl w:val="0"/>
          <w:numId w:val="2"/>
        </w:numPr>
        <w:tabs>
          <w:tab w:val="left" w:pos="821"/>
        </w:tabs>
        <w:spacing w:before="14" w:line="350" w:lineRule="auto"/>
        <w:ind w:left="821" w:right="127"/>
        <w:jc w:val="left"/>
        <w:rPr>
          <w:sz w:val="24"/>
        </w:rPr>
      </w:pPr>
      <w:r>
        <w:rPr>
          <w:sz w:val="24"/>
        </w:rPr>
        <w:t>Que la empresa de agua potable le asegure el correcto funcionamiento de su medidor.</w:t>
      </w:r>
    </w:p>
    <w:p w:rsidR="00FB57D5" w:rsidRDefault="00000000">
      <w:pPr>
        <w:pStyle w:val="Prrafodelista"/>
        <w:numPr>
          <w:ilvl w:val="0"/>
          <w:numId w:val="2"/>
        </w:numPr>
        <w:tabs>
          <w:tab w:val="left" w:pos="821"/>
        </w:tabs>
        <w:spacing w:before="12"/>
        <w:ind w:left="821"/>
        <w:jc w:val="left"/>
        <w:rPr>
          <w:sz w:val="24"/>
        </w:rPr>
      </w:pPr>
      <w:r>
        <w:rPr>
          <w:sz w:val="24"/>
        </w:rPr>
        <w:t>Que</w:t>
      </w:r>
      <w:r>
        <w:rPr>
          <w:spacing w:val="-3"/>
          <w:sz w:val="24"/>
        </w:rPr>
        <w:t xml:space="preserve"> </w:t>
      </w:r>
      <w:r>
        <w:rPr>
          <w:sz w:val="24"/>
        </w:rPr>
        <w:t>le</w:t>
      </w:r>
      <w:r>
        <w:rPr>
          <w:spacing w:val="-3"/>
          <w:sz w:val="24"/>
        </w:rPr>
        <w:t xml:space="preserve"> </w:t>
      </w:r>
      <w:r>
        <w:rPr>
          <w:sz w:val="24"/>
        </w:rPr>
        <w:t>realicen</w:t>
      </w:r>
      <w:r>
        <w:rPr>
          <w:spacing w:val="-4"/>
          <w:sz w:val="24"/>
        </w:rPr>
        <w:t xml:space="preserve"> </w:t>
      </w:r>
      <w:r>
        <w:rPr>
          <w:sz w:val="24"/>
        </w:rPr>
        <w:t>una</w:t>
      </w:r>
      <w:r>
        <w:rPr>
          <w:spacing w:val="-2"/>
          <w:sz w:val="24"/>
        </w:rPr>
        <w:t xml:space="preserve"> </w:t>
      </w:r>
      <w:r>
        <w:rPr>
          <w:sz w:val="24"/>
        </w:rPr>
        <w:t>correcta</w:t>
      </w:r>
      <w:r>
        <w:rPr>
          <w:spacing w:val="-2"/>
          <w:sz w:val="24"/>
        </w:rPr>
        <w:t xml:space="preserve"> </w:t>
      </w:r>
      <w:r>
        <w:rPr>
          <w:sz w:val="24"/>
        </w:rPr>
        <w:t>medición</w:t>
      </w:r>
      <w:r>
        <w:rPr>
          <w:spacing w:val="-4"/>
          <w:sz w:val="24"/>
        </w:rPr>
        <w:t xml:space="preserve"> </w:t>
      </w:r>
      <w:r>
        <w:rPr>
          <w:sz w:val="24"/>
        </w:rPr>
        <w:t>de</w:t>
      </w:r>
      <w:r>
        <w:rPr>
          <w:spacing w:val="-3"/>
          <w:sz w:val="24"/>
        </w:rPr>
        <w:t xml:space="preserve"> </w:t>
      </w:r>
      <w:r>
        <w:rPr>
          <w:sz w:val="24"/>
        </w:rPr>
        <w:t>su</w:t>
      </w:r>
      <w:r>
        <w:rPr>
          <w:spacing w:val="-3"/>
          <w:sz w:val="24"/>
        </w:rPr>
        <w:t xml:space="preserve"> </w:t>
      </w:r>
      <w:r>
        <w:rPr>
          <w:spacing w:val="-2"/>
          <w:sz w:val="24"/>
        </w:rPr>
        <w:t>consumo.</w:t>
      </w:r>
    </w:p>
    <w:p w:rsidR="00FB57D5" w:rsidRDefault="00000000">
      <w:pPr>
        <w:pStyle w:val="Prrafodelista"/>
        <w:numPr>
          <w:ilvl w:val="0"/>
          <w:numId w:val="2"/>
        </w:numPr>
        <w:tabs>
          <w:tab w:val="left" w:pos="821"/>
        </w:tabs>
        <w:spacing w:before="136"/>
        <w:ind w:left="821"/>
        <w:jc w:val="left"/>
        <w:rPr>
          <w:sz w:val="24"/>
        </w:rPr>
      </w:pPr>
      <w:r>
        <w:rPr>
          <w:sz w:val="24"/>
        </w:rPr>
        <w:t>Conocer</w:t>
      </w:r>
      <w:r>
        <w:rPr>
          <w:spacing w:val="-2"/>
          <w:sz w:val="24"/>
        </w:rPr>
        <w:t xml:space="preserve"> </w:t>
      </w:r>
      <w:r>
        <w:rPr>
          <w:sz w:val="24"/>
        </w:rPr>
        <w:t>las</w:t>
      </w:r>
      <w:r>
        <w:rPr>
          <w:spacing w:val="-5"/>
          <w:sz w:val="24"/>
        </w:rPr>
        <w:t xml:space="preserve"> </w:t>
      </w:r>
      <w:r>
        <w:rPr>
          <w:sz w:val="24"/>
        </w:rPr>
        <w:t>tarifas</w:t>
      </w:r>
      <w:r>
        <w:rPr>
          <w:spacing w:val="-2"/>
          <w:sz w:val="24"/>
        </w:rPr>
        <w:t xml:space="preserve"> </w:t>
      </w:r>
      <w:r>
        <w:rPr>
          <w:sz w:val="24"/>
        </w:rPr>
        <w:t>que</w:t>
      </w:r>
      <w:r>
        <w:rPr>
          <w:spacing w:val="-2"/>
          <w:sz w:val="24"/>
        </w:rPr>
        <w:t xml:space="preserve"> </w:t>
      </w:r>
      <w:r>
        <w:rPr>
          <w:sz w:val="24"/>
        </w:rPr>
        <w:t>le</w:t>
      </w:r>
      <w:r>
        <w:rPr>
          <w:spacing w:val="-1"/>
          <w:sz w:val="24"/>
        </w:rPr>
        <w:t xml:space="preserve"> </w:t>
      </w:r>
      <w:r>
        <w:rPr>
          <w:spacing w:val="-2"/>
          <w:sz w:val="24"/>
        </w:rPr>
        <w:t>cobran.</w:t>
      </w:r>
    </w:p>
    <w:p w:rsidR="00FB57D5" w:rsidRDefault="00FB57D5">
      <w:pPr>
        <w:pStyle w:val="Textoindependiente"/>
        <w:spacing w:before="58"/>
      </w:pPr>
    </w:p>
    <w:p w:rsidR="00FB57D5" w:rsidRDefault="00000000">
      <w:pPr>
        <w:spacing w:line="360" w:lineRule="auto"/>
        <w:ind w:left="102" w:right="116" w:firstLine="467"/>
        <w:jc w:val="both"/>
        <w:rPr>
          <w:sz w:val="24"/>
        </w:rPr>
      </w:pPr>
      <w:r>
        <w:rPr>
          <w:sz w:val="24"/>
        </w:rPr>
        <w:t>Se agrega que en caso de existir deudas morosas por parte de los usuarios o consumidores “</w:t>
      </w:r>
      <w:r>
        <w:rPr>
          <w:i/>
          <w:sz w:val="24"/>
        </w:rPr>
        <w:t>la empresa debe avisar con un plazo anticipado de 15 días, puede cobrarle el costo por suspensión y reposición del servicio. Y una vez pagada la deuda, tiene derecho a que la empresa reponga el servicio dentro de las 24 horas siguientes de efectuado el pago</w:t>
      </w:r>
      <w:r>
        <w:rPr>
          <w:sz w:val="24"/>
        </w:rPr>
        <w:t>.”</w:t>
      </w:r>
      <w:r>
        <w:rPr>
          <w:sz w:val="24"/>
          <w:vertAlign w:val="superscript"/>
        </w:rPr>
        <w:t>4</w:t>
      </w:r>
    </w:p>
    <w:p w:rsidR="00FB57D5" w:rsidRDefault="00000000">
      <w:pPr>
        <w:pStyle w:val="Textoindependiente"/>
        <w:spacing w:before="201" w:line="360" w:lineRule="auto"/>
        <w:ind w:left="102" w:right="118" w:firstLine="535"/>
        <w:jc w:val="both"/>
      </w:pPr>
      <w:r>
        <w:t>Sin embargo, no se ha considerado en casos de suspensión del suministro por morosidad, entregar a las personas un caudal mínimo para consumo, de manera de poder resguardar al menos el abastecimiento mínimo de agua para beber, como una medida de resguardar fundamentalmente la salud de las personas, que se puede ver severamente afectada por el corte del suministro de agua, junto a otros problemas de índole sanitario que ello además genera.</w:t>
      </w:r>
    </w:p>
    <w:p w:rsidR="00FB57D5" w:rsidRDefault="00000000">
      <w:pPr>
        <w:pStyle w:val="Textoindependiente"/>
        <w:spacing w:before="200" w:line="360" w:lineRule="auto"/>
        <w:ind w:left="102" w:right="116" w:firstLine="669"/>
        <w:jc w:val="both"/>
      </w:pPr>
      <w:r>
        <w:t>Por su parte, en el artículo 36 de la ley general de servicios sanitarios, se establece una serie de derechos del prestador, entre los cuales se considera:</w:t>
      </w:r>
    </w:p>
    <w:p w:rsidR="00FB57D5" w:rsidRDefault="00FB57D5">
      <w:pPr>
        <w:pStyle w:val="Textoindependiente"/>
        <w:rPr>
          <w:sz w:val="20"/>
        </w:rPr>
      </w:pPr>
    </w:p>
    <w:p w:rsidR="00FB57D5" w:rsidRDefault="00000000">
      <w:pPr>
        <w:pStyle w:val="Textoindependiente"/>
        <w:spacing w:before="185"/>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279104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22009" id="Graphic 4" o:spid="_x0000_s1026" style="position:absolute;margin-left:85.1pt;margin-top:2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" path="m1829054,l,,,9144r1829054,l1829054,xe" fillcolor="black" stroked="f">
                <v:path arrowok="t"/>
                <w10:wrap type="topAndBottom" anchorx="page"/>
              </v:shape>
            </w:pict>
          </mc:Fallback>
        </mc:AlternateContent>
      </w:r>
    </w:p>
    <w:p w:rsidR="00FB57D5" w:rsidRDefault="00000000">
      <w:pPr>
        <w:spacing w:before="102"/>
        <w:ind w:left="102"/>
        <w:rPr>
          <w:rFonts w:ascii="Calibri"/>
          <w:sz w:val="20"/>
        </w:rPr>
      </w:pPr>
      <w:r>
        <w:rPr>
          <w:rFonts w:ascii="Calibri"/>
          <w:spacing w:val="-2"/>
          <w:sz w:val="20"/>
          <w:vertAlign w:val="superscript"/>
        </w:rPr>
        <w:t>3</w:t>
      </w:r>
      <w:r>
        <w:rPr>
          <w:rFonts w:ascii="Calibri"/>
          <w:spacing w:val="46"/>
          <w:sz w:val="20"/>
        </w:rPr>
        <w:t xml:space="preserve"> </w:t>
      </w:r>
      <w:hyperlink r:id="rId11">
        <w:r>
          <w:rPr>
            <w:rFonts w:ascii="Calibri"/>
            <w:color w:val="0000FF"/>
            <w:spacing w:val="-2"/>
            <w:sz w:val="20"/>
            <w:u w:val="single" w:color="0000FF"/>
          </w:rPr>
          <w:t>https://www.sernac.cl/portal/607/w3-article-56893.html</w:t>
        </w:r>
      </w:hyperlink>
    </w:p>
    <w:p w:rsidR="00FB57D5" w:rsidRDefault="00000000">
      <w:pPr>
        <w:spacing w:before="243"/>
        <w:ind w:left="102"/>
        <w:rPr>
          <w:rFonts w:ascii="Calibri"/>
          <w:sz w:val="20"/>
        </w:rPr>
      </w:pPr>
      <w:r>
        <w:rPr>
          <w:rFonts w:ascii="Calibri"/>
          <w:spacing w:val="-2"/>
          <w:sz w:val="20"/>
          <w:vertAlign w:val="superscript"/>
        </w:rPr>
        <w:t>4</w:t>
      </w:r>
      <w:r>
        <w:rPr>
          <w:rFonts w:ascii="Calibri"/>
          <w:spacing w:val="46"/>
          <w:sz w:val="20"/>
        </w:rPr>
        <w:t xml:space="preserve"> </w:t>
      </w:r>
      <w:hyperlink r:id="rId12">
        <w:r>
          <w:rPr>
            <w:rFonts w:ascii="Calibri"/>
            <w:color w:val="0000FF"/>
            <w:spacing w:val="-2"/>
            <w:sz w:val="20"/>
            <w:u w:val="single" w:color="0000FF"/>
          </w:rPr>
          <w:t>https://www.sernac.cl/portal/607/w3-article-56893.html</w:t>
        </w:r>
      </w:hyperlink>
    </w:p>
    <w:p w:rsidR="00FB57D5" w:rsidRDefault="00FB57D5">
      <w:pPr>
        <w:rPr>
          <w:rFonts w:ascii="Calibri"/>
          <w:sz w:val="20"/>
        </w:rPr>
        <w:sectPr w:rsidR="00FB57D5" w:rsidSect="002E5E12">
          <w:pgSz w:w="12240" w:h="15840"/>
          <w:pgMar w:top="1340" w:right="1580" w:bottom="1200" w:left="1600" w:header="0" w:footer="1003" w:gutter="0"/>
          <w:cols w:space="720"/>
        </w:sectPr>
      </w:pPr>
    </w:p>
    <w:p w:rsidR="00FB57D5" w:rsidRDefault="00000000">
      <w:pPr>
        <w:spacing w:before="63" w:line="350" w:lineRule="auto"/>
        <w:ind w:left="102" w:right="123" w:firstLine="676"/>
        <w:jc w:val="both"/>
        <w:rPr>
          <w:i/>
          <w:sz w:val="24"/>
        </w:rPr>
      </w:pPr>
      <w:r>
        <w:rPr>
          <w:rFonts w:ascii="Courier New" w:hAnsi="Courier New"/>
          <w:sz w:val="24"/>
        </w:rPr>
        <w:lastRenderedPageBreak/>
        <w:t>“</w:t>
      </w:r>
      <w:r>
        <w:rPr>
          <w:i/>
          <w:sz w:val="24"/>
        </w:rPr>
        <w:t>a) cobrar por los servicios prestados y exigir aportes de financiamiento reembolsables, de acuerdo a lo dispuesto en el decreto con fuerza de ley N° 70,</w:t>
      </w:r>
      <w:r>
        <w:rPr>
          <w:i/>
          <w:spacing w:val="40"/>
          <w:sz w:val="24"/>
        </w:rPr>
        <w:t xml:space="preserve"> </w:t>
      </w:r>
      <w:r>
        <w:rPr>
          <w:i/>
          <w:sz w:val="24"/>
        </w:rPr>
        <w:t>de 1988, del Ministerio de Obras Públicas;</w:t>
      </w:r>
    </w:p>
    <w:p w:rsidR="00FB57D5" w:rsidRDefault="00000000">
      <w:pPr>
        <w:pStyle w:val="Prrafodelista"/>
        <w:numPr>
          <w:ilvl w:val="0"/>
          <w:numId w:val="1"/>
        </w:numPr>
        <w:tabs>
          <w:tab w:val="left" w:pos="1167"/>
        </w:tabs>
        <w:spacing w:before="24" w:line="360" w:lineRule="auto"/>
        <w:ind w:right="124" w:firstLine="734"/>
        <w:jc w:val="both"/>
        <w:rPr>
          <w:i/>
          <w:sz w:val="24"/>
        </w:rPr>
      </w:pPr>
      <w:r>
        <w:rPr>
          <w:i/>
          <w:sz w:val="24"/>
        </w:rPr>
        <w:t>cobrar reajustes e intereses corrientes, por las cuentas que no sean canceladas dentro de los plazos señalados en los reglamentos;</w:t>
      </w:r>
    </w:p>
    <w:p w:rsidR="00FB57D5" w:rsidRDefault="00000000">
      <w:pPr>
        <w:pStyle w:val="Prrafodelista"/>
        <w:numPr>
          <w:ilvl w:val="0"/>
          <w:numId w:val="1"/>
        </w:numPr>
        <w:tabs>
          <w:tab w:val="left" w:pos="1185"/>
        </w:tabs>
        <w:spacing w:line="360" w:lineRule="auto"/>
        <w:ind w:right="123" w:firstLine="758"/>
        <w:jc w:val="both"/>
        <w:rPr>
          <w:i/>
          <w:sz w:val="24"/>
        </w:rPr>
      </w:pPr>
      <w:r>
        <w:rPr>
          <w:i/>
          <w:sz w:val="24"/>
        </w:rPr>
        <w:t>cobrar los costos de cobranza extrajudicial en que haya incurrido el prestador, los</w:t>
      </w:r>
      <w:r>
        <w:rPr>
          <w:i/>
          <w:spacing w:val="-1"/>
          <w:sz w:val="24"/>
        </w:rPr>
        <w:t xml:space="preserve"> </w:t>
      </w:r>
      <w:r>
        <w:rPr>
          <w:i/>
          <w:sz w:val="24"/>
        </w:rPr>
        <w:t>que, en</w:t>
      </w:r>
      <w:r>
        <w:rPr>
          <w:i/>
          <w:spacing w:val="-1"/>
          <w:sz w:val="24"/>
        </w:rPr>
        <w:t xml:space="preserve"> </w:t>
      </w:r>
      <w:r>
        <w:rPr>
          <w:i/>
          <w:sz w:val="24"/>
        </w:rPr>
        <w:t>ningún caso, podrán exceder del 20% del valor de la</w:t>
      </w:r>
      <w:r>
        <w:rPr>
          <w:i/>
          <w:spacing w:val="-1"/>
          <w:sz w:val="24"/>
        </w:rPr>
        <w:t xml:space="preserve"> </w:t>
      </w:r>
      <w:r>
        <w:rPr>
          <w:i/>
          <w:sz w:val="24"/>
        </w:rPr>
        <w:t>deuda;</w:t>
      </w:r>
    </w:p>
    <w:p w:rsidR="00FB57D5" w:rsidRDefault="00000000">
      <w:pPr>
        <w:pStyle w:val="Prrafodelista"/>
        <w:numPr>
          <w:ilvl w:val="0"/>
          <w:numId w:val="1"/>
        </w:numPr>
        <w:tabs>
          <w:tab w:val="left" w:pos="1141"/>
        </w:tabs>
        <w:spacing w:line="362" w:lineRule="auto"/>
        <w:ind w:right="124" w:firstLine="700"/>
        <w:jc w:val="both"/>
        <w:rPr>
          <w:b/>
          <w:i/>
          <w:sz w:val="24"/>
        </w:rPr>
      </w:pPr>
      <w:r>
        <w:rPr>
          <w:b/>
          <w:i/>
          <w:sz w:val="24"/>
        </w:rPr>
        <w:t>suspender, previo aviso de 15 días, los servicios a usuarios que adeuden una o más cuentas y cobrar el costo de la suspensión y de la reposición correspondiente.</w:t>
      </w:r>
    </w:p>
    <w:p w:rsidR="00FB57D5" w:rsidRDefault="00000000">
      <w:pPr>
        <w:pStyle w:val="Prrafodelista"/>
        <w:numPr>
          <w:ilvl w:val="0"/>
          <w:numId w:val="1"/>
        </w:numPr>
        <w:tabs>
          <w:tab w:val="left" w:pos="890"/>
        </w:tabs>
        <w:spacing w:line="360" w:lineRule="auto"/>
        <w:ind w:right="123" w:firstLine="496"/>
        <w:jc w:val="both"/>
        <w:rPr>
          <w:i/>
          <w:sz w:val="24"/>
        </w:rPr>
      </w:pPr>
      <w:r>
        <w:rPr>
          <w:i/>
          <w:sz w:val="24"/>
        </w:rPr>
        <w:t>Cobrar el costo de las reparaciones de daños y desperfectos causados en los arranques de agua potable y uniones domiciliarias de alcantarillado, redes de distribución y redes de recolección, a causa del mal uso o destrucción de las mismas por el usuario</w:t>
      </w:r>
      <w:r>
        <w:rPr>
          <w:sz w:val="24"/>
        </w:rPr>
        <w:t>.”</w:t>
      </w:r>
      <w:r>
        <w:rPr>
          <w:sz w:val="24"/>
          <w:vertAlign w:val="superscript"/>
        </w:rPr>
        <w:t>5</w:t>
      </w:r>
    </w:p>
    <w:p w:rsidR="00FB57D5" w:rsidRDefault="00000000">
      <w:pPr>
        <w:spacing w:line="360" w:lineRule="auto"/>
        <w:ind w:left="102" w:right="116" w:firstLine="669"/>
        <w:jc w:val="both"/>
        <w:rPr>
          <w:i/>
          <w:sz w:val="24"/>
        </w:rPr>
      </w:pPr>
      <w:r>
        <w:rPr>
          <w:sz w:val="24"/>
        </w:rPr>
        <w:t>Pero nada se menciona respecto de la establecer un caudal mínimo para el usuario afectado por morosidad, asegurando el acceso a agua potable al menos para el consumo humano,</w:t>
      </w:r>
      <w:r>
        <w:rPr>
          <w:spacing w:val="80"/>
          <w:sz w:val="24"/>
        </w:rPr>
        <w:t xml:space="preserve"> </w:t>
      </w:r>
      <w:r>
        <w:rPr>
          <w:sz w:val="24"/>
        </w:rPr>
        <w:t>dado que “</w:t>
      </w:r>
      <w:r>
        <w:rPr>
          <w:i/>
          <w:sz w:val="24"/>
        </w:rPr>
        <w:t>la importancia del agua para la supervivencia es fundamental. Un ser humano puede vivir sin la ingesta de</w:t>
      </w:r>
      <w:r>
        <w:rPr>
          <w:i/>
          <w:spacing w:val="40"/>
          <w:sz w:val="24"/>
        </w:rPr>
        <w:t xml:space="preserve"> </w:t>
      </w:r>
      <w:r>
        <w:rPr>
          <w:i/>
          <w:sz w:val="24"/>
        </w:rPr>
        <w:t xml:space="preserve">líquidos solamente de dos a 4 días. Esto se debe a que el agua comprende aproximadamente el </w:t>
      </w:r>
      <w:r>
        <w:rPr>
          <w:b/>
          <w:i/>
          <w:sz w:val="24"/>
        </w:rPr>
        <w:t>60% del peso corporal humano</w:t>
      </w:r>
      <w:r>
        <w:rPr>
          <w:i/>
          <w:sz w:val="24"/>
        </w:rPr>
        <w:t>, siendo el mayor componente de nuestro organismo.”</w:t>
      </w:r>
      <w:r>
        <w:rPr>
          <w:i/>
          <w:sz w:val="24"/>
          <w:vertAlign w:val="superscript"/>
        </w:rPr>
        <w:t>6</w:t>
      </w:r>
    </w:p>
    <w:p w:rsidR="00FB57D5" w:rsidRDefault="00000000">
      <w:pPr>
        <w:pStyle w:val="Ttulo1"/>
        <w:spacing w:before="195"/>
      </w:pPr>
      <w:r>
        <w:rPr>
          <w:u w:val="single"/>
        </w:rPr>
        <w:t>IDEAS</w:t>
      </w:r>
      <w:r>
        <w:rPr>
          <w:spacing w:val="-4"/>
          <w:u w:val="single"/>
        </w:rPr>
        <w:t xml:space="preserve"> </w:t>
      </w:r>
      <w:r>
        <w:rPr>
          <w:spacing w:val="-2"/>
          <w:u w:val="single"/>
        </w:rPr>
        <w:t>MATRICES</w:t>
      </w:r>
    </w:p>
    <w:p w:rsidR="00FB57D5" w:rsidRDefault="00FB57D5">
      <w:pPr>
        <w:pStyle w:val="Textoindependiente"/>
        <w:spacing w:before="62"/>
        <w:rPr>
          <w:b/>
        </w:rPr>
      </w:pPr>
    </w:p>
    <w:p w:rsidR="00FB57D5" w:rsidRDefault="00000000">
      <w:pPr>
        <w:pStyle w:val="Textoindependiente"/>
        <w:spacing w:line="360" w:lineRule="auto"/>
        <w:ind w:left="102" w:right="122" w:firstLine="669"/>
        <w:jc w:val="both"/>
      </w:pPr>
      <w:r>
        <w:t>El proyecto de ley busca establecer un caudal mínimo de agua destinado para el consumo humano a pesar de los cortes del suministro de agua potable, asegurando a todas las personas</w:t>
      </w:r>
      <w:r>
        <w:rPr>
          <w:spacing w:val="40"/>
        </w:rPr>
        <w:t xml:space="preserve"> </w:t>
      </w:r>
      <w:r>
        <w:t>un caudal mínimo para que pueda contar con agua para ser bebida.</w:t>
      </w:r>
    </w:p>
    <w:p w:rsidR="00FB57D5" w:rsidRDefault="00FB57D5">
      <w:pPr>
        <w:pStyle w:val="Textoindependiente"/>
        <w:rPr>
          <w:sz w:val="20"/>
        </w:rPr>
      </w:pPr>
    </w:p>
    <w:p w:rsidR="00FB57D5" w:rsidRDefault="00FB57D5">
      <w:pPr>
        <w:pStyle w:val="Textoindependiente"/>
        <w:rPr>
          <w:sz w:val="20"/>
        </w:rPr>
      </w:pPr>
    </w:p>
    <w:p w:rsidR="00FB57D5" w:rsidRDefault="00FB57D5">
      <w:pPr>
        <w:pStyle w:val="Textoindependiente"/>
        <w:rPr>
          <w:sz w:val="20"/>
        </w:rPr>
      </w:pPr>
    </w:p>
    <w:p w:rsidR="00FB57D5" w:rsidRDefault="00FB57D5">
      <w:pPr>
        <w:pStyle w:val="Textoindependiente"/>
        <w:rPr>
          <w:sz w:val="20"/>
        </w:rPr>
      </w:pPr>
    </w:p>
    <w:p w:rsidR="00FB57D5" w:rsidRDefault="00000000">
      <w:pPr>
        <w:pStyle w:val="Textoindependiente"/>
        <w:spacing w:before="43"/>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188868</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FAB57F" id="Graphic 5" o:spid="_x0000_s1026" style="position:absolute;margin-left:85.1pt;margin-top:14.8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" path="m1829054,l,,,9143r1829054,l1829054,xe" fillcolor="black" stroked="f">
                <v:path arrowok="t"/>
                <w10:wrap type="topAndBottom" anchorx="page"/>
              </v:shape>
            </w:pict>
          </mc:Fallback>
        </mc:AlternateContent>
      </w:r>
    </w:p>
    <w:p w:rsidR="00FB57D5" w:rsidRDefault="00000000">
      <w:pPr>
        <w:spacing w:before="102"/>
        <w:ind w:left="102"/>
        <w:rPr>
          <w:rFonts w:ascii="Calibri"/>
          <w:sz w:val="20"/>
        </w:rPr>
      </w:pPr>
      <w:r>
        <w:rPr>
          <w:rFonts w:ascii="Calibri"/>
          <w:sz w:val="20"/>
          <w:vertAlign w:val="superscript"/>
        </w:rPr>
        <w:t>5</w:t>
      </w:r>
      <w:r>
        <w:rPr>
          <w:rFonts w:ascii="Calibri"/>
          <w:spacing w:val="-2"/>
          <w:sz w:val="20"/>
        </w:rPr>
        <w:t xml:space="preserve"> bcn.cl/leychile/navegar?idNorma=5545</w:t>
      </w:r>
    </w:p>
    <w:p w:rsidR="00FB57D5" w:rsidRDefault="00000000">
      <w:pPr>
        <w:spacing w:before="1"/>
        <w:ind w:left="102"/>
        <w:rPr>
          <w:rFonts w:ascii="Calibri"/>
          <w:sz w:val="20"/>
        </w:rPr>
      </w:pPr>
      <w:r>
        <w:rPr>
          <w:rFonts w:ascii="Calibri"/>
          <w:spacing w:val="-2"/>
          <w:sz w:val="20"/>
          <w:vertAlign w:val="superscript"/>
        </w:rPr>
        <w:t>6</w:t>
      </w:r>
      <w:r>
        <w:rPr>
          <w:rFonts w:ascii="Calibri"/>
          <w:spacing w:val="72"/>
          <w:sz w:val="20"/>
        </w:rPr>
        <w:t xml:space="preserve"> </w:t>
      </w:r>
      <w:hyperlink r:id="rId13">
        <w:r>
          <w:rPr>
            <w:rFonts w:ascii="Calibri"/>
            <w:color w:val="0000FF"/>
            <w:spacing w:val="-2"/>
            <w:sz w:val="20"/>
            <w:u w:val="single" w:color="0000FF"/>
          </w:rPr>
          <w:t>https://institutoeuropeo.es/articulos/insights/beneficios-del-agua-para-la-salud/</w:t>
        </w:r>
      </w:hyperlink>
    </w:p>
    <w:p w:rsidR="00FB57D5" w:rsidRDefault="00FB57D5">
      <w:pPr>
        <w:rPr>
          <w:rFonts w:ascii="Calibri"/>
          <w:sz w:val="20"/>
        </w:rPr>
        <w:sectPr w:rsidR="00FB57D5" w:rsidSect="002E5E12">
          <w:pgSz w:w="12240" w:h="15840"/>
          <w:pgMar w:top="1360" w:right="1580" w:bottom="1200" w:left="1600" w:header="0" w:footer="1003" w:gutter="0"/>
          <w:cols w:space="720"/>
        </w:sectPr>
      </w:pPr>
    </w:p>
    <w:p w:rsidR="00FB57D5" w:rsidRDefault="00000000">
      <w:pPr>
        <w:pStyle w:val="Ttulo1"/>
        <w:spacing w:before="74"/>
        <w:ind w:left="0" w:right="15"/>
        <w:jc w:val="center"/>
      </w:pPr>
      <w:r>
        <w:t>PROYECTO</w:t>
      </w:r>
      <w:r>
        <w:rPr>
          <w:spacing w:val="-1"/>
        </w:rPr>
        <w:t xml:space="preserve"> </w:t>
      </w:r>
      <w:r>
        <w:t>DE</w:t>
      </w:r>
      <w:r>
        <w:rPr>
          <w:spacing w:val="-1"/>
        </w:rPr>
        <w:t xml:space="preserve"> </w:t>
      </w:r>
      <w:r>
        <w:rPr>
          <w:spacing w:val="-5"/>
        </w:rPr>
        <w:t>LEY</w:t>
      </w:r>
    </w:p>
    <w:p w:rsidR="00FB57D5" w:rsidRDefault="00FB57D5">
      <w:pPr>
        <w:pStyle w:val="Textoindependiente"/>
        <w:spacing w:before="62"/>
        <w:rPr>
          <w:b/>
        </w:rPr>
      </w:pPr>
    </w:p>
    <w:p w:rsidR="00FB57D5" w:rsidRDefault="00000000">
      <w:pPr>
        <w:pStyle w:val="Textoindependiente"/>
        <w:spacing w:before="1" w:line="360" w:lineRule="auto"/>
        <w:ind w:left="102" w:right="120"/>
        <w:jc w:val="both"/>
      </w:pPr>
      <w:r>
        <w:rPr>
          <w:b/>
        </w:rPr>
        <w:t xml:space="preserve">Artículo Único: Incorpórese </w:t>
      </w:r>
      <w:r>
        <w:t>en el</w:t>
      </w:r>
      <w:r>
        <w:rPr>
          <w:spacing w:val="-2"/>
        </w:rPr>
        <w:t xml:space="preserve"> </w:t>
      </w:r>
      <w:hyperlink r:id="rId14">
        <w:r>
          <w:t>decreto con fuerza de ley Nº 382, del</w:t>
        </w:r>
      </w:hyperlink>
      <w:r>
        <w:rPr>
          <w:spacing w:val="40"/>
        </w:rPr>
        <w:t xml:space="preserve"> </w:t>
      </w:r>
      <w:hyperlink r:id="rId15">
        <w:r>
          <w:t>Ministerio de Obras Públicas, de 1989</w:t>
        </w:r>
      </w:hyperlink>
      <w:r>
        <w:t>, Ley General de Servicios Sanitarios, en el artículo 36, letra d), la siguiente frase, a continuación del punto a parte que pasará a ser seguido, de siguiente tenor:</w:t>
      </w:r>
    </w:p>
    <w:p w:rsidR="00FB57D5" w:rsidRDefault="00000000">
      <w:pPr>
        <w:spacing w:before="199" w:line="360" w:lineRule="auto"/>
        <w:ind w:left="102" w:right="120" w:firstLine="602"/>
        <w:jc w:val="both"/>
        <w:rPr>
          <w:sz w:val="24"/>
        </w:rPr>
      </w:pPr>
      <w:r>
        <w:rPr>
          <w:sz w:val="24"/>
        </w:rPr>
        <w:t>“</w:t>
      </w:r>
      <w:r>
        <w:rPr>
          <w:i/>
          <w:sz w:val="24"/>
        </w:rPr>
        <w:t>Sin perjuicio de lo anterior, el prestador deberá asegurar un caudal mínimo diario para la entrega de agua potable destinada al consumo humano del usuario residencial afectado</w:t>
      </w:r>
      <w:r>
        <w:rPr>
          <w:sz w:val="24"/>
        </w:rPr>
        <w:t>.”</w:t>
      </w:r>
    </w:p>
    <w:p w:rsidR="00FB57D5" w:rsidRDefault="00FB57D5">
      <w:pPr>
        <w:pStyle w:val="Textoindependiente"/>
      </w:pPr>
    </w:p>
    <w:p w:rsidR="00FB57D5" w:rsidRDefault="00FB57D5">
      <w:pPr>
        <w:pStyle w:val="Textoindependiente"/>
        <w:spacing w:before="263"/>
      </w:pPr>
    </w:p>
    <w:p w:rsidR="00FB57D5" w:rsidRDefault="00000000">
      <w:pPr>
        <w:spacing w:before="1" w:line="360" w:lineRule="auto"/>
        <w:ind w:left="2766" w:right="2783" w:hanging="4"/>
        <w:jc w:val="center"/>
        <w:rPr>
          <w:b/>
          <w:sz w:val="24"/>
        </w:rPr>
      </w:pPr>
      <w:r>
        <w:rPr>
          <w:b/>
          <w:sz w:val="24"/>
        </w:rPr>
        <w:t>DANIEL MANOUCHEHRI DIPUTADO</w:t>
      </w:r>
      <w:r>
        <w:rPr>
          <w:b/>
          <w:spacing w:val="-10"/>
          <w:sz w:val="24"/>
        </w:rPr>
        <w:t xml:space="preserve"> </w:t>
      </w:r>
      <w:r>
        <w:rPr>
          <w:b/>
          <w:sz w:val="24"/>
        </w:rPr>
        <w:t>DE</w:t>
      </w:r>
      <w:r>
        <w:rPr>
          <w:b/>
          <w:spacing w:val="-11"/>
          <w:sz w:val="24"/>
        </w:rPr>
        <w:t xml:space="preserve"> </w:t>
      </w:r>
      <w:r>
        <w:rPr>
          <w:b/>
          <w:sz w:val="24"/>
        </w:rPr>
        <w:t>LA</w:t>
      </w:r>
      <w:r>
        <w:rPr>
          <w:b/>
          <w:spacing w:val="-16"/>
          <w:sz w:val="24"/>
        </w:rPr>
        <w:t xml:space="preserve"> </w:t>
      </w:r>
      <w:r>
        <w:rPr>
          <w:b/>
          <w:sz w:val="24"/>
        </w:rPr>
        <w:t>REPÚBLICA</w:t>
      </w:r>
    </w:p>
    <w:sectPr w:rsidR="00FB57D5">
      <w:pgSz w:w="12240" w:h="15840"/>
      <w:pgMar w:top="1340" w:right="158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5E12" w:rsidRDefault="002E5E12">
      <w:r>
        <w:separator/>
      </w:r>
    </w:p>
  </w:endnote>
  <w:endnote w:type="continuationSeparator" w:id="0">
    <w:p w:rsidR="002E5E12" w:rsidRDefault="002E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7D5" w:rsidRDefault="00000000">
    <w:pPr>
      <w:pStyle w:val="Textoindependiente"/>
      <w:spacing w:line="14" w:lineRule="auto"/>
      <w:rPr>
        <w:sz w:val="20"/>
      </w:rPr>
    </w:pPr>
    <w:r>
      <w:rPr>
        <w:noProof/>
      </w:rPr>
      <mc:AlternateContent>
        <mc:Choice Requires="wps">
          <w:drawing>
            <wp:anchor distT="0" distB="0" distL="0" distR="0" simplePos="0" relativeHeight="487532544"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B57D5"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FB57D5"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5E12" w:rsidRDefault="002E5E12">
      <w:r>
        <w:separator/>
      </w:r>
    </w:p>
  </w:footnote>
  <w:footnote w:type="continuationSeparator" w:id="0">
    <w:p w:rsidR="002E5E12" w:rsidRDefault="002E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62F83"/>
    <w:multiLevelType w:val="hybridMultilevel"/>
    <w:tmpl w:val="F306DA48"/>
    <w:lvl w:ilvl="0" w:tplc="A4B89A8A">
      <w:start w:val="2"/>
      <w:numFmt w:val="lowerLetter"/>
      <w:lvlText w:val="%1)"/>
      <w:lvlJc w:val="left"/>
      <w:pPr>
        <w:ind w:left="102" w:hanging="334"/>
        <w:jc w:val="right"/>
      </w:pPr>
      <w:rPr>
        <w:rFonts w:hint="default"/>
        <w:spacing w:val="0"/>
        <w:w w:val="100"/>
        <w:lang w:val="es-ES" w:eastAsia="en-US" w:bidi="ar-SA"/>
      </w:rPr>
    </w:lvl>
    <w:lvl w:ilvl="1" w:tplc="09A66B74">
      <w:numFmt w:val="bullet"/>
      <w:lvlText w:val="•"/>
      <w:lvlJc w:val="left"/>
      <w:pPr>
        <w:ind w:left="996" w:hanging="334"/>
      </w:pPr>
      <w:rPr>
        <w:rFonts w:hint="default"/>
        <w:lang w:val="es-ES" w:eastAsia="en-US" w:bidi="ar-SA"/>
      </w:rPr>
    </w:lvl>
    <w:lvl w:ilvl="2" w:tplc="A564A07E">
      <w:numFmt w:val="bullet"/>
      <w:lvlText w:val="•"/>
      <w:lvlJc w:val="left"/>
      <w:pPr>
        <w:ind w:left="1892" w:hanging="334"/>
      </w:pPr>
      <w:rPr>
        <w:rFonts w:hint="default"/>
        <w:lang w:val="es-ES" w:eastAsia="en-US" w:bidi="ar-SA"/>
      </w:rPr>
    </w:lvl>
    <w:lvl w:ilvl="3" w:tplc="957ADACE">
      <w:numFmt w:val="bullet"/>
      <w:lvlText w:val="•"/>
      <w:lvlJc w:val="left"/>
      <w:pPr>
        <w:ind w:left="2788" w:hanging="334"/>
      </w:pPr>
      <w:rPr>
        <w:rFonts w:hint="default"/>
        <w:lang w:val="es-ES" w:eastAsia="en-US" w:bidi="ar-SA"/>
      </w:rPr>
    </w:lvl>
    <w:lvl w:ilvl="4" w:tplc="CD582F88">
      <w:numFmt w:val="bullet"/>
      <w:lvlText w:val="•"/>
      <w:lvlJc w:val="left"/>
      <w:pPr>
        <w:ind w:left="3684" w:hanging="334"/>
      </w:pPr>
      <w:rPr>
        <w:rFonts w:hint="default"/>
        <w:lang w:val="es-ES" w:eastAsia="en-US" w:bidi="ar-SA"/>
      </w:rPr>
    </w:lvl>
    <w:lvl w:ilvl="5" w:tplc="031206EA">
      <w:numFmt w:val="bullet"/>
      <w:lvlText w:val="•"/>
      <w:lvlJc w:val="left"/>
      <w:pPr>
        <w:ind w:left="4580" w:hanging="334"/>
      </w:pPr>
      <w:rPr>
        <w:rFonts w:hint="default"/>
        <w:lang w:val="es-ES" w:eastAsia="en-US" w:bidi="ar-SA"/>
      </w:rPr>
    </w:lvl>
    <w:lvl w:ilvl="6" w:tplc="AA24981C">
      <w:numFmt w:val="bullet"/>
      <w:lvlText w:val="•"/>
      <w:lvlJc w:val="left"/>
      <w:pPr>
        <w:ind w:left="5476" w:hanging="334"/>
      </w:pPr>
      <w:rPr>
        <w:rFonts w:hint="default"/>
        <w:lang w:val="es-ES" w:eastAsia="en-US" w:bidi="ar-SA"/>
      </w:rPr>
    </w:lvl>
    <w:lvl w:ilvl="7" w:tplc="F88E0EAC">
      <w:numFmt w:val="bullet"/>
      <w:lvlText w:val="•"/>
      <w:lvlJc w:val="left"/>
      <w:pPr>
        <w:ind w:left="6372" w:hanging="334"/>
      </w:pPr>
      <w:rPr>
        <w:rFonts w:hint="default"/>
        <w:lang w:val="es-ES" w:eastAsia="en-US" w:bidi="ar-SA"/>
      </w:rPr>
    </w:lvl>
    <w:lvl w:ilvl="8" w:tplc="60C4C8FE">
      <w:numFmt w:val="bullet"/>
      <w:lvlText w:val="•"/>
      <w:lvlJc w:val="left"/>
      <w:pPr>
        <w:ind w:left="7268" w:hanging="334"/>
      </w:pPr>
      <w:rPr>
        <w:rFonts w:hint="default"/>
        <w:lang w:val="es-ES" w:eastAsia="en-US" w:bidi="ar-SA"/>
      </w:rPr>
    </w:lvl>
  </w:abstractNum>
  <w:abstractNum w:abstractNumId="1" w15:restartNumberingAfterBreak="0">
    <w:nsid w:val="71307DFD"/>
    <w:multiLevelType w:val="hybridMultilevel"/>
    <w:tmpl w:val="4E162282"/>
    <w:lvl w:ilvl="0" w:tplc="2F5AFB44">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1" w:tplc="06A066E4">
      <w:numFmt w:val="bullet"/>
      <w:lvlText w:val="•"/>
      <w:lvlJc w:val="left"/>
      <w:pPr>
        <w:ind w:left="1644" w:hanging="360"/>
      </w:pPr>
      <w:rPr>
        <w:rFonts w:hint="default"/>
        <w:lang w:val="es-ES" w:eastAsia="en-US" w:bidi="ar-SA"/>
      </w:rPr>
    </w:lvl>
    <w:lvl w:ilvl="2" w:tplc="A4361DFA">
      <w:numFmt w:val="bullet"/>
      <w:lvlText w:val="•"/>
      <w:lvlJc w:val="left"/>
      <w:pPr>
        <w:ind w:left="2468" w:hanging="360"/>
      </w:pPr>
      <w:rPr>
        <w:rFonts w:hint="default"/>
        <w:lang w:val="es-ES" w:eastAsia="en-US" w:bidi="ar-SA"/>
      </w:rPr>
    </w:lvl>
    <w:lvl w:ilvl="3" w:tplc="440CE20C">
      <w:numFmt w:val="bullet"/>
      <w:lvlText w:val="•"/>
      <w:lvlJc w:val="left"/>
      <w:pPr>
        <w:ind w:left="3292" w:hanging="360"/>
      </w:pPr>
      <w:rPr>
        <w:rFonts w:hint="default"/>
        <w:lang w:val="es-ES" w:eastAsia="en-US" w:bidi="ar-SA"/>
      </w:rPr>
    </w:lvl>
    <w:lvl w:ilvl="4" w:tplc="6BB0CB8C">
      <w:numFmt w:val="bullet"/>
      <w:lvlText w:val="•"/>
      <w:lvlJc w:val="left"/>
      <w:pPr>
        <w:ind w:left="4116" w:hanging="360"/>
      </w:pPr>
      <w:rPr>
        <w:rFonts w:hint="default"/>
        <w:lang w:val="es-ES" w:eastAsia="en-US" w:bidi="ar-SA"/>
      </w:rPr>
    </w:lvl>
    <w:lvl w:ilvl="5" w:tplc="443C3638">
      <w:numFmt w:val="bullet"/>
      <w:lvlText w:val="•"/>
      <w:lvlJc w:val="left"/>
      <w:pPr>
        <w:ind w:left="4940" w:hanging="360"/>
      </w:pPr>
      <w:rPr>
        <w:rFonts w:hint="default"/>
        <w:lang w:val="es-ES" w:eastAsia="en-US" w:bidi="ar-SA"/>
      </w:rPr>
    </w:lvl>
    <w:lvl w:ilvl="6" w:tplc="583EB592">
      <w:numFmt w:val="bullet"/>
      <w:lvlText w:val="•"/>
      <w:lvlJc w:val="left"/>
      <w:pPr>
        <w:ind w:left="5764" w:hanging="360"/>
      </w:pPr>
      <w:rPr>
        <w:rFonts w:hint="default"/>
        <w:lang w:val="es-ES" w:eastAsia="en-US" w:bidi="ar-SA"/>
      </w:rPr>
    </w:lvl>
    <w:lvl w:ilvl="7" w:tplc="29E82EB4">
      <w:numFmt w:val="bullet"/>
      <w:lvlText w:val="•"/>
      <w:lvlJc w:val="left"/>
      <w:pPr>
        <w:ind w:left="6588" w:hanging="360"/>
      </w:pPr>
      <w:rPr>
        <w:rFonts w:hint="default"/>
        <w:lang w:val="es-ES" w:eastAsia="en-US" w:bidi="ar-SA"/>
      </w:rPr>
    </w:lvl>
    <w:lvl w:ilvl="8" w:tplc="2D56961C">
      <w:numFmt w:val="bullet"/>
      <w:lvlText w:val="•"/>
      <w:lvlJc w:val="left"/>
      <w:pPr>
        <w:ind w:left="7412" w:hanging="360"/>
      </w:pPr>
      <w:rPr>
        <w:rFonts w:hint="default"/>
        <w:lang w:val="es-ES" w:eastAsia="en-US" w:bidi="ar-SA"/>
      </w:rPr>
    </w:lvl>
  </w:abstractNum>
  <w:num w:numId="1" w16cid:durableId="2062710119">
    <w:abstractNumId w:val="0"/>
  </w:num>
  <w:num w:numId="2" w16cid:durableId="64123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D5"/>
    <w:rsid w:val="002E5E12"/>
    <w:rsid w:val="003B1281"/>
    <w:rsid w:val="00FB57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37720-B6D8-4E94-B2C7-398E6A4D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drinking-water" TargetMode="External"/><Relationship Id="rId13" Type="http://schemas.openxmlformats.org/officeDocument/2006/relationships/hyperlink" Target="https://institutoeuropeo.es/articulos/insights/beneficios-del-agua-para-la-salu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ernac.cl/portal/607/w3-article-5689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nac.cl/portal/607/w3-article-56893.html" TargetMode="External"/><Relationship Id="rId5" Type="http://schemas.openxmlformats.org/officeDocument/2006/relationships/footnotes" Target="footnotes.xml"/><Relationship Id="rId15" Type="http://schemas.openxmlformats.org/officeDocument/2006/relationships/hyperlink" Target="https://www.leychile.cl/Navegar?idNorma=5545&amp;idParte=0&amp;idVersio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ielo.isciii.es/scielo.php?script=sci_arttext&amp;pid=S0212-16112020000700026" TargetMode="External"/><Relationship Id="rId14" Type="http://schemas.openxmlformats.org/officeDocument/2006/relationships/hyperlink" Target="https://www.leychile.cl/Navegar?idNorma=5545&amp;idParte=0&amp;i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5305</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Guillermo Diaz Vallejos</cp:lastModifiedBy>
  <cp:revision>1</cp:revision>
  <dcterms:created xsi:type="dcterms:W3CDTF">2024-03-08T13:12:00Z</dcterms:created>
  <dcterms:modified xsi:type="dcterms:W3CDTF">2024-04-10T15:19:00Z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2010</vt:lpwstr>
  </property>
  <property fmtid="{D5CDD505-2E9C-101B-9397-08002B2CF9AE}" pid="4" name="LastSaved">
    <vt:filetime>2024-03-08T00:00:00Z</vt:filetime>
  </property>
  <property fmtid="{D5CDD505-2E9C-101B-9397-08002B2CF9AE}" pid="5" name="Producer">
    <vt:lpwstr>Microsoft® Word 2010</vt:lpwstr>
  </property>
</Properties>
</file>