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5480" w14:textId="77777777" w:rsidR="00280EF8" w:rsidRPr="00A56B31" w:rsidRDefault="00280EF8" w:rsidP="00A56B31">
      <w:pPr>
        <w:pStyle w:val="Ttulo1"/>
        <w:spacing w:before="69" w:line="360" w:lineRule="auto"/>
        <w:rPr>
          <w:rFonts w:ascii="Bookman Old Style" w:hAnsi="Bookman Old Style"/>
        </w:rPr>
      </w:pPr>
    </w:p>
    <w:p w14:paraId="03B16285" w14:textId="46A15A59" w:rsidR="00280EF8" w:rsidRPr="00A56B31" w:rsidRDefault="00280EF8" w:rsidP="00E8111D">
      <w:pPr>
        <w:pStyle w:val="Ttulo1"/>
        <w:spacing w:before="69" w:line="360" w:lineRule="auto"/>
        <w:jc w:val="center"/>
        <w:rPr>
          <w:rFonts w:ascii="Bookman Old Style" w:hAnsi="Bookman Old Style"/>
        </w:rPr>
      </w:pPr>
      <w:bookmarkStart w:id="0" w:name="_heading=h.gjdgxs" w:colFirst="0" w:colLast="0"/>
      <w:bookmarkEnd w:id="0"/>
    </w:p>
    <w:p w14:paraId="471D3054" w14:textId="77777777" w:rsidR="00280EF8" w:rsidRPr="00A56B31" w:rsidRDefault="00280EF8" w:rsidP="00A56B31">
      <w:pPr>
        <w:pStyle w:val="Ttulo1"/>
        <w:spacing w:before="69" w:line="360" w:lineRule="auto"/>
        <w:rPr>
          <w:rFonts w:ascii="Bookman Old Style" w:hAnsi="Bookman Old Style"/>
        </w:rPr>
      </w:pPr>
    </w:p>
    <w:p w14:paraId="642B0F8A" w14:textId="7436F01B" w:rsidR="00E43952" w:rsidRPr="00A56B31" w:rsidRDefault="00000000" w:rsidP="008F2B8E">
      <w:pPr>
        <w:pStyle w:val="Ttulo1"/>
        <w:spacing w:before="69" w:line="360" w:lineRule="auto"/>
        <w:rPr>
          <w:rFonts w:ascii="Bookman Old Style" w:hAnsi="Bookman Old Style"/>
          <w:b w:val="0"/>
        </w:rPr>
      </w:pPr>
      <w:r w:rsidRPr="00A56B31">
        <w:rPr>
          <w:rFonts w:ascii="Bookman Old Style" w:hAnsi="Bookman Old Style"/>
        </w:rPr>
        <w:t>PROYECTO DE LEY</w:t>
      </w:r>
      <w:r w:rsidR="008F2B8E">
        <w:rPr>
          <w:rFonts w:ascii="Bookman Old Style" w:hAnsi="Bookman Old Style"/>
        </w:rPr>
        <w:t xml:space="preserve"> QUE </w:t>
      </w:r>
      <w:r w:rsidR="004B10EA">
        <w:rPr>
          <w:rFonts w:ascii="Bookman Old Style" w:hAnsi="Bookman Old Style"/>
        </w:rPr>
        <w:t>DEROGA LA NO CONCESIBILIDAD DEL LITIO</w:t>
      </w:r>
      <w:r w:rsidR="008F2B8E">
        <w:rPr>
          <w:rFonts w:ascii="Bookman Old Style" w:hAnsi="Bookman Old Style"/>
        </w:rPr>
        <w:t>,</w:t>
      </w:r>
      <w:r w:rsidR="00E2417B">
        <w:rPr>
          <w:rFonts w:ascii="Bookman Old Style" w:hAnsi="Bookman Old Style"/>
        </w:rPr>
        <w:t xml:space="preserve"> ESTABLECIENDO UNA TASA ÚNICA POR SU ADQUISIC</w:t>
      </w:r>
      <w:r w:rsidR="003450D8">
        <w:rPr>
          <w:rFonts w:ascii="Bookman Old Style" w:hAnsi="Bookman Old Style"/>
        </w:rPr>
        <w:t>I</w:t>
      </w:r>
      <w:r w:rsidR="00E2417B">
        <w:rPr>
          <w:rFonts w:ascii="Bookman Old Style" w:hAnsi="Bookman Old Style"/>
        </w:rPr>
        <w:t>ÓN DENTRO DE LA CONCESIÓN DE EXPLOTACI</w:t>
      </w:r>
      <w:r w:rsidR="003450D8">
        <w:rPr>
          <w:rFonts w:ascii="Bookman Old Style" w:hAnsi="Bookman Old Style"/>
        </w:rPr>
        <w:t>Ó</w:t>
      </w:r>
      <w:r w:rsidR="00E2417B">
        <w:rPr>
          <w:rFonts w:ascii="Bookman Old Style" w:hAnsi="Bookman Old Style"/>
        </w:rPr>
        <w:t>N QUE SE TRATE.</w:t>
      </w:r>
      <w:r w:rsidR="008F2B8E">
        <w:rPr>
          <w:rFonts w:ascii="Bookman Old Style" w:hAnsi="Bookman Old Style"/>
        </w:rPr>
        <w:t xml:space="preserve"> </w:t>
      </w:r>
    </w:p>
    <w:p w14:paraId="1FE7068E" w14:textId="77777777" w:rsidR="00280EF8" w:rsidRPr="00A56B31" w:rsidRDefault="00280EF8" w:rsidP="00A56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u w:val="single"/>
        </w:rPr>
      </w:pPr>
    </w:p>
    <w:p w14:paraId="1A2FDD52" w14:textId="09EB201C" w:rsidR="00280EF8" w:rsidRDefault="005772A1"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Elimina la calidad del litio como mineral no concesible y de importancia para la seguridad nacional en toda la legislación nacional</w:t>
      </w:r>
      <w:r w:rsidR="00E2417B">
        <w:rPr>
          <w:rFonts w:ascii="Bookman Old Style" w:hAnsi="Bookman Old Style"/>
          <w:color w:val="000000"/>
          <w:sz w:val="24"/>
          <w:szCs w:val="24"/>
        </w:rPr>
        <w:t xml:space="preserve"> y lo somete a la legislación del resto de los minerales.</w:t>
      </w:r>
    </w:p>
    <w:p w14:paraId="43B2BE68" w14:textId="77777777" w:rsidR="005772A1" w:rsidRPr="00A56B31" w:rsidRDefault="005772A1"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394A4A29" w14:textId="77777777" w:rsidR="00280EF8" w:rsidRDefault="00280EF8" w:rsidP="00A56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rPr>
      </w:pPr>
      <w:r w:rsidRPr="00A56B31">
        <w:rPr>
          <w:rFonts w:ascii="Bookman Old Style" w:hAnsi="Bookman Old Style"/>
          <w:color w:val="000000"/>
          <w:sz w:val="24"/>
          <w:szCs w:val="24"/>
        </w:rPr>
        <w:t>FUNDAMENTOS.</w:t>
      </w:r>
    </w:p>
    <w:p w14:paraId="339EF61C" w14:textId="77777777" w:rsidR="00326A89" w:rsidRDefault="00326A89" w:rsidP="00A56B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rPr>
      </w:pPr>
    </w:p>
    <w:p w14:paraId="7CB593C2" w14:textId="10484DB3" w:rsidR="00EA07D9" w:rsidRDefault="00326A89"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r>
      <w:r w:rsidR="008F2B8E">
        <w:rPr>
          <w:rFonts w:ascii="Bookman Old Style" w:hAnsi="Bookman Old Style"/>
          <w:color w:val="000000"/>
          <w:sz w:val="24"/>
          <w:szCs w:val="24"/>
        </w:rPr>
        <w:t>Sin duda,</w:t>
      </w:r>
      <w:r w:rsidR="00984F6A">
        <w:rPr>
          <w:rFonts w:ascii="Bookman Old Style" w:hAnsi="Bookman Old Style"/>
          <w:color w:val="000000"/>
          <w:sz w:val="24"/>
          <w:szCs w:val="24"/>
        </w:rPr>
        <w:t xml:space="preserve"> al día de hoy,</w:t>
      </w:r>
      <w:r w:rsidR="008F2B8E">
        <w:rPr>
          <w:rFonts w:ascii="Bookman Old Style" w:hAnsi="Bookman Old Style"/>
          <w:color w:val="000000"/>
          <w:sz w:val="24"/>
          <w:szCs w:val="24"/>
        </w:rPr>
        <w:t xml:space="preserve"> el régimen jurídico que regula la explotación del litio en Chile, constituye un tremendo equívoco.</w:t>
      </w:r>
    </w:p>
    <w:p w14:paraId="2A934383" w14:textId="77777777" w:rsidR="008F2B8E" w:rsidRDefault="008F2B8E"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340439CB" w14:textId="30614B01" w:rsidR="008F2B8E" w:rsidRDefault="008F2B8E"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En efecto, este equ</w:t>
      </w:r>
      <w:r w:rsidR="00B83054">
        <w:rPr>
          <w:rFonts w:ascii="Bookman Old Style" w:hAnsi="Bookman Old Style"/>
          <w:color w:val="000000"/>
          <w:sz w:val="24"/>
          <w:szCs w:val="24"/>
        </w:rPr>
        <w:t>í</w:t>
      </w:r>
      <w:r>
        <w:rPr>
          <w:rFonts w:ascii="Bookman Old Style" w:hAnsi="Bookman Old Style"/>
          <w:color w:val="000000"/>
          <w:sz w:val="24"/>
          <w:szCs w:val="24"/>
        </w:rPr>
        <w:t>voco se constituye por 3 causas fundamentales concadenadas en el tiempo:</w:t>
      </w:r>
    </w:p>
    <w:p w14:paraId="5F714FBA" w14:textId="77777777" w:rsidR="008F2B8E" w:rsidRDefault="008F2B8E"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09A6986B" w14:textId="77777777" w:rsidR="008F2B8E" w:rsidRDefault="008F2B8E" w:rsidP="008F2B8E">
      <w:pPr>
        <w:pStyle w:val="Prrafodelista"/>
        <w:numPr>
          <w:ilvl w:val="0"/>
          <w:numId w:val="4"/>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r>
        <w:rPr>
          <w:rFonts w:ascii="Bookman Old Style" w:hAnsi="Bookman Old Style"/>
          <w:color w:val="000000"/>
          <w:sz w:val="24"/>
          <w:szCs w:val="24"/>
        </w:rPr>
        <w:t>El litio como material de interés nuclear.</w:t>
      </w:r>
    </w:p>
    <w:p w14:paraId="0F7B9344" w14:textId="248551E4" w:rsidR="008F2B8E" w:rsidRDefault="008F2B8E" w:rsidP="008F2B8E">
      <w:pPr>
        <w:pStyle w:val="Prrafodelista"/>
        <w:numPr>
          <w:ilvl w:val="0"/>
          <w:numId w:val="4"/>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r>
        <w:rPr>
          <w:rFonts w:ascii="Bookman Old Style" w:hAnsi="Bookman Old Style"/>
          <w:color w:val="000000"/>
          <w:sz w:val="24"/>
          <w:szCs w:val="24"/>
        </w:rPr>
        <w:t>El litio como material clave para la transición energética y la electro movilidad. Boom económico mundial.</w:t>
      </w:r>
    </w:p>
    <w:p w14:paraId="6DCA81CA" w14:textId="3A7C3B49" w:rsidR="008F2B8E" w:rsidRDefault="008F2B8E" w:rsidP="008F2B8E">
      <w:pPr>
        <w:pStyle w:val="Prrafodelista"/>
        <w:numPr>
          <w:ilvl w:val="0"/>
          <w:numId w:val="4"/>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r>
        <w:rPr>
          <w:rFonts w:ascii="Bookman Old Style" w:hAnsi="Bookman Old Style"/>
          <w:color w:val="000000"/>
          <w:sz w:val="24"/>
          <w:szCs w:val="24"/>
        </w:rPr>
        <w:t>Un Estado</w:t>
      </w:r>
      <w:r w:rsidR="005772A1">
        <w:rPr>
          <w:rFonts w:ascii="Bookman Old Style" w:hAnsi="Bookman Old Style"/>
          <w:color w:val="000000"/>
          <w:sz w:val="24"/>
          <w:szCs w:val="24"/>
        </w:rPr>
        <w:t xml:space="preserve"> </w:t>
      </w:r>
      <w:r w:rsidR="004B10EA">
        <w:rPr>
          <w:rFonts w:ascii="Bookman Old Style" w:hAnsi="Bookman Old Style"/>
          <w:color w:val="000000"/>
          <w:sz w:val="24"/>
          <w:szCs w:val="24"/>
        </w:rPr>
        <w:t xml:space="preserve">que actúa </w:t>
      </w:r>
      <w:r w:rsidR="005772A1">
        <w:rPr>
          <w:rFonts w:ascii="Bookman Old Style" w:hAnsi="Bookman Old Style"/>
          <w:color w:val="000000"/>
          <w:sz w:val="24"/>
          <w:szCs w:val="24"/>
        </w:rPr>
        <w:t>con desidia</w:t>
      </w:r>
      <w:r>
        <w:rPr>
          <w:rFonts w:ascii="Bookman Old Style" w:hAnsi="Bookman Old Style"/>
          <w:color w:val="000000"/>
          <w:sz w:val="24"/>
          <w:szCs w:val="24"/>
        </w:rPr>
        <w:t xml:space="preserve"> y una regulación anacrónica y fallida </w:t>
      </w:r>
      <w:r w:rsidR="005772A1">
        <w:rPr>
          <w:rFonts w:ascii="Bookman Old Style" w:hAnsi="Bookman Old Style"/>
          <w:color w:val="000000"/>
          <w:sz w:val="24"/>
          <w:szCs w:val="24"/>
        </w:rPr>
        <w:t>cuyo resultado es</w:t>
      </w:r>
      <w:r>
        <w:rPr>
          <w:rFonts w:ascii="Bookman Old Style" w:hAnsi="Bookman Old Style"/>
          <w:color w:val="000000"/>
          <w:sz w:val="24"/>
          <w:szCs w:val="24"/>
        </w:rPr>
        <w:t xml:space="preserve"> una oportunidad económica </w:t>
      </w:r>
      <w:r w:rsidR="004B10EA">
        <w:rPr>
          <w:rFonts w:ascii="Bookman Old Style" w:hAnsi="Bookman Old Style"/>
          <w:color w:val="000000"/>
          <w:sz w:val="24"/>
          <w:szCs w:val="24"/>
        </w:rPr>
        <w:t xml:space="preserve">y ambiental </w:t>
      </w:r>
      <w:r w:rsidR="00B83054">
        <w:rPr>
          <w:rFonts w:ascii="Bookman Old Style" w:hAnsi="Bookman Old Style"/>
          <w:color w:val="000000"/>
          <w:sz w:val="24"/>
          <w:szCs w:val="24"/>
        </w:rPr>
        <w:t>perdida y/o por perder.</w:t>
      </w:r>
    </w:p>
    <w:p w14:paraId="4A464C0F" w14:textId="77777777" w:rsidR="008F2B8E" w:rsidRDefault="008F2B8E" w:rsidP="008F2B8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p>
    <w:p w14:paraId="6A396160" w14:textId="0644FBCC" w:rsidR="005772A1" w:rsidRPr="005772A1" w:rsidRDefault="008F2B8E" w:rsidP="005772A1">
      <w:pPr>
        <w:pStyle w:val="Prrafodelista"/>
        <w:numPr>
          <w:ilvl w:val="0"/>
          <w:numId w:val="5"/>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b/>
          <w:bCs/>
          <w:color w:val="000000"/>
          <w:sz w:val="24"/>
          <w:szCs w:val="24"/>
        </w:rPr>
      </w:pPr>
      <w:r w:rsidRPr="005772A1">
        <w:rPr>
          <w:rFonts w:ascii="Bookman Old Style" w:hAnsi="Bookman Old Style"/>
          <w:b/>
          <w:bCs/>
          <w:color w:val="000000"/>
          <w:sz w:val="24"/>
          <w:szCs w:val="24"/>
        </w:rPr>
        <w:t>El litio como material de interés nuclear.</w:t>
      </w:r>
    </w:p>
    <w:p w14:paraId="508F4D1C"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p>
    <w:p w14:paraId="4C4374B2"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p>
    <w:p w14:paraId="0EE91FD3" w14:textId="2E92723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En el año 1975, el Gobierno Militar que regía nuestro país desde 1973  “fij</w:t>
      </w:r>
      <w:r w:rsidR="00984F6A">
        <w:rPr>
          <w:rFonts w:ascii="Bookman Old Style" w:hAnsi="Bookman Old Style"/>
          <w:color w:val="000000"/>
          <w:sz w:val="24"/>
          <w:szCs w:val="24"/>
        </w:rPr>
        <w:t>ó</w:t>
      </w:r>
      <w:r>
        <w:rPr>
          <w:rFonts w:ascii="Bookman Old Style" w:hAnsi="Bookman Old Style"/>
          <w:color w:val="000000"/>
          <w:sz w:val="24"/>
          <w:szCs w:val="24"/>
        </w:rPr>
        <w:t xml:space="preserve"> su atención” en el litio: mediante el </w:t>
      </w:r>
      <w:r w:rsidRPr="00B83054">
        <w:rPr>
          <w:rFonts w:ascii="Bookman Old Style" w:hAnsi="Bookman Old Style"/>
          <w:color w:val="000000"/>
          <w:sz w:val="24"/>
          <w:szCs w:val="24"/>
        </w:rPr>
        <w:t>Reglamento de Términos Nucleares, establec</w:t>
      </w:r>
      <w:r w:rsidR="00984F6A">
        <w:rPr>
          <w:rFonts w:ascii="Bookman Old Style" w:hAnsi="Bookman Old Style"/>
          <w:color w:val="000000"/>
          <w:sz w:val="24"/>
          <w:szCs w:val="24"/>
        </w:rPr>
        <w:t>ió</w:t>
      </w:r>
      <w:r w:rsidRPr="00B83054">
        <w:rPr>
          <w:rFonts w:ascii="Bookman Old Style" w:hAnsi="Bookman Old Style"/>
          <w:color w:val="000000"/>
          <w:sz w:val="24"/>
          <w:szCs w:val="24"/>
        </w:rPr>
        <w:t xml:space="preserve"> la calidad de material de interés nuclear del</w:t>
      </w:r>
      <w:r>
        <w:rPr>
          <w:rFonts w:ascii="Bookman Old Style" w:hAnsi="Bookman Old Style"/>
          <w:color w:val="000000"/>
          <w:sz w:val="24"/>
          <w:szCs w:val="24"/>
        </w:rPr>
        <w:t xml:space="preserve"> </w:t>
      </w:r>
      <w:r w:rsidRPr="00B83054">
        <w:rPr>
          <w:rFonts w:ascii="Bookman Old Style" w:hAnsi="Bookman Old Style"/>
          <w:color w:val="000000"/>
          <w:sz w:val="24"/>
          <w:szCs w:val="24"/>
        </w:rPr>
        <w:t>litio</w:t>
      </w:r>
      <w:r w:rsidR="004B10EA">
        <w:rPr>
          <w:rFonts w:ascii="Bookman Old Style" w:hAnsi="Bookman Old Style"/>
          <w:color w:val="000000"/>
          <w:sz w:val="24"/>
          <w:szCs w:val="24"/>
        </w:rPr>
        <w:t>. S</w:t>
      </w:r>
      <w:r>
        <w:rPr>
          <w:rFonts w:ascii="Bookman Old Style" w:hAnsi="Bookman Old Style"/>
          <w:color w:val="000000"/>
          <w:sz w:val="24"/>
          <w:szCs w:val="24"/>
        </w:rPr>
        <w:t>in embargo,  dicho</w:t>
      </w:r>
      <w:r w:rsidR="00984F6A">
        <w:rPr>
          <w:rFonts w:ascii="Bookman Old Style" w:hAnsi="Bookman Old Style"/>
          <w:color w:val="000000"/>
          <w:sz w:val="24"/>
          <w:szCs w:val="24"/>
        </w:rPr>
        <w:t>,</w:t>
      </w:r>
      <w:r>
        <w:rPr>
          <w:rFonts w:ascii="Bookman Old Style" w:hAnsi="Bookman Old Style"/>
          <w:color w:val="000000"/>
          <w:sz w:val="24"/>
          <w:szCs w:val="24"/>
        </w:rPr>
        <w:t xml:space="preserve"> reglamento no </w:t>
      </w:r>
      <w:r w:rsidRPr="00B83054">
        <w:rPr>
          <w:rFonts w:ascii="Bookman Old Style" w:hAnsi="Bookman Old Style"/>
          <w:color w:val="000000"/>
          <w:sz w:val="24"/>
          <w:szCs w:val="24"/>
        </w:rPr>
        <w:t>tuvo el</w:t>
      </w:r>
      <w:r>
        <w:rPr>
          <w:rFonts w:ascii="Bookman Old Style" w:hAnsi="Bookman Old Style"/>
          <w:color w:val="000000"/>
          <w:sz w:val="24"/>
          <w:szCs w:val="24"/>
        </w:rPr>
        <w:t xml:space="preserve"> </w:t>
      </w:r>
      <w:r w:rsidRPr="00B83054">
        <w:rPr>
          <w:rFonts w:ascii="Bookman Old Style" w:hAnsi="Bookman Old Style"/>
          <w:color w:val="000000"/>
          <w:sz w:val="24"/>
          <w:szCs w:val="24"/>
        </w:rPr>
        <w:t xml:space="preserve">impacto sobre </w:t>
      </w:r>
      <w:r w:rsidR="004B10EA">
        <w:rPr>
          <w:rFonts w:ascii="Bookman Old Style" w:hAnsi="Bookman Old Style"/>
          <w:color w:val="000000"/>
          <w:sz w:val="24"/>
          <w:szCs w:val="24"/>
        </w:rPr>
        <w:t>su</w:t>
      </w:r>
      <w:r w:rsidRPr="00B83054">
        <w:rPr>
          <w:rFonts w:ascii="Bookman Old Style" w:hAnsi="Bookman Old Style"/>
          <w:color w:val="000000"/>
          <w:sz w:val="24"/>
          <w:szCs w:val="24"/>
        </w:rPr>
        <w:t xml:space="preserve"> régimen de propiedad y explotación, </w:t>
      </w:r>
      <w:r>
        <w:rPr>
          <w:rFonts w:ascii="Bookman Old Style" w:hAnsi="Bookman Old Style"/>
          <w:color w:val="000000"/>
          <w:sz w:val="24"/>
          <w:szCs w:val="24"/>
        </w:rPr>
        <w:t xml:space="preserve">ya que </w:t>
      </w:r>
      <w:r w:rsidR="004B10EA">
        <w:rPr>
          <w:rFonts w:ascii="Bookman Old Style" w:hAnsi="Bookman Old Style"/>
          <w:color w:val="000000"/>
          <w:sz w:val="24"/>
          <w:szCs w:val="24"/>
        </w:rPr>
        <w:t xml:space="preserve">en el </w:t>
      </w:r>
      <w:r>
        <w:rPr>
          <w:rFonts w:ascii="Bookman Old Style" w:hAnsi="Bookman Old Style"/>
          <w:color w:val="000000"/>
          <w:sz w:val="24"/>
          <w:szCs w:val="24"/>
        </w:rPr>
        <w:t>Ley</w:t>
      </w:r>
      <w:r w:rsidRPr="00B83054">
        <w:rPr>
          <w:rFonts w:ascii="Bookman Old Style" w:hAnsi="Bookman Old Style"/>
          <w:color w:val="000000"/>
          <w:sz w:val="24"/>
          <w:szCs w:val="24"/>
        </w:rPr>
        <w:t xml:space="preserve"> Código</w:t>
      </w:r>
      <w:r>
        <w:rPr>
          <w:rFonts w:ascii="Bookman Old Style" w:hAnsi="Bookman Old Style"/>
          <w:color w:val="000000"/>
          <w:sz w:val="24"/>
          <w:szCs w:val="24"/>
        </w:rPr>
        <w:t xml:space="preserve"> </w:t>
      </w:r>
      <w:r w:rsidRPr="00B83054">
        <w:rPr>
          <w:rFonts w:ascii="Bookman Old Style" w:hAnsi="Bookman Old Style"/>
          <w:color w:val="000000"/>
          <w:sz w:val="24"/>
          <w:szCs w:val="24"/>
        </w:rPr>
        <w:t>de Minería vigente en ese momento, el litio seguía estando dentro de las sustancias concesibles</w:t>
      </w:r>
      <w:r>
        <w:rPr>
          <w:rFonts w:ascii="Bookman Old Style" w:hAnsi="Bookman Old Style"/>
          <w:color w:val="000000"/>
          <w:sz w:val="24"/>
          <w:szCs w:val="24"/>
        </w:rPr>
        <w:t>.</w:t>
      </w:r>
    </w:p>
    <w:p w14:paraId="207690DC"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7FA00C07" w14:textId="4A9B9B0B"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 xml:space="preserve">Esta atención se debía básicamente a doctrinas de seguridad y soberanía militar, imitando la legislación y administración de la super potencia de la época, </w:t>
      </w:r>
      <w:r w:rsidRPr="00B83054">
        <w:rPr>
          <w:rFonts w:ascii="Bookman Old Style" w:hAnsi="Bookman Old Style"/>
          <w:color w:val="000000"/>
          <w:sz w:val="24"/>
          <w:szCs w:val="24"/>
        </w:rPr>
        <w:t>Estados Unidos</w:t>
      </w:r>
      <w:r>
        <w:rPr>
          <w:rFonts w:ascii="Bookman Old Style" w:hAnsi="Bookman Old Style"/>
          <w:color w:val="000000"/>
          <w:sz w:val="24"/>
          <w:szCs w:val="24"/>
        </w:rPr>
        <w:t xml:space="preserve">, que </w:t>
      </w:r>
      <w:r w:rsidR="00E2417B">
        <w:rPr>
          <w:rFonts w:ascii="Bookman Old Style" w:hAnsi="Bookman Old Style"/>
          <w:color w:val="000000"/>
          <w:sz w:val="24"/>
          <w:szCs w:val="24"/>
        </w:rPr>
        <w:t xml:space="preserve">auguraba </w:t>
      </w:r>
      <w:r w:rsidR="00E2417B" w:rsidRPr="00B83054">
        <w:rPr>
          <w:rFonts w:ascii="Bookman Old Style" w:hAnsi="Bookman Old Style"/>
          <w:color w:val="000000"/>
          <w:sz w:val="24"/>
          <w:szCs w:val="24"/>
        </w:rPr>
        <w:t>control</w:t>
      </w:r>
      <w:r w:rsidRPr="00B83054">
        <w:rPr>
          <w:rFonts w:ascii="Bookman Old Style" w:hAnsi="Bookman Old Style"/>
          <w:color w:val="000000"/>
          <w:sz w:val="24"/>
          <w:szCs w:val="24"/>
        </w:rPr>
        <w:t xml:space="preserve"> estatal sobre las sustancias que </w:t>
      </w:r>
      <w:r w:rsidR="00E2417B" w:rsidRPr="00B83054">
        <w:rPr>
          <w:rFonts w:ascii="Bookman Old Style" w:hAnsi="Bookman Old Style"/>
          <w:color w:val="000000"/>
          <w:sz w:val="24"/>
          <w:szCs w:val="24"/>
        </w:rPr>
        <w:t xml:space="preserve">se </w:t>
      </w:r>
      <w:r w:rsidR="00E2417B">
        <w:rPr>
          <w:rFonts w:ascii="Bookman Old Style" w:hAnsi="Bookman Old Style"/>
          <w:color w:val="000000"/>
          <w:sz w:val="24"/>
          <w:szCs w:val="24"/>
        </w:rPr>
        <w:t>consideran</w:t>
      </w:r>
      <w:r w:rsidRPr="00B83054">
        <w:rPr>
          <w:rFonts w:ascii="Bookman Old Style" w:hAnsi="Bookman Old Style"/>
          <w:color w:val="000000"/>
          <w:sz w:val="24"/>
          <w:szCs w:val="24"/>
        </w:rPr>
        <w:t xml:space="preserve"> críticas para el desarrollo</w:t>
      </w:r>
      <w:r>
        <w:rPr>
          <w:rFonts w:ascii="Bookman Old Style" w:hAnsi="Bookman Old Style"/>
          <w:color w:val="000000"/>
          <w:sz w:val="24"/>
          <w:szCs w:val="24"/>
        </w:rPr>
        <w:t xml:space="preserve"> </w:t>
      </w:r>
      <w:r w:rsidRPr="00B83054">
        <w:rPr>
          <w:rFonts w:ascii="Bookman Old Style" w:hAnsi="Bookman Old Style"/>
          <w:color w:val="000000"/>
          <w:sz w:val="24"/>
          <w:szCs w:val="24"/>
        </w:rPr>
        <w:t>de la energía nuclear</w:t>
      </w:r>
      <w:r>
        <w:rPr>
          <w:rFonts w:ascii="Bookman Old Style" w:hAnsi="Bookman Old Style"/>
          <w:color w:val="000000"/>
          <w:sz w:val="24"/>
          <w:szCs w:val="24"/>
        </w:rPr>
        <w:t>.</w:t>
      </w:r>
      <w:r w:rsidRPr="00B83054">
        <w:rPr>
          <w:rFonts w:ascii="Bookman Old Style" w:hAnsi="Bookman Old Style"/>
          <w:color w:val="000000"/>
          <w:sz w:val="24"/>
          <w:szCs w:val="24"/>
        </w:rPr>
        <w:t xml:space="preserve"> </w:t>
      </w:r>
    </w:p>
    <w:p w14:paraId="39FA6D04"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573511B0" w14:textId="370D0EA0"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Por lo mismo, la legislación nacional emanada de la Junta Militar</w:t>
      </w:r>
      <w:r w:rsidRPr="00B83054">
        <w:rPr>
          <w:rFonts w:ascii="Bookman Old Style" w:hAnsi="Bookman Old Style"/>
          <w:color w:val="000000"/>
          <w:sz w:val="24"/>
          <w:szCs w:val="24"/>
        </w:rPr>
        <w:t xml:space="preserve"> declaró al litio reservado para el </w:t>
      </w:r>
      <w:r>
        <w:rPr>
          <w:rFonts w:ascii="Bookman Old Style" w:hAnsi="Bookman Old Style"/>
          <w:color w:val="000000"/>
          <w:sz w:val="24"/>
          <w:szCs w:val="24"/>
        </w:rPr>
        <w:t>E</w:t>
      </w:r>
      <w:r w:rsidRPr="00B83054">
        <w:rPr>
          <w:rFonts w:ascii="Bookman Old Style" w:hAnsi="Bookman Old Style"/>
          <w:color w:val="000000"/>
          <w:sz w:val="24"/>
          <w:szCs w:val="24"/>
        </w:rPr>
        <w:t>stado,</w:t>
      </w:r>
      <w:r>
        <w:rPr>
          <w:rFonts w:ascii="Bookman Old Style" w:hAnsi="Bookman Old Style"/>
          <w:color w:val="000000"/>
          <w:sz w:val="24"/>
          <w:szCs w:val="24"/>
        </w:rPr>
        <w:t xml:space="preserve"> </w:t>
      </w:r>
      <w:r w:rsidRPr="00B83054">
        <w:rPr>
          <w:rFonts w:ascii="Bookman Old Style" w:hAnsi="Bookman Old Style"/>
          <w:color w:val="000000"/>
          <w:sz w:val="24"/>
          <w:szCs w:val="24"/>
        </w:rPr>
        <w:t>mediante Decreto Ley N</w:t>
      </w:r>
      <w:r>
        <w:rPr>
          <w:rFonts w:ascii="Bookman Old Style" w:hAnsi="Bookman Old Style"/>
          <w:color w:val="000000"/>
          <w:sz w:val="24"/>
          <w:szCs w:val="24"/>
        </w:rPr>
        <w:t>°</w:t>
      </w:r>
      <w:r w:rsidRPr="00B83054">
        <w:rPr>
          <w:rFonts w:ascii="Bookman Old Style" w:hAnsi="Bookman Old Style"/>
          <w:color w:val="000000"/>
          <w:sz w:val="24"/>
          <w:szCs w:val="24"/>
        </w:rPr>
        <w:t xml:space="preserve"> 2.886 de noviembre de 1979, dejando señaladas como excepción los</w:t>
      </w:r>
      <w:r>
        <w:rPr>
          <w:rFonts w:ascii="Bookman Old Style" w:hAnsi="Bookman Old Style"/>
          <w:color w:val="000000"/>
          <w:sz w:val="24"/>
          <w:szCs w:val="24"/>
        </w:rPr>
        <w:t xml:space="preserve"> </w:t>
      </w:r>
      <w:r w:rsidRPr="00B83054">
        <w:rPr>
          <w:rFonts w:ascii="Bookman Old Style" w:hAnsi="Bookman Old Style"/>
          <w:color w:val="000000"/>
          <w:sz w:val="24"/>
          <w:szCs w:val="24"/>
        </w:rPr>
        <w:t>títulos mineros que se hubieren constituido antes de la vigencia del Decreto o iniciado su proceso de</w:t>
      </w:r>
      <w:r>
        <w:rPr>
          <w:rFonts w:ascii="Bookman Old Style" w:hAnsi="Bookman Old Style"/>
          <w:color w:val="000000"/>
          <w:sz w:val="24"/>
          <w:szCs w:val="24"/>
        </w:rPr>
        <w:t xml:space="preserve"> </w:t>
      </w:r>
      <w:r w:rsidRPr="00B83054">
        <w:rPr>
          <w:rFonts w:ascii="Bookman Old Style" w:hAnsi="Bookman Old Style"/>
          <w:color w:val="000000"/>
          <w:sz w:val="24"/>
          <w:szCs w:val="24"/>
        </w:rPr>
        <w:t>trámite de inscripción antes del 1 de enero de 1979</w:t>
      </w:r>
      <w:r>
        <w:rPr>
          <w:rFonts w:ascii="Bookman Old Style" w:hAnsi="Bookman Old Style"/>
          <w:color w:val="000000"/>
          <w:sz w:val="24"/>
          <w:szCs w:val="24"/>
        </w:rPr>
        <w:t>.</w:t>
      </w:r>
    </w:p>
    <w:p w14:paraId="4DE9D311" w14:textId="77777777" w:rsidR="00AE5EDD" w:rsidRDefault="00AE5EDD"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75ADE706" w14:textId="643EF10C" w:rsidR="00AE5EDD" w:rsidRDefault="00AE5EDD"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En ese sentido,  el decreto ley modificó el artículo 8</w:t>
      </w:r>
      <w:r w:rsidR="00720AFD">
        <w:rPr>
          <w:rFonts w:ascii="Bookman Old Style" w:hAnsi="Bookman Old Style"/>
          <w:color w:val="000000"/>
          <w:sz w:val="24"/>
          <w:szCs w:val="24"/>
        </w:rPr>
        <w:t>°</w:t>
      </w:r>
      <w:r>
        <w:rPr>
          <w:rFonts w:ascii="Bookman Old Style" w:hAnsi="Bookman Old Style"/>
          <w:color w:val="000000"/>
          <w:sz w:val="24"/>
          <w:szCs w:val="24"/>
        </w:rPr>
        <w:t xml:space="preserve"> de Ley </w:t>
      </w:r>
      <w:r w:rsidRPr="00562926">
        <w:rPr>
          <w:rFonts w:ascii="Bookman Old Style" w:hAnsi="Bookman Old Style"/>
          <w:color w:val="000000"/>
          <w:sz w:val="24"/>
          <w:szCs w:val="24"/>
        </w:rPr>
        <w:t>16.319</w:t>
      </w:r>
      <w:r w:rsidR="00720AFD" w:rsidRPr="00720AFD">
        <w:rPr>
          <w:rFonts w:ascii="Bookman Old Style" w:hAnsi="Bookman Old Style"/>
          <w:color w:val="000000"/>
          <w:sz w:val="24"/>
          <w:szCs w:val="24"/>
        </w:rPr>
        <w:t xml:space="preserve"> </w:t>
      </w:r>
      <w:r w:rsidR="00720AFD" w:rsidRPr="00562926">
        <w:rPr>
          <w:rFonts w:ascii="Bookman Old Style" w:hAnsi="Bookman Old Style"/>
          <w:color w:val="000000"/>
          <w:sz w:val="24"/>
          <w:szCs w:val="24"/>
        </w:rPr>
        <w:t>que crea la Comisión Chilena de Energía Nuclear</w:t>
      </w:r>
      <w:r w:rsidR="00720AFD">
        <w:rPr>
          <w:rFonts w:ascii="Bookman Old Style" w:hAnsi="Bookman Old Style"/>
          <w:color w:val="000000"/>
          <w:sz w:val="24"/>
          <w:szCs w:val="24"/>
        </w:rPr>
        <w:t xml:space="preserve"> </w:t>
      </w:r>
      <w:r w:rsidRPr="00562926">
        <w:rPr>
          <w:rFonts w:ascii="Bookman Old Style" w:hAnsi="Bookman Old Style"/>
          <w:color w:val="000000"/>
          <w:sz w:val="24"/>
          <w:szCs w:val="24"/>
        </w:rPr>
        <w:t xml:space="preserve"> </w:t>
      </w:r>
      <w:bookmarkStart w:id="1" w:name="_Hlk90832732"/>
      <w:r w:rsidR="00720AFD" w:rsidRPr="002F057D">
        <w:t>—</w:t>
      </w:r>
      <w:bookmarkEnd w:id="1"/>
      <w:r w:rsidR="00720AFD">
        <w:rPr>
          <w:rFonts w:ascii="Bookman Old Style" w:hAnsi="Bookman Old Style"/>
          <w:color w:val="000000"/>
          <w:sz w:val="24"/>
          <w:szCs w:val="24"/>
        </w:rPr>
        <w:t xml:space="preserve">en adelante </w:t>
      </w:r>
      <w:r w:rsidR="00720AFD" w:rsidRPr="00562926">
        <w:rPr>
          <w:rFonts w:ascii="Bookman Old Style" w:hAnsi="Bookman Old Style"/>
          <w:b/>
          <w:bCs/>
          <w:color w:val="000000"/>
          <w:sz w:val="24"/>
          <w:szCs w:val="24"/>
        </w:rPr>
        <w:t>CCHEN</w:t>
      </w:r>
      <w:r w:rsidR="00720AFD">
        <w:rPr>
          <w:rFonts w:ascii="Bookman Old Style" w:hAnsi="Bookman Old Style"/>
          <w:b/>
          <w:bCs/>
          <w:color w:val="000000"/>
          <w:sz w:val="24"/>
          <w:szCs w:val="24"/>
        </w:rPr>
        <w:t>-</w:t>
      </w:r>
      <w:r w:rsidR="00720AFD">
        <w:rPr>
          <w:rFonts w:ascii="Bookman Old Style" w:hAnsi="Bookman Old Style"/>
          <w:color w:val="000000"/>
          <w:sz w:val="24"/>
          <w:szCs w:val="24"/>
        </w:rPr>
        <w:t xml:space="preserve"> </w:t>
      </w:r>
      <w:r>
        <w:rPr>
          <w:rFonts w:ascii="Bookman Old Style" w:hAnsi="Bookman Old Style"/>
          <w:color w:val="000000"/>
          <w:sz w:val="24"/>
          <w:szCs w:val="24"/>
        </w:rPr>
        <w:t xml:space="preserve">y  </w:t>
      </w:r>
      <w:r w:rsidRPr="00562926">
        <w:rPr>
          <w:rFonts w:ascii="Bookman Old Style" w:hAnsi="Bookman Old Style"/>
          <w:color w:val="000000"/>
          <w:sz w:val="24"/>
          <w:szCs w:val="24"/>
        </w:rPr>
        <w:t>se estableció que la CCHEN tendría como función</w:t>
      </w:r>
      <w:r>
        <w:rPr>
          <w:rFonts w:ascii="Bookman Old Style" w:hAnsi="Bookman Old Style"/>
          <w:color w:val="000000"/>
          <w:sz w:val="24"/>
          <w:szCs w:val="24"/>
        </w:rPr>
        <w:t xml:space="preserve"> autorizar actos jurídicos que tengan por objeto el litio:</w:t>
      </w:r>
      <w:r w:rsidRPr="00562926">
        <w:rPr>
          <w:rFonts w:ascii="Bookman Old Style" w:hAnsi="Bookman Old Style"/>
          <w:color w:val="000000"/>
          <w:sz w:val="24"/>
          <w:szCs w:val="24"/>
        </w:rPr>
        <w:t xml:space="preserve"> “</w:t>
      </w:r>
      <w:r w:rsidRPr="00562926">
        <w:rPr>
          <w:rFonts w:ascii="Bookman Old Style" w:hAnsi="Bookman Old Style"/>
          <w:i/>
          <w:iCs/>
          <w:color w:val="000000"/>
          <w:sz w:val="24"/>
          <w:szCs w:val="24"/>
        </w:rPr>
        <w:t>no podrán ser objeto de ninguna clase de actos jurídicos, sino cuando ellos se ejecuten o celebren por la Comisión Chilena de Energía Nuclear, con ésta o con su autorización previa</w:t>
      </w:r>
      <w:r w:rsidRPr="00562926">
        <w:rPr>
          <w:rFonts w:ascii="Bookman Old Style" w:hAnsi="Bookman Old Style"/>
          <w:color w:val="000000"/>
          <w:sz w:val="24"/>
          <w:szCs w:val="24"/>
        </w:rPr>
        <w:t>”</w:t>
      </w:r>
      <w:r w:rsidR="004B10EA">
        <w:rPr>
          <w:rFonts w:ascii="Bookman Old Style" w:hAnsi="Bookman Old Style"/>
          <w:color w:val="000000"/>
          <w:sz w:val="24"/>
          <w:szCs w:val="24"/>
        </w:rPr>
        <w:t>. Así,</w:t>
      </w:r>
      <w:r>
        <w:rPr>
          <w:rFonts w:ascii="Bookman Old Style" w:hAnsi="Bookman Old Style"/>
          <w:color w:val="000000"/>
          <w:sz w:val="24"/>
          <w:szCs w:val="24"/>
        </w:rPr>
        <w:t xml:space="preserve"> además de ser el derecho de explotación del litio un derecho no concesible, se prohibía cualquier acto jurídico sobre el litio mismo</w:t>
      </w:r>
      <w:r w:rsidR="004B10EA">
        <w:rPr>
          <w:rFonts w:ascii="Bookman Old Style" w:hAnsi="Bookman Old Style"/>
          <w:color w:val="000000"/>
          <w:sz w:val="24"/>
          <w:szCs w:val="24"/>
        </w:rPr>
        <w:t>. E</w:t>
      </w:r>
      <w:r>
        <w:rPr>
          <w:rFonts w:ascii="Bookman Old Style" w:hAnsi="Bookman Old Style"/>
          <w:color w:val="000000"/>
          <w:sz w:val="24"/>
          <w:szCs w:val="24"/>
        </w:rPr>
        <w:t>s decir, todos los derechos reales sobre el mismo no podían transferirse o enajenarse de ningún modo sin autorización de la CCHEN.</w:t>
      </w:r>
    </w:p>
    <w:p w14:paraId="29F4619C"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r>
    </w:p>
    <w:p w14:paraId="1F515AE4" w14:textId="36E8035B"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 xml:space="preserve">En adición, mediante </w:t>
      </w:r>
      <w:r w:rsidRPr="008445A9">
        <w:rPr>
          <w:rFonts w:ascii="Bookman Old Style" w:hAnsi="Bookman Old Style"/>
          <w:color w:val="000000"/>
          <w:sz w:val="24"/>
          <w:szCs w:val="24"/>
        </w:rPr>
        <w:t>Decreto Ley 1.557 del Ministerio de Minería de 1979</w:t>
      </w:r>
      <w:r>
        <w:rPr>
          <w:rFonts w:ascii="Bookman Old Style" w:hAnsi="Bookman Old Style"/>
          <w:color w:val="000000"/>
          <w:sz w:val="24"/>
          <w:szCs w:val="24"/>
        </w:rPr>
        <w:t xml:space="preserve">, se </w:t>
      </w:r>
      <w:r w:rsidRPr="00562926">
        <w:rPr>
          <w:rFonts w:ascii="Bookman Old Style" w:hAnsi="Bookman Old Style"/>
          <w:color w:val="000000"/>
          <w:sz w:val="24"/>
          <w:szCs w:val="24"/>
        </w:rPr>
        <w:t>modificó la Ley 16.319, para establecer, en su nuevo artículo 2°, que el litio pasaba ahora a</w:t>
      </w:r>
      <w:r>
        <w:rPr>
          <w:rFonts w:ascii="Bookman Old Style" w:hAnsi="Bookman Old Style"/>
          <w:color w:val="000000"/>
          <w:sz w:val="24"/>
          <w:szCs w:val="24"/>
        </w:rPr>
        <w:t xml:space="preserve"> </w:t>
      </w:r>
      <w:r w:rsidRPr="00562926">
        <w:rPr>
          <w:rFonts w:ascii="Bookman Old Style" w:hAnsi="Bookman Old Style"/>
          <w:color w:val="000000"/>
          <w:sz w:val="24"/>
          <w:szCs w:val="24"/>
        </w:rPr>
        <w:t>ser un material “de interés nuclear”.</w:t>
      </w:r>
      <w:r>
        <w:rPr>
          <w:rStyle w:val="Refdenotaalpie"/>
          <w:rFonts w:ascii="Bookman Old Style" w:hAnsi="Bookman Old Style"/>
          <w:color w:val="000000"/>
          <w:sz w:val="24"/>
          <w:szCs w:val="24"/>
        </w:rPr>
        <w:footnoteReference w:id="1"/>
      </w:r>
      <w:r>
        <w:rPr>
          <w:rFonts w:ascii="Bookman Old Style" w:hAnsi="Bookman Old Style"/>
          <w:color w:val="000000"/>
          <w:sz w:val="24"/>
          <w:szCs w:val="24"/>
        </w:rPr>
        <w:t xml:space="preserve"> </w:t>
      </w:r>
    </w:p>
    <w:p w14:paraId="0F189FAB"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24FDF706" w14:textId="436C10CB"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 xml:space="preserve">Posteriormente, el año 1982, la </w:t>
      </w:r>
      <w:r w:rsidRPr="00D540F6">
        <w:rPr>
          <w:rFonts w:ascii="Bookman Old Style" w:hAnsi="Bookman Old Style"/>
          <w:color w:val="000000"/>
          <w:sz w:val="24"/>
          <w:szCs w:val="24"/>
        </w:rPr>
        <w:t>Ley Orgánica Constitucional sobre Concesiones Mineras</w:t>
      </w:r>
      <w:r>
        <w:rPr>
          <w:rFonts w:ascii="Bookman Old Style" w:hAnsi="Bookman Old Style"/>
          <w:color w:val="000000"/>
          <w:sz w:val="24"/>
          <w:szCs w:val="24"/>
        </w:rPr>
        <w:t xml:space="preserve"> reafirmó el régimen de jurídico del litio en el inciso final de su artículo tercero: </w:t>
      </w:r>
    </w:p>
    <w:p w14:paraId="3DFA6909"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4A9C5F87"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b/>
          <w:bCs/>
          <w:i/>
          <w:iCs/>
          <w:color w:val="000000"/>
          <w:sz w:val="24"/>
          <w:szCs w:val="24"/>
        </w:rPr>
      </w:pPr>
      <w:r>
        <w:rPr>
          <w:rFonts w:ascii="Bookman Old Style" w:hAnsi="Bookman Old Style"/>
          <w:color w:val="000000"/>
          <w:sz w:val="24"/>
          <w:szCs w:val="24"/>
        </w:rPr>
        <w:tab/>
        <w:t>“</w:t>
      </w:r>
      <w:r w:rsidRPr="00D540F6">
        <w:rPr>
          <w:rFonts w:ascii="Bookman Old Style" w:hAnsi="Bookman Old Style"/>
          <w:i/>
          <w:iCs/>
          <w:color w:val="000000"/>
          <w:sz w:val="24"/>
          <w:szCs w:val="24"/>
        </w:rPr>
        <w:t xml:space="preserve">No son susceptibles de concesión minera los hidrocarburos líquidos o gaseosos, </w:t>
      </w:r>
      <w:r w:rsidRPr="00D540F6">
        <w:rPr>
          <w:rFonts w:ascii="Bookman Old Style" w:hAnsi="Bookman Old Style"/>
          <w:b/>
          <w:bCs/>
          <w:i/>
          <w:iCs/>
          <w:color w:val="000000"/>
          <w:sz w:val="24"/>
          <w:szCs w:val="24"/>
        </w:rPr>
        <w:t>el litio</w:t>
      </w:r>
      <w:r w:rsidRPr="00D540F6">
        <w:rPr>
          <w:rFonts w:ascii="Bookman Old Style" w:hAnsi="Bookman Old Style"/>
          <w:i/>
          <w:iCs/>
          <w:color w:val="000000"/>
          <w:sz w:val="24"/>
          <w:szCs w:val="24"/>
        </w:rPr>
        <w:t xml:space="preserve">, los yacimientos de cualquier especie existentes en las aguas marítimas sometidas a la jurisdicción nacional ni los yacimientos de cualquier especie situados, en todo o en parte, en zonas que conforme a la ley, se determinen como de importancia para la seguridad nacional con efectos mineros, </w:t>
      </w:r>
      <w:r w:rsidRPr="00D540F6">
        <w:rPr>
          <w:rFonts w:ascii="Bookman Old Style" w:hAnsi="Bookman Old Style"/>
          <w:b/>
          <w:bCs/>
          <w:i/>
          <w:iCs/>
          <w:color w:val="000000"/>
          <w:sz w:val="24"/>
          <w:szCs w:val="24"/>
        </w:rPr>
        <w:t>sin perjuicio de las concesiones mineras válidamente constituidas con anterioridad a la correspondiente declaración de no concesibilidad o de importancia para la seguridad nacional.</w:t>
      </w:r>
      <w:r>
        <w:rPr>
          <w:rFonts w:ascii="Bookman Old Style" w:hAnsi="Bookman Old Style"/>
          <w:b/>
          <w:bCs/>
          <w:i/>
          <w:iCs/>
          <w:color w:val="000000"/>
          <w:sz w:val="24"/>
          <w:szCs w:val="24"/>
        </w:rPr>
        <w:t>”.</w:t>
      </w:r>
    </w:p>
    <w:p w14:paraId="6C098F0A"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b/>
          <w:bCs/>
          <w:i/>
          <w:iCs/>
          <w:color w:val="000000"/>
          <w:sz w:val="24"/>
          <w:szCs w:val="24"/>
        </w:rPr>
      </w:pPr>
    </w:p>
    <w:p w14:paraId="25A7D839" w14:textId="5C071DD2"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lastRenderedPageBreak/>
        <w:tab/>
        <w:t xml:space="preserve">Por último, en el Código de Minería de 1983 </w:t>
      </w:r>
      <w:r w:rsidR="004B10EA" w:rsidRPr="002F057D">
        <w:t>—</w:t>
      </w:r>
      <w:r>
        <w:rPr>
          <w:rFonts w:ascii="Bookman Old Style" w:hAnsi="Bookman Old Style"/>
          <w:color w:val="000000"/>
          <w:sz w:val="24"/>
          <w:szCs w:val="24"/>
        </w:rPr>
        <w:t>vigente al día de hoy</w:t>
      </w:r>
      <w:r w:rsidR="004B10EA" w:rsidRPr="002F057D">
        <w:t>—</w:t>
      </w:r>
      <w:r>
        <w:rPr>
          <w:rFonts w:ascii="Bookman Old Style" w:hAnsi="Bookman Old Style"/>
          <w:color w:val="000000"/>
          <w:sz w:val="24"/>
          <w:szCs w:val="24"/>
        </w:rPr>
        <w:t xml:space="preserve"> se expresó nuevamente la misma norma:</w:t>
      </w:r>
    </w:p>
    <w:p w14:paraId="331ECB17"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r>
    </w:p>
    <w:p w14:paraId="3F61F6AA"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Bookman Old Style" w:hAnsi="Bookman Old Style"/>
          <w:b/>
          <w:bCs/>
          <w:i/>
          <w:iCs/>
          <w:color w:val="000000"/>
          <w:sz w:val="24"/>
          <w:szCs w:val="24"/>
        </w:rPr>
      </w:pPr>
      <w:r w:rsidRPr="005772A1">
        <w:rPr>
          <w:rFonts w:ascii="Bookman Old Style" w:hAnsi="Bookman Old Style"/>
          <w:i/>
          <w:iCs/>
          <w:color w:val="000000"/>
          <w:sz w:val="24"/>
          <w:szCs w:val="24"/>
        </w:rPr>
        <w:t xml:space="preserve">Artículo 7°.- No son susceptibles de concesión minera los hidrocarburos líquidos o gaseosos, </w:t>
      </w:r>
      <w:r w:rsidRPr="005772A1">
        <w:rPr>
          <w:rFonts w:ascii="Bookman Old Style" w:hAnsi="Bookman Old Style"/>
          <w:b/>
          <w:bCs/>
          <w:i/>
          <w:iCs/>
          <w:color w:val="000000"/>
          <w:sz w:val="24"/>
          <w:szCs w:val="24"/>
        </w:rPr>
        <w:t>el litio,</w:t>
      </w:r>
      <w:r w:rsidRPr="005772A1">
        <w:rPr>
          <w:rFonts w:ascii="Bookman Old Style" w:hAnsi="Bookman Old Style"/>
          <w:i/>
          <w:iCs/>
          <w:color w:val="000000"/>
          <w:sz w:val="24"/>
          <w:szCs w:val="24"/>
        </w:rPr>
        <w:t xml:space="preserve"> los yacimientos de cualquier especie existentes en las aguas marítimas sometidas a la jurisdicción nacional ni los yacimientos de cualquier especie situados, en todo o en parte, en zonas que, conforme a la ley, se determinen como de importancia para la seguridad nacional con efectos mineros, </w:t>
      </w:r>
      <w:r w:rsidRPr="005772A1">
        <w:rPr>
          <w:rFonts w:ascii="Bookman Old Style" w:hAnsi="Bookman Old Style"/>
          <w:b/>
          <w:bCs/>
          <w:i/>
          <w:iCs/>
          <w:color w:val="000000"/>
          <w:sz w:val="24"/>
          <w:szCs w:val="24"/>
        </w:rPr>
        <w:t>sin perjuicio de las concesiones mineras válidamente constituidas con anterioridad a la correspondiente declaración de no concesibilidad o de importancia para la seguridad nacional.</w:t>
      </w:r>
    </w:p>
    <w:p w14:paraId="6525B5C8" w14:textId="77777777" w:rsidR="00A80FD9" w:rsidRDefault="00A80FD9" w:rsidP="00A80FD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i/>
          <w:iCs/>
          <w:color w:val="000000"/>
          <w:sz w:val="24"/>
          <w:szCs w:val="24"/>
        </w:rPr>
      </w:pPr>
    </w:p>
    <w:p w14:paraId="22B42E30" w14:textId="5EF47038" w:rsidR="00A80FD9" w:rsidRDefault="00A80FD9" w:rsidP="00A80FD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 xml:space="preserve">En razón de lo anterior, solo quedaron vigentes </w:t>
      </w:r>
      <w:r w:rsidR="007F4080">
        <w:rPr>
          <w:rFonts w:ascii="Bookman Old Style" w:hAnsi="Bookman Old Style"/>
          <w:color w:val="000000"/>
          <w:sz w:val="24"/>
          <w:szCs w:val="24"/>
        </w:rPr>
        <w:t>seis</w:t>
      </w:r>
      <w:r>
        <w:rPr>
          <w:rFonts w:ascii="Bookman Old Style" w:hAnsi="Bookman Old Style"/>
          <w:color w:val="000000"/>
          <w:sz w:val="24"/>
          <w:szCs w:val="24"/>
        </w:rPr>
        <w:t xml:space="preserve"> pertenencias mineras</w:t>
      </w:r>
      <w:r w:rsidR="00AE5EDD" w:rsidRPr="00AE5EDD">
        <w:rPr>
          <w:rFonts w:ascii="Bookman Old Style" w:hAnsi="Bookman Old Style"/>
          <w:color w:val="000000"/>
          <w:sz w:val="24"/>
          <w:szCs w:val="24"/>
        </w:rPr>
        <w:t xml:space="preserve"> </w:t>
      </w:r>
      <w:r w:rsidR="00AE5EDD">
        <w:rPr>
          <w:rFonts w:ascii="Bookman Old Style" w:hAnsi="Bookman Old Style"/>
          <w:color w:val="000000"/>
          <w:sz w:val="24"/>
          <w:szCs w:val="24"/>
        </w:rPr>
        <w:t>bajo el régimen jurídico del Código de Minería de 1932</w:t>
      </w:r>
      <w:r w:rsidR="00AE5EDD">
        <w:rPr>
          <w:rStyle w:val="Refdenotaalpie"/>
          <w:rFonts w:ascii="Bookman Old Style" w:hAnsi="Bookman Old Style"/>
          <w:color w:val="000000"/>
          <w:sz w:val="24"/>
          <w:szCs w:val="24"/>
        </w:rPr>
        <w:footnoteReference w:id="2"/>
      </w:r>
      <w:r w:rsidR="007F4080">
        <w:rPr>
          <w:rFonts w:ascii="Bookman Old Style" w:hAnsi="Bookman Old Style"/>
          <w:color w:val="000000"/>
          <w:sz w:val="24"/>
          <w:szCs w:val="24"/>
        </w:rPr>
        <w:t>: dos</w:t>
      </w:r>
      <w:r>
        <w:rPr>
          <w:rFonts w:ascii="Bookman Old Style" w:hAnsi="Bookman Old Style"/>
          <w:color w:val="000000"/>
          <w:sz w:val="24"/>
          <w:szCs w:val="24"/>
        </w:rPr>
        <w:t xml:space="preserve"> solicitadas por CORFO </w:t>
      </w:r>
      <w:r w:rsidR="004B10EA" w:rsidRPr="002F057D">
        <w:t>—</w:t>
      </w:r>
      <w:r>
        <w:rPr>
          <w:rFonts w:ascii="Bookman Old Style" w:hAnsi="Bookman Old Style"/>
          <w:color w:val="000000"/>
          <w:sz w:val="24"/>
          <w:szCs w:val="24"/>
        </w:rPr>
        <w:t>órgano estatal</w:t>
      </w:r>
      <w:r w:rsidR="004B10EA" w:rsidRPr="002F057D">
        <w:t>—</w:t>
      </w:r>
      <w:r>
        <w:rPr>
          <w:rFonts w:ascii="Bookman Old Style" w:hAnsi="Bookman Old Style"/>
          <w:color w:val="000000"/>
          <w:sz w:val="24"/>
          <w:szCs w:val="24"/>
        </w:rPr>
        <w:t xml:space="preserve"> el año 1977</w:t>
      </w:r>
      <w:r w:rsidR="00017CC0">
        <w:rPr>
          <w:rFonts w:ascii="Bookman Old Style" w:hAnsi="Bookman Old Style"/>
          <w:color w:val="000000"/>
          <w:sz w:val="24"/>
          <w:szCs w:val="24"/>
        </w:rPr>
        <w:t xml:space="preserve"> en el Salar de Atacama</w:t>
      </w:r>
      <w:r w:rsidR="007F4080">
        <w:rPr>
          <w:rFonts w:ascii="Bookman Old Style" w:hAnsi="Bookman Old Style"/>
          <w:color w:val="000000"/>
          <w:sz w:val="24"/>
          <w:szCs w:val="24"/>
        </w:rPr>
        <w:t xml:space="preserve"> y </w:t>
      </w:r>
      <w:r w:rsidR="00AE5EDD">
        <w:rPr>
          <w:rFonts w:ascii="Bookman Old Style" w:hAnsi="Bookman Old Style"/>
          <w:color w:val="000000"/>
          <w:sz w:val="24"/>
          <w:szCs w:val="24"/>
        </w:rPr>
        <w:t xml:space="preserve"> otras </w:t>
      </w:r>
      <w:r w:rsidR="007F4080">
        <w:rPr>
          <w:rFonts w:ascii="Bookman Old Style" w:hAnsi="Bookman Old Style"/>
          <w:color w:val="000000"/>
          <w:sz w:val="24"/>
          <w:szCs w:val="24"/>
        </w:rPr>
        <w:t>cuatro</w:t>
      </w:r>
      <w:r w:rsidR="00AE5EDD" w:rsidRPr="00AE5EDD">
        <w:rPr>
          <w:rFonts w:ascii="Bookman Old Style" w:hAnsi="Bookman Old Style"/>
          <w:color w:val="000000"/>
          <w:sz w:val="24"/>
          <w:szCs w:val="24"/>
        </w:rPr>
        <w:t xml:space="preserve"> </w:t>
      </w:r>
      <w:r w:rsidR="00AE5EDD">
        <w:rPr>
          <w:rFonts w:ascii="Bookman Old Style" w:hAnsi="Bookman Old Style"/>
          <w:color w:val="000000"/>
          <w:sz w:val="24"/>
          <w:szCs w:val="24"/>
        </w:rPr>
        <w:t xml:space="preserve">en el Salar de Maricunga: dos </w:t>
      </w:r>
      <w:r w:rsidR="00017CC0">
        <w:rPr>
          <w:rFonts w:ascii="Bookman Old Style" w:hAnsi="Bookman Old Style"/>
          <w:color w:val="000000"/>
          <w:sz w:val="24"/>
          <w:szCs w:val="24"/>
        </w:rPr>
        <w:t xml:space="preserve"> </w:t>
      </w:r>
      <w:r w:rsidR="007732EE">
        <w:rPr>
          <w:rFonts w:ascii="Bookman Old Style" w:hAnsi="Bookman Old Style"/>
          <w:color w:val="000000"/>
          <w:sz w:val="24"/>
          <w:szCs w:val="24"/>
        </w:rPr>
        <w:t>solicitadas por CODELCO y</w:t>
      </w:r>
      <w:r w:rsidR="00AE5EDD">
        <w:rPr>
          <w:rFonts w:ascii="Bookman Old Style" w:hAnsi="Bookman Old Style"/>
          <w:color w:val="000000"/>
          <w:sz w:val="24"/>
          <w:szCs w:val="24"/>
        </w:rPr>
        <w:t xml:space="preserve"> otras dos solicitadas por</w:t>
      </w:r>
      <w:r w:rsidR="007732EE">
        <w:rPr>
          <w:rFonts w:ascii="Bookman Old Style" w:hAnsi="Bookman Old Style"/>
          <w:color w:val="000000"/>
          <w:sz w:val="24"/>
          <w:szCs w:val="24"/>
        </w:rPr>
        <w:t xml:space="preserve"> </w:t>
      </w:r>
      <w:r w:rsidR="003F1393">
        <w:rPr>
          <w:rFonts w:ascii="Bookman Old Style" w:hAnsi="Bookman Old Style"/>
          <w:color w:val="000000"/>
          <w:sz w:val="24"/>
          <w:szCs w:val="24"/>
        </w:rPr>
        <w:t xml:space="preserve">terceros </w:t>
      </w:r>
      <w:r w:rsidR="007F4080">
        <w:rPr>
          <w:rFonts w:ascii="Bookman Old Style" w:hAnsi="Bookman Old Style"/>
          <w:color w:val="000000"/>
          <w:sz w:val="24"/>
          <w:szCs w:val="24"/>
        </w:rPr>
        <w:t>cuyos titulares</w:t>
      </w:r>
      <w:r w:rsidR="00C220FE">
        <w:rPr>
          <w:rFonts w:ascii="Bookman Old Style" w:hAnsi="Bookman Old Style"/>
          <w:color w:val="000000"/>
          <w:sz w:val="24"/>
          <w:szCs w:val="24"/>
        </w:rPr>
        <w:t xml:space="preserve"> son hoy día </w:t>
      </w:r>
      <w:r w:rsidR="00C220FE" w:rsidRPr="003F1393">
        <w:rPr>
          <w:rFonts w:ascii="Bookman Old Style" w:hAnsi="Bookman Old Style"/>
          <w:color w:val="000000"/>
          <w:sz w:val="24"/>
          <w:szCs w:val="24"/>
        </w:rPr>
        <w:t>Minera Salar Blanco</w:t>
      </w:r>
      <w:r w:rsidR="00C220FE">
        <w:rPr>
          <w:rFonts w:ascii="Bookman Old Style" w:hAnsi="Bookman Old Style"/>
          <w:color w:val="000000"/>
          <w:sz w:val="24"/>
          <w:szCs w:val="24"/>
        </w:rPr>
        <w:t xml:space="preserve"> </w:t>
      </w:r>
      <w:r w:rsidR="004B10EA" w:rsidRPr="002F057D">
        <w:t>—</w:t>
      </w:r>
      <w:r w:rsidR="00C220FE">
        <w:rPr>
          <w:rFonts w:ascii="Bookman Old Style" w:hAnsi="Bookman Old Style"/>
          <w:color w:val="000000"/>
          <w:sz w:val="24"/>
          <w:szCs w:val="24"/>
        </w:rPr>
        <w:t>hoy de propiedad de CODELCO</w:t>
      </w:r>
      <w:r w:rsidR="004B10EA" w:rsidRPr="002F057D">
        <w:t>—</w:t>
      </w:r>
      <w:r w:rsidR="00C220FE">
        <w:rPr>
          <w:rFonts w:ascii="Bookman Old Style" w:hAnsi="Bookman Old Style"/>
          <w:color w:val="000000"/>
          <w:sz w:val="24"/>
          <w:szCs w:val="24"/>
        </w:rPr>
        <w:t xml:space="preserve"> y el </w:t>
      </w:r>
      <w:r w:rsidR="00C220FE" w:rsidRPr="00C220FE">
        <w:rPr>
          <w:rFonts w:ascii="Bookman Old Style" w:hAnsi="Bookman Old Style"/>
          <w:i/>
          <w:iCs/>
          <w:color w:val="000000"/>
          <w:sz w:val="24"/>
          <w:szCs w:val="24"/>
        </w:rPr>
        <w:t>join</w:t>
      </w:r>
      <w:r w:rsidR="004B10EA">
        <w:rPr>
          <w:rFonts w:ascii="Bookman Old Style" w:hAnsi="Bookman Old Style"/>
          <w:i/>
          <w:iCs/>
          <w:color w:val="000000"/>
          <w:sz w:val="24"/>
          <w:szCs w:val="24"/>
        </w:rPr>
        <w:t>t</w:t>
      </w:r>
      <w:r w:rsidR="00C220FE" w:rsidRPr="00C220FE">
        <w:rPr>
          <w:rFonts w:ascii="Bookman Old Style" w:hAnsi="Bookman Old Style"/>
          <w:i/>
          <w:iCs/>
          <w:color w:val="000000"/>
          <w:sz w:val="24"/>
          <w:szCs w:val="24"/>
        </w:rPr>
        <w:t xml:space="preserve"> venture</w:t>
      </w:r>
      <w:r w:rsidR="00C220FE">
        <w:rPr>
          <w:rFonts w:ascii="Bookman Old Style" w:hAnsi="Bookman Old Style"/>
          <w:color w:val="000000"/>
          <w:sz w:val="24"/>
          <w:szCs w:val="24"/>
        </w:rPr>
        <w:t xml:space="preserve"> </w:t>
      </w:r>
      <w:r w:rsidR="00C220FE" w:rsidRPr="00C220FE">
        <w:rPr>
          <w:rFonts w:ascii="Bookman Old Style" w:hAnsi="Bookman Old Style"/>
          <w:color w:val="000000"/>
          <w:sz w:val="24"/>
          <w:szCs w:val="24"/>
        </w:rPr>
        <w:t>S</w:t>
      </w:r>
      <w:r w:rsidR="00C220FE">
        <w:rPr>
          <w:rFonts w:ascii="Bookman Old Style" w:hAnsi="Bookman Old Style"/>
          <w:color w:val="000000"/>
          <w:sz w:val="24"/>
          <w:szCs w:val="24"/>
        </w:rPr>
        <w:t>IMCO</w:t>
      </w:r>
      <w:r w:rsidR="00720AFD">
        <w:rPr>
          <w:rFonts w:ascii="Bookman Old Style" w:hAnsi="Bookman Old Style"/>
          <w:color w:val="000000"/>
          <w:sz w:val="24"/>
          <w:szCs w:val="24"/>
        </w:rPr>
        <w:t>,</w:t>
      </w:r>
      <w:r w:rsidR="00C220FE">
        <w:rPr>
          <w:rFonts w:ascii="Bookman Old Style" w:hAnsi="Bookman Old Style"/>
          <w:color w:val="000000"/>
          <w:sz w:val="24"/>
          <w:szCs w:val="24"/>
        </w:rPr>
        <w:t xml:space="preserve"> de propiedad de la Familia Err</w:t>
      </w:r>
      <w:r w:rsidR="00720AFD">
        <w:rPr>
          <w:rFonts w:ascii="Bookman Old Style" w:hAnsi="Bookman Old Style"/>
          <w:color w:val="000000"/>
          <w:sz w:val="24"/>
          <w:szCs w:val="24"/>
        </w:rPr>
        <w:t>á</w:t>
      </w:r>
      <w:r w:rsidR="00C220FE">
        <w:rPr>
          <w:rFonts w:ascii="Bookman Old Style" w:hAnsi="Bookman Old Style"/>
          <w:color w:val="000000"/>
          <w:sz w:val="24"/>
          <w:szCs w:val="24"/>
        </w:rPr>
        <w:t>zuriz Talavera y fondos de Singapur</w:t>
      </w:r>
      <w:r w:rsidR="00AE5EDD">
        <w:rPr>
          <w:rFonts w:ascii="Bookman Old Style" w:hAnsi="Bookman Old Style"/>
          <w:color w:val="000000"/>
          <w:sz w:val="24"/>
          <w:szCs w:val="24"/>
        </w:rPr>
        <w:t>.</w:t>
      </w:r>
      <w:r w:rsidR="00C220FE">
        <w:rPr>
          <w:rFonts w:ascii="Bookman Old Style" w:hAnsi="Bookman Old Style"/>
          <w:color w:val="000000"/>
          <w:sz w:val="24"/>
          <w:szCs w:val="24"/>
        </w:rPr>
        <w:t xml:space="preserve"> </w:t>
      </w:r>
    </w:p>
    <w:p w14:paraId="7DB5B9E3" w14:textId="77777777" w:rsidR="007F4080" w:rsidRDefault="007F4080" w:rsidP="00A80FD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4322ED99" w14:textId="00C27BA7" w:rsidR="00E660A8" w:rsidRDefault="00A80FD9" w:rsidP="00AE5ED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r>
      <w:r w:rsidR="007F4080">
        <w:rPr>
          <w:rFonts w:ascii="Bookman Old Style" w:hAnsi="Bookman Old Style"/>
          <w:color w:val="000000"/>
          <w:sz w:val="24"/>
          <w:szCs w:val="24"/>
        </w:rPr>
        <w:t xml:space="preserve">Las primeras pertenencias </w:t>
      </w:r>
      <w:r>
        <w:rPr>
          <w:rFonts w:ascii="Bookman Old Style" w:hAnsi="Bookman Old Style"/>
          <w:color w:val="000000"/>
          <w:sz w:val="24"/>
          <w:szCs w:val="24"/>
        </w:rPr>
        <w:t>mineras son</w:t>
      </w:r>
      <w:r w:rsidR="00E2113D">
        <w:rPr>
          <w:rFonts w:ascii="Bookman Old Style" w:hAnsi="Bookman Old Style"/>
          <w:color w:val="000000"/>
          <w:sz w:val="24"/>
          <w:szCs w:val="24"/>
        </w:rPr>
        <w:t xml:space="preserve"> al día de hoy</w:t>
      </w:r>
      <w:r>
        <w:rPr>
          <w:rFonts w:ascii="Bookman Old Style" w:hAnsi="Bookman Old Style"/>
          <w:color w:val="000000"/>
          <w:sz w:val="24"/>
          <w:szCs w:val="24"/>
        </w:rPr>
        <w:t xml:space="preserve"> objeto de arrendamiento</w:t>
      </w:r>
      <w:r w:rsidR="00E2113D">
        <w:rPr>
          <w:rFonts w:ascii="Bookman Old Style" w:hAnsi="Bookman Old Style"/>
          <w:color w:val="000000"/>
          <w:sz w:val="24"/>
          <w:szCs w:val="24"/>
        </w:rPr>
        <w:t xml:space="preserve"> del usufructo de la concesión y</w:t>
      </w:r>
      <w:r>
        <w:rPr>
          <w:rFonts w:ascii="Bookman Old Style" w:hAnsi="Bookman Old Style"/>
          <w:color w:val="000000"/>
          <w:sz w:val="24"/>
          <w:szCs w:val="24"/>
        </w:rPr>
        <w:t xml:space="preserve"> explotación</w:t>
      </w:r>
      <w:r w:rsidR="00E2113D">
        <w:rPr>
          <w:rFonts w:ascii="Bookman Old Style" w:hAnsi="Bookman Old Style"/>
          <w:color w:val="000000"/>
          <w:sz w:val="24"/>
          <w:szCs w:val="24"/>
        </w:rPr>
        <w:t xml:space="preserve"> de la concesión</w:t>
      </w:r>
      <w:r w:rsidR="00E660A8">
        <w:rPr>
          <w:rFonts w:ascii="Bookman Old Style" w:hAnsi="Bookman Old Style"/>
          <w:color w:val="000000"/>
          <w:sz w:val="24"/>
          <w:szCs w:val="24"/>
        </w:rPr>
        <w:t xml:space="preserve"> </w:t>
      </w:r>
      <w:r w:rsidR="00E2113D">
        <w:rPr>
          <w:rFonts w:ascii="Bookman Old Style" w:hAnsi="Bookman Old Style"/>
          <w:color w:val="000000"/>
          <w:sz w:val="24"/>
          <w:szCs w:val="24"/>
        </w:rPr>
        <w:t>por parte de CORFO a SOQUIMICH</w:t>
      </w:r>
      <w:r w:rsidR="00E660A8">
        <w:rPr>
          <w:rFonts w:ascii="Bookman Old Style" w:hAnsi="Bookman Old Style"/>
          <w:color w:val="000000"/>
          <w:sz w:val="24"/>
          <w:szCs w:val="24"/>
        </w:rPr>
        <w:t xml:space="preserve"> (SQM) y </w:t>
      </w:r>
      <w:r w:rsidR="00CA2360">
        <w:rPr>
          <w:rFonts w:ascii="Bookman Old Style" w:hAnsi="Bookman Old Style"/>
          <w:color w:val="000000"/>
          <w:sz w:val="24"/>
          <w:szCs w:val="24"/>
        </w:rPr>
        <w:t>ALBEMARLE respectivamente</w:t>
      </w:r>
      <w:r w:rsidR="00E2113D">
        <w:rPr>
          <w:rFonts w:ascii="Bookman Old Style" w:hAnsi="Bookman Old Style"/>
          <w:color w:val="000000"/>
          <w:sz w:val="24"/>
          <w:szCs w:val="24"/>
        </w:rPr>
        <w:t>.</w:t>
      </w:r>
      <w:r w:rsidR="00E2113D">
        <w:rPr>
          <w:rStyle w:val="Refdenotaalpie"/>
          <w:rFonts w:ascii="Bookman Old Style" w:hAnsi="Bookman Old Style"/>
          <w:color w:val="000000"/>
          <w:sz w:val="24"/>
          <w:szCs w:val="24"/>
        </w:rPr>
        <w:footnoteReference w:id="3"/>
      </w:r>
      <w:r w:rsidR="00E2113D">
        <w:rPr>
          <w:rStyle w:val="Refdenotaalpie"/>
          <w:rFonts w:ascii="Bookman Old Style" w:hAnsi="Bookman Old Style"/>
          <w:color w:val="000000"/>
          <w:sz w:val="24"/>
          <w:szCs w:val="24"/>
        </w:rPr>
        <w:footnoteReference w:id="4"/>
      </w:r>
      <w:r w:rsidR="00AE5EDD">
        <w:rPr>
          <w:rFonts w:ascii="Bookman Old Style" w:hAnsi="Bookman Old Style"/>
          <w:color w:val="000000"/>
          <w:sz w:val="24"/>
          <w:szCs w:val="24"/>
        </w:rPr>
        <w:t xml:space="preserve"> Las segundas se encuentran en etapas </w:t>
      </w:r>
      <w:r w:rsidR="004B10EA">
        <w:rPr>
          <w:rFonts w:ascii="Bookman Old Style" w:hAnsi="Bookman Old Style"/>
          <w:color w:val="000000"/>
          <w:sz w:val="24"/>
          <w:szCs w:val="24"/>
        </w:rPr>
        <w:t>de evaluación</w:t>
      </w:r>
      <w:r w:rsidR="00720AFD">
        <w:rPr>
          <w:rFonts w:ascii="Bookman Old Style" w:hAnsi="Bookman Old Style"/>
          <w:color w:val="000000"/>
          <w:sz w:val="24"/>
          <w:szCs w:val="24"/>
        </w:rPr>
        <w:t>, y construcción de faenas respectivamente.</w:t>
      </w:r>
      <w:r w:rsidR="00AE5EDD">
        <w:rPr>
          <w:rStyle w:val="Refdenotaalpie"/>
          <w:rFonts w:ascii="Bookman Old Style" w:hAnsi="Bookman Old Style"/>
          <w:color w:val="000000"/>
          <w:sz w:val="24"/>
          <w:szCs w:val="24"/>
        </w:rPr>
        <w:footnoteReference w:id="5"/>
      </w:r>
      <w:r w:rsidR="00AE5EDD">
        <w:rPr>
          <w:rFonts w:ascii="Bookman Old Style" w:hAnsi="Bookman Old Style"/>
          <w:color w:val="000000"/>
          <w:sz w:val="24"/>
          <w:szCs w:val="24"/>
        </w:rPr>
        <w:t xml:space="preserve"> </w:t>
      </w:r>
      <w:r w:rsidR="00E660A8">
        <w:rPr>
          <w:rFonts w:ascii="Bookman Old Style" w:hAnsi="Bookman Old Style"/>
          <w:color w:val="000000"/>
          <w:sz w:val="24"/>
          <w:szCs w:val="24"/>
        </w:rPr>
        <w:tab/>
      </w:r>
    </w:p>
    <w:p w14:paraId="605518E6" w14:textId="77777777" w:rsidR="005772A1" w:rsidRDefault="005772A1"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b/>
          <w:bCs/>
          <w:color w:val="000000"/>
          <w:sz w:val="24"/>
          <w:szCs w:val="24"/>
        </w:rPr>
      </w:pPr>
    </w:p>
    <w:p w14:paraId="4A1BBF39" w14:textId="77777777" w:rsidR="00D96B04" w:rsidRPr="005772A1" w:rsidRDefault="00D96B04"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b/>
          <w:bCs/>
          <w:color w:val="000000"/>
          <w:sz w:val="24"/>
          <w:szCs w:val="24"/>
        </w:rPr>
      </w:pPr>
    </w:p>
    <w:p w14:paraId="1C7CE4E7" w14:textId="77777777" w:rsidR="005772A1" w:rsidRDefault="005772A1" w:rsidP="005772A1">
      <w:pPr>
        <w:pStyle w:val="Prrafodelista"/>
        <w:numPr>
          <w:ilvl w:val="0"/>
          <w:numId w:val="5"/>
        </w:numPr>
        <w:rPr>
          <w:rFonts w:ascii="Bookman Old Style" w:hAnsi="Bookman Old Style"/>
          <w:b/>
          <w:bCs/>
          <w:color w:val="000000"/>
          <w:sz w:val="24"/>
          <w:szCs w:val="24"/>
        </w:rPr>
      </w:pPr>
      <w:r w:rsidRPr="005772A1">
        <w:rPr>
          <w:rFonts w:ascii="Bookman Old Style" w:hAnsi="Bookman Old Style"/>
          <w:b/>
          <w:bCs/>
          <w:color w:val="000000"/>
          <w:sz w:val="24"/>
          <w:szCs w:val="24"/>
        </w:rPr>
        <w:t>El litio como material clave para la transición energética y la electro movilidad. Boom económico mundial.</w:t>
      </w:r>
    </w:p>
    <w:p w14:paraId="41ECA66E" w14:textId="77777777" w:rsidR="005772A1" w:rsidRDefault="005772A1" w:rsidP="005772A1">
      <w:pPr>
        <w:rPr>
          <w:rFonts w:ascii="Bookman Old Style" w:hAnsi="Bookman Old Style"/>
          <w:b/>
          <w:bCs/>
          <w:color w:val="000000"/>
          <w:sz w:val="24"/>
          <w:szCs w:val="24"/>
        </w:rPr>
      </w:pPr>
    </w:p>
    <w:p w14:paraId="35324F36" w14:textId="3071C745" w:rsidR="005772A1" w:rsidRDefault="0074744A" w:rsidP="005772A1">
      <w:pPr>
        <w:pStyle w:val="Prrafodelista"/>
        <w:numPr>
          <w:ilvl w:val="0"/>
          <w:numId w:val="6"/>
        </w:numPr>
        <w:rPr>
          <w:rFonts w:ascii="Bookman Old Style" w:hAnsi="Bookman Old Style"/>
          <w:color w:val="000000"/>
          <w:sz w:val="24"/>
          <w:szCs w:val="24"/>
        </w:rPr>
      </w:pPr>
      <w:r>
        <w:rPr>
          <w:rFonts w:ascii="Bookman Old Style" w:hAnsi="Bookman Old Style"/>
          <w:color w:val="000000"/>
          <w:sz w:val="24"/>
          <w:szCs w:val="24"/>
        </w:rPr>
        <w:t>El litio</w:t>
      </w:r>
      <w:r w:rsidR="00A80FD9">
        <w:rPr>
          <w:rFonts w:ascii="Bookman Old Style" w:hAnsi="Bookman Old Style"/>
          <w:color w:val="000000"/>
          <w:sz w:val="24"/>
          <w:szCs w:val="24"/>
        </w:rPr>
        <w:t>.</w:t>
      </w:r>
      <w:r>
        <w:rPr>
          <w:rFonts w:ascii="Bookman Old Style" w:hAnsi="Bookman Old Style"/>
          <w:color w:val="000000"/>
          <w:sz w:val="24"/>
          <w:szCs w:val="24"/>
        </w:rPr>
        <w:t xml:space="preserve"> </w:t>
      </w:r>
      <w:r w:rsidR="005772A1" w:rsidRPr="005772A1">
        <w:rPr>
          <w:rFonts w:ascii="Bookman Old Style" w:hAnsi="Bookman Old Style"/>
          <w:color w:val="000000"/>
          <w:sz w:val="24"/>
          <w:szCs w:val="24"/>
        </w:rPr>
        <w:t xml:space="preserve">Historia de un </w:t>
      </w:r>
      <w:r w:rsidR="005772A1">
        <w:rPr>
          <w:rFonts w:ascii="Bookman Old Style" w:hAnsi="Bookman Old Style"/>
          <w:color w:val="000000"/>
          <w:sz w:val="24"/>
          <w:szCs w:val="24"/>
        </w:rPr>
        <w:t>“</w:t>
      </w:r>
      <w:r w:rsidR="005772A1" w:rsidRPr="005772A1">
        <w:rPr>
          <w:rFonts w:ascii="Bookman Old Style" w:hAnsi="Bookman Old Style"/>
          <w:color w:val="000000"/>
          <w:sz w:val="24"/>
          <w:szCs w:val="24"/>
        </w:rPr>
        <w:t>boom</w:t>
      </w:r>
      <w:r w:rsidR="005772A1">
        <w:rPr>
          <w:rFonts w:ascii="Bookman Old Style" w:hAnsi="Bookman Old Style"/>
          <w:color w:val="000000"/>
          <w:sz w:val="24"/>
          <w:szCs w:val="24"/>
        </w:rPr>
        <w:t>”</w:t>
      </w:r>
    </w:p>
    <w:p w14:paraId="27CF0C00" w14:textId="77777777" w:rsidR="005772A1" w:rsidRDefault="005772A1" w:rsidP="005772A1">
      <w:pPr>
        <w:rPr>
          <w:rFonts w:ascii="Bookman Old Style" w:hAnsi="Bookman Old Style"/>
          <w:color w:val="000000"/>
          <w:sz w:val="24"/>
          <w:szCs w:val="24"/>
        </w:rPr>
      </w:pPr>
    </w:p>
    <w:p w14:paraId="5547C2C9" w14:textId="494BDB02" w:rsidR="005772A1" w:rsidRDefault="005772A1" w:rsidP="0074744A">
      <w:pPr>
        <w:spacing w:line="360" w:lineRule="auto"/>
        <w:ind w:firstLine="720"/>
        <w:jc w:val="both"/>
        <w:rPr>
          <w:rFonts w:ascii="Bookman Old Style" w:hAnsi="Bookman Old Style"/>
          <w:color w:val="000000"/>
          <w:sz w:val="24"/>
          <w:szCs w:val="24"/>
        </w:rPr>
      </w:pPr>
      <w:r>
        <w:rPr>
          <w:rFonts w:ascii="Bookman Old Style" w:hAnsi="Bookman Old Style"/>
          <w:color w:val="000000"/>
          <w:sz w:val="24"/>
          <w:szCs w:val="24"/>
        </w:rPr>
        <w:t xml:space="preserve">En jerga económica vulgar, “boom” significa un alza explosiva del valor </w:t>
      </w:r>
      <w:r w:rsidR="004229BA">
        <w:rPr>
          <w:rFonts w:ascii="Bookman Old Style" w:hAnsi="Bookman Old Style"/>
          <w:color w:val="000000"/>
          <w:sz w:val="24"/>
          <w:szCs w:val="24"/>
        </w:rPr>
        <w:t xml:space="preserve">o de la demanda </w:t>
      </w:r>
      <w:r>
        <w:rPr>
          <w:rFonts w:ascii="Bookman Old Style" w:hAnsi="Bookman Old Style"/>
          <w:color w:val="000000"/>
          <w:sz w:val="24"/>
          <w:szCs w:val="24"/>
        </w:rPr>
        <w:t>de un activo</w:t>
      </w:r>
      <w:r w:rsidR="0074744A">
        <w:rPr>
          <w:rFonts w:ascii="Bookman Old Style" w:hAnsi="Bookman Old Style"/>
          <w:color w:val="000000"/>
          <w:sz w:val="24"/>
          <w:szCs w:val="24"/>
        </w:rPr>
        <w:t xml:space="preserve"> económico, sea este un derecho, un bien mueble o inmueble o la suma de </w:t>
      </w:r>
      <w:r w:rsidR="004229BA">
        <w:rPr>
          <w:rFonts w:ascii="Bookman Old Style" w:hAnsi="Bookman Old Style"/>
          <w:color w:val="000000"/>
          <w:sz w:val="24"/>
          <w:szCs w:val="24"/>
        </w:rPr>
        <w:t>un conjunto de</w:t>
      </w:r>
      <w:r w:rsidR="0074744A">
        <w:rPr>
          <w:rFonts w:ascii="Bookman Old Style" w:hAnsi="Bookman Old Style"/>
          <w:color w:val="000000"/>
          <w:sz w:val="24"/>
          <w:szCs w:val="24"/>
        </w:rPr>
        <w:t xml:space="preserve"> bienes económicos.</w:t>
      </w:r>
    </w:p>
    <w:p w14:paraId="78B71708" w14:textId="51C5D986" w:rsidR="0074744A" w:rsidRDefault="0074744A" w:rsidP="0074744A">
      <w:pPr>
        <w:spacing w:line="360" w:lineRule="auto"/>
        <w:rPr>
          <w:rFonts w:ascii="Bookman Old Style" w:hAnsi="Bookman Old Style"/>
          <w:color w:val="000000"/>
          <w:sz w:val="24"/>
          <w:szCs w:val="24"/>
        </w:rPr>
      </w:pPr>
      <w:r>
        <w:rPr>
          <w:rFonts w:ascii="Bookman Old Style" w:hAnsi="Bookman Old Style"/>
          <w:color w:val="000000"/>
          <w:sz w:val="24"/>
          <w:szCs w:val="24"/>
        </w:rPr>
        <w:tab/>
      </w:r>
    </w:p>
    <w:p w14:paraId="094A70B6" w14:textId="13EC0B73" w:rsidR="0074744A" w:rsidRDefault="00AE5EDD" w:rsidP="005764E5">
      <w:pPr>
        <w:spacing w:line="360" w:lineRule="auto"/>
        <w:jc w:val="both"/>
        <w:rPr>
          <w:rFonts w:ascii="Bookman Old Style" w:hAnsi="Bookman Old Style"/>
          <w:color w:val="000000"/>
          <w:sz w:val="24"/>
          <w:szCs w:val="24"/>
        </w:rPr>
      </w:pPr>
      <w:r>
        <w:rPr>
          <w:noProof/>
        </w:rPr>
        <w:drawing>
          <wp:anchor distT="0" distB="0" distL="114300" distR="114300" simplePos="0" relativeHeight="251665408" behindDoc="0" locked="0" layoutInCell="1" allowOverlap="1" wp14:anchorId="729C7A47" wp14:editId="07F482AA">
            <wp:simplePos x="0" y="0"/>
            <wp:positionH relativeFrom="margin">
              <wp:posOffset>0</wp:posOffset>
            </wp:positionH>
            <wp:positionV relativeFrom="paragraph">
              <wp:posOffset>784860</wp:posOffset>
            </wp:positionV>
            <wp:extent cx="5227955" cy="2800985"/>
            <wp:effectExtent l="0" t="0" r="0" b="0"/>
            <wp:wrapSquare wrapText="bothSides"/>
            <wp:docPr id="15711330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33033" name=""/>
                    <pic:cNvPicPr/>
                  </pic:nvPicPr>
                  <pic:blipFill>
                    <a:blip r:embed="rId8"/>
                    <a:stretch>
                      <a:fillRect/>
                    </a:stretch>
                  </pic:blipFill>
                  <pic:spPr>
                    <a:xfrm>
                      <a:off x="0" y="0"/>
                      <a:ext cx="5227955" cy="2800985"/>
                    </a:xfrm>
                    <a:prstGeom prst="rect">
                      <a:avLst/>
                    </a:prstGeom>
                  </pic:spPr>
                </pic:pic>
              </a:graphicData>
            </a:graphic>
            <wp14:sizeRelH relativeFrom="margin">
              <wp14:pctWidth>0</wp14:pctWidth>
            </wp14:sizeRelH>
            <wp14:sizeRelV relativeFrom="margin">
              <wp14:pctHeight>0</wp14:pctHeight>
            </wp14:sizeRelV>
          </wp:anchor>
        </w:drawing>
      </w:r>
      <w:r w:rsidR="0074744A">
        <w:rPr>
          <w:rFonts w:ascii="Bookman Old Style" w:hAnsi="Bookman Old Style"/>
          <w:color w:val="000000"/>
          <w:sz w:val="24"/>
          <w:szCs w:val="24"/>
        </w:rPr>
        <w:tab/>
        <w:t>En este sentido, para hablar de la historia del boom del litio</w:t>
      </w:r>
      <w:r w:rsidR="005764E5">
        <w:rPr>
          <w:rFonts w:ascii="Bookman Old Style" w:hAnsi="Bookman Old Style"/>
          <w:color w:val="000000"/>
          <w:sz w:val="24"/>
          <w:szCs w:val="24"/>
        </w:rPr>
        <w:t xml:space="preserve"> en Chile y en el mundo</w:t>
      </w:r>
      <w:r w:rsidR="0074744A">
        <w:rPr>
          <w:rFonts w:ascii="Bookman Old Style" w:hAnsi="Bookman Old Style"/>
          <w:color w:val="000000"/>
          <w:sz w:val="24"/>
          <w:szCs w:val="24"/>
        </w:rPr>
        <w:t>, debemos empezar hablando del año 201</w:t>
      </w:r>
      <w:r w:rsidR="005764E5">
        <w:rPr>
          <w:rFonts w:ascii="Bookman Old Style" w:hAnsi="Bookman Old Style"/>
          <w:color w:val="000000"/>
          <w:sz w:val="24"/>
          <w:szCs w:val="24"/>
        </w:rPr>
        <w:t>6,</w:t>
      </w:r>
      <w:r w:rsidR="0074744A">
        <w:rPr>
          <w:rFonts w:ascii="Bookman Old Style" w:hAnsi="Bookman Old Style"/>
          <w:color w:val="000000"/>
          <w:sz w:val="24"/>
          <w:szCs w:val="24"/>
        </w:rPr>
        <w:t xml:space="preserve"> con un fuerte quiebre el año 2022</w:t>
      </w:r>
      <w:r w:rsidR="005764E5">
        <w:rPr>
          <w:rFonts w:ascii="Bookman Old Style" w:hAnsi="Bookman Old Style"/>
          <w:color w:val="000000"/>
          <w:sz w:val="24"/>
          <w:szCs w:val="24"/>
        </w:rPr>
        <w:t>, lo que se puede apreciar los siguientes cuadros</w:t>
      </w:r>
      <w:r w:rsidR="00D96B04">
        <w:rPr>
          <w:rStyle w:val="Refdenotaalpie"/>
          <w:rFonts w:ascii="Bookman Old Style" w:hAnsi="Bookman Old Style"/>
          <w:color w:val="000000"/>
          <w:sz w:val="24"/>
          <w:szCs w:val="24"/>
        </w:rPr>
        <w:footnoteReference w:id="6"/>
      </w:r>
      <w:r w:rsidR="0074744A">
        <w:rPr>
          <w:rFonts w:ascii="Bookman Old Style" w:hAnsi="Bookman Old Style"/>
          <w:color w:val="000000"/>
          <w:sz w:val="24"/>
          <w:szCs w:val="24"/>
        </w:rPr>
        <w:t>:</w:t>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r w:rsidR="005764E5">
        <w:rPr>
          <w:rFonts w:ascii="Bookman Old Style" w:hAnsi="Bookman Old Style"/>
          <w:color w:val="000000"/>
          <w:sz w:val="24"/>
          <w:szCs w:val="24"/>
        </w:rPr>
        <w:tab/>
      </w:r>
    </w:p>
    <w:p w14:paraId="02DBCA31" w14:textId="7B16A74D" w:rsidR="0074744A" w:rsidRDefault="0074744A" w:rsidP="0074744A">
      <w:pPr>
        <w:spacing w:line="360" w:lineRule="auto"/>
        <w:rPr>
          <w:rFonts w:ascii="Bookman Old Style" w:hAnsi="Bookman Old Style"/>
          <w:color w:val="000000"/>
          <w:sz w:val="24"/>
          <w:szCs w:val="24"/>
        </w:rPr>
      </w:pPr>
    </w:p>
    <w:p w14:paraId="40FABF17" w14:textId="03C5A227" w:rsidR="005764E5" w:rsidRDefault="005764E5" w:rsidP="005772A1">
      <w:pPr>
        <w:ind w:left="720"/>
        <w:rPr>
          <w:noProof/>
        </w:rPr>
      </w:pPr>
    </w:p>
    <w:p w14:paraId="707274BD" w14:textId="675386F5" w:rsidR="005764E5" w:rsidRDefault="005764E5" w:rsidP="005772A1">
      <w:pPr>
        <w:ind w:left="720"/>
        <w:rPr>
          <w:rFonts w:ascii="Bookman Old Style" w:hAnsi="Bookman Old Style"/>
          <w:color w:val="000000"/>
          <w:sz w:val="24"/>
          <w:szCs w:val="24"/>
        </w:rPr>
      </w:pPr>
    </w:p>
    <w:p w14:paraId="6EE3E4CA" w14:textId="5FDBDA03" w:rsidR="005764E5" w:rsidRDefault="005764E5" w:rsidP="005772A1">
      <w:pPr>
        <w:ind w:left="720"/>
        <w:rPr>
          <w:rFonts w:ascii="Bookman Old Style" w:hAnsi="Bookman Old Style"/>
          <w:color w:val="000000"/>
          <w:sz w:val="24"/>
          <w:szCs w:val="24"/>
        </w:rPr>
      </w:pPr>
    </w:p>
    <w:p w14:paraId="52CE5C11" w14:textId="1047A119" w:rsidR="005764E5" w:rsidRDefault="00984F6A" w:rsidP="005772A1">
      <w:pPr>
        <w:ind w:left="720"/>
        <w:rPr>
          <w:rFonts w:ascii="Bookman Old Style" w:hAnsi="Bookman Old Style"/>
          <w:color w:val="000000"/>
          <w:sz w:val="24"/>
          <w:szCs w:val="24"/>
        </w:rPr>
      </w:pPr>
      <w:r>
        <w:rPr>
          <w:noProof/>
        </w:rPr>
        <w:drawing>
          <wp:anchor distT="0" distB="0" distL="114300" distR="114300" simplePos="0" relativeHeight="251673600" behindDoc="0" locked="0" layoutInCell="1" allowOverlap="1" wp14:anchorId="2F7B4D73" wp14:editId="4E3FFD24">
            <wp:simplePos x="0" y="0"/>
            <wp:positionH relativeFrom="margin">
              <wp:posOffset>-469900</wp:posOffset>
            </wp:positionH>
            <wp:positionV relativeFrom="paragraph">
              <wp:posOffset>102235</wp:posOffset>
            </wp:positionV>
            <wp:extent cx="3060700" cy="1832610"/>
            <wp:effectExtent l="0" t="0" r="6350" b="0"/>
            <wp:wrapSquare wrapText="bothSides"/>
            <wp:docPr id="619418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18356" name=""/>
                    <pic:cNvPicPr/>
                  </pic:nvPicPr>
                  <pic:blipFill>
                    <a:blip r:embed="rId9"/>
                    <a:stretch>
                      <a:fillRect/>
                    </a:stretch>
                  </pic:blipFill>
                  <pic:spPr>
                    <a:xfrm>
                      <a:off x="0" y="0"/>
                      <a:ext cx="3060700" cy="1832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68D9BD34" wp14:editId="0DEA7807">
            <wp:simplePos x="0" y="0"/>
            <wp:positionH relativeFrom="page">
              <wp:posOffset>4229735</wp:posOffset>
            </wp:positionH>
            <wp:positionV relativeFrom="paragraph">
              <wp:posOffset>57150</wp:posOffset>
            </wp:positionV>
            <wp:extent cx="2757805" cy="2059305"/>
            <wp:effectExtent l="0" t="0" r="4445" b="0"/>
            <wp:wrapSquare wrapText="bothSides"/>
            <wp:docPr id="342611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1946" name=""/>
                    <pic:cNvPicPr/>
                  </pic:nvPicPr>
                  <pic:blipFill>
                    <a:blip r:embed="rId10"/>
                    <a:stretch>
                      <a:fillRect/>
                    </a:stretch>
                  </pic:blipFill>
                  <pic:spPr>
                    <a:xfrm>
                      <a:off x="0" y="0"/>
                      <a:ext cx="2757805" cy="2059305"/>
                    </a:xfrm>
                    <a:prstGeom prst="rect">
                      <a:avLst/>
                    </a:prstGeom>
                  </pic:spPr>
                </pic:pic>
              </a:graphicData>
            </a:graphic>
            <wp14:sizeRelH relativeFrom="margin">
              <wp14:pctWidth>0</wp14:pctWidth>
            </wp14:sizeRelH>
            <wp14:sizeRelV relativeFrom="margin">
              <wp14:pctHeight>0</wp14:pctHeight>
            </wp14:sizeRelV>
          </wp:anchor>
        </w:drawing>
      </w:r>
    </w:p>
    <w:p w14:paraId="3A00DD88" w14:textId="1BF27F5C" w:rsidR="005764E5" w:rsidRDefault="005764E5" w:rsidP="005772A1">
      <w:pPr>
        <w:ind w:left="720"/>
        <w:rPr>
          <w:rFonts w:ascii="Bookman Old Style" w:hAnsi="Bookman Old Style"/>
          <w:color w:val="000000"/>
          <w:sz w:val="24"/>
          <w:szCs w:val="24"/>
        </w:rPr>
      </w:pPr>
    </w:p>
    <w:p w14:paraId="7596187F" w14:textId="35FC6843" w:rsidR="005764E5" w:rsidRDefault="005764E5" w:rsidP="005772A1">
      <w:pPr>
        <w:ind w:left="720"/>
        <w:rPr>
          <w:rFonts w:ascii="Bookman Old Style" w:hAnsi="Bookman Old Style"/>
          <w:color w:val="000000"/>
          <w:sz w:val="24"/>
          <w:szCs w:val="24"/>
        </w:rPr>
      </w:pPr>
    </w:p>
    <w:p w14:paraId="6194F151" w14:textId="33FF1435" w:rsidR="005772A1" w:rsidRPr="005772A1" w:rsidRDefault="005772A1" w:rsidP="005772A1">
      <w:pPr>
        <w:ind w:left="720"/>
        <w:rPr>
          <w:rFonts w:ascii="Bookman Old Style" w:hAnsi="Bookman Old Style"/>
          <w:color w:val="000000"/>
          <w:sz w:val="24"/>
          <w:szCs w:val="24"/>
        </w:rPr>
      </w:pPr>
    </w:p>
    <w:p w14:paraId="41263FA3" w14:textId="5813918C" w:rsidR="00D96B04" w:rsidRDefault="00984F6A" w:rsidP="00A80FD9">
      <w:pPr>
        <w:spacing w:line="360" w:lineRule="auto"/>
        <w:ind w:firstLine="720"/>
        <w:rPr>
          <w:rFonts w:ascii="Bookman Old Style" w:hAnsi="Bookman Old Style"/>
          <w:color w:val="000000"/>
          <w:sz w:val="24"/>
          <w:szCs w:val="24"/>
        </w:rPr>
      </w:pPr>
      <w:r>
        <w:rPr>
          <w:noProof/>
        </w:rPr>
        <w:drawing>
          <wp:anchor distT="0" distB="0" distL="114300" distR="114300" simplePos="0" relativeHeight="251663360" behindDoc="0" locked="0" layoutInCell="1" allowOverlap="1" wp14:anchorId="5A29B7C8" wp14:editId="5F0C3B59">
            <wp:simplePos x="0" y="0"/>
            <wp:positionH relativeFrom="margin">
              <wp:posOffset>158750</wp:posOffset>
            </wp:positionH>
            <wp:positionV relativeFrom="paragraph">
              <wp:posOffset>1612900</wp:posOffset>
            </wp:positionV>
            <wp:extent cx="5759450" cy="1950085"/>
            <wp:effectExtent l="0" t="0" r="0" b="0"/>
            <wp:wrapSquare wrapText="bothSides"/>
            <wp:docPr id="12035456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45620" name=""/>
                    <pic:cNvPicPr/>
                  </pic:nvPicPr>
                  <pic:blipFill rotWithShape="1">
                    <a:blip r:embed="rId11"/>
                    <a:srcRect t="10882"/>
                    <a:stretch/>
                  </pic:blipFill>
                  <pic:spPr bwMode="auto">
                    <a:xfrm>
                      <a:off x="0" y="0"/>
                      <a:ext cx="5759450" cy="19500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FF0028" w14:textId="7307FC07" w:rsidR="00D96B04" w:rsidRDefault="00D96B04" w:rsidP="00A80FD9">
      <w:pPr>
        <w:spacing w:line="360" w:lineRule="auto"/>
        <w:ind w:firstLine="720"/>
        <w:rPr>
          <w:rFonts w:ascii="Bookman Old Style" w:hAnsi="Bookman Old Style"/>
          <w:color w:val="000000"/>
          <w:sz w:val="24"/>
          <w:szCs w:val="24"/>
        </w:rPr>
      </w:pPr>
    </w:p>
    <w:p w14:paraId="3ACFFF76" w14:textId="70136EF0" w:rsidR="00D96B04" w:rsidRDefault="00D96B04" w:rsidP="00A80FD9">
      <w:pPr>
        <w:spacing w:line="360" w:lineRule="auto"/>
        <w:ind w:firstLine="720"/>
        <w:rPr>
          <w:rFonts w:ascii="Bookman Old Style" w:hAnsi="Bookman Old Style"/>
          <w:color w:val="000000"/>
          <w:sz w:val="24"/>
          <w:szCs w:val="24"/>
        </w:rPr>
      </w:pPr>
    </w:p>
    <w:p w14:paraId="2668CC5B" w14:textId="5BA15A57" w:rsidR="00AE5EDD" w:rsidRDefault="00AE5EDD" w:rsidP="00A80FD9">
      <w:pPr>
        <w:spacing w:line="360" w:lineRule="auto"/>
        <w:ind w:firstLine="720"/>
        <w:rPr>
          <w:rFonts w:ascii="Bookman Old Style" w:hAnsi="Bookman Old Style"/>
          <w:color w:val="000000"/>
          <w:sz w:val="24"/>
          <w:szCs w:val="24"/>
        </w:rPr>
      </w:pPr>
    </w:p>
    <w:p w14:paraId="3BA6B01C" w14:textId="6EB65859" w:rsidR="00AE5EDD" w:rsidRDefault="00AE5EDD" w:rsidP="00AE5EDD">
      <w:pPr>
        <w:pStyle w:val="Prrafodelista"/>
        <w:numPr>
          <w:ilvl w:val="0"/>
          <w:numId w:val="6"/>
        </w:numPr>
        <w:spacing w:line="360" w:lineRule="auto"/>
        <w:rPr>
          <w:rFonts w:ascii="Bookman Old Style" w:hAnsi="Bookman Old Style"/>
          <w:color w:val="000000"/>
          <w:sz w:val="24"/>
          <w:szCs w:val="24"/>
        </w:rPr>
      </w:pPr>
      <w:r w:rsidRPr="00AE5EDD">
        <w:rPr>
          <w:rFonts w:ascii="Bookman Old Style" w:hAnsi="Bookman Old Style"/>
          <w:color w:val="000000"/>
          <w:sz w:val="24"/>
          <w:szCs w:val="24"/>
        </w:rPr>
        <w:t>Causas del Boom</w:t>
      </w:r>
      <w:r>
        <w:rPr>
          <w:rFonts w:ascii="Bookman Old Style" w:hAnsi="Bookman Old Style"/>
          <w:color w:val="000000"/>
          <w:sz w:val="24"/>
          <w:szCs w:val="24"/>
        </w:rPr>
        <w:t>.</w:t>
      </w:r>
    </w:p>
    <w:p w14:paraId="0D32B6A1" w14:textId="77777777" w:rsidR="00AE5EDD" w:rsidRPr="00AE5EDD" w:rsidRDefault="00AE5EDD" w:rsidP="00AE5EDD">
      <w:pPr>
        <w:pStyle w:val="Prrafodelista"/>
        <w:spacing w:line="360" w:lineRule="auto"/>
        <w:ind w:left="1800"/>
        <w:rPr>
          <w:rFonts w:ascii="Bookman Old Style" w:hAnsi="Bookman Old Style"/>
          <w:color w:val="000000"/>
          <w:sz w:val="24"/>
          <w:szCs w:val="24"/>
        </w:rPr>
      </w:pPr>
    </w:p>
    <w:p w14:paraId="76D90346" w14:textId="31379047" w:rsidR="00A80FD9" w:rsidRDefault="00A80FD9" w:rsidP="00A80FD9">
      <w:pPr>
        <w:spacing w:line="360" w:lineRule="auto"/>
        <w:ind w:firstLine="720"/>
        <w:rPr>
          <w:rFonts w:ascii="Bookman Old Style" w:hAnsi="Bookman Old Style"/>
          <w:color w:val="000000"/>
          <w:sz w:val="24"/>
          <w:szCs w:val="24"/>
        </w:rPr>
      </w:pPr>
      <w:r>
        <w:rPr>
          <w:rFonts w:ascii="Bookman Old Style" w:hAnsi="Bookman Old Style"/>
          <w:color w:val="000000"/>
          <w:sz w:val="24"/>
          <w:szCs w:val="24"/>
        </w:rPr>
        <w:t>Según diversos analistas, y lo que es ya es conocimiento común, la principal causa del “boom” del litio es la producción y masificación a gran escala de los vehículos de propulsión eléctrica, de los cuales la batería de almacenamiento de electricidad a base de litio es un elemento clave.</w:t>
      </w:r>
    </w:p>
    <w:p w14:paraId="7E5F820C" w14:textId="77777777" w:rsidR="00A80FD9" w:rsidRDefault="00A80FD9" w:rsidP="00A80FD9">
      <w:pPr>
        <w:spacing w:line="360" w:lineRule="auto"/>
        <w:ind w:firstLine="720"/>
        <w:rPr>
          <w:rFonts w:ascii="Bookman Old Style" w:hAnsi="Bookman Old Style"/>
          <w:color w:val="000000"/>
          <w:sz w:val="24"/>
          <w:szCs w:val="24"/>
        </w:rPr>
      </w:pPr>
    </w:p>
    <w:p w14:paraId="310CFCAC" w14:textId="77777777" w:rsidR="00A80FD9" w:rsidRDefault="00A80FD9" w:rsidP="00A80FD9">
      <w:pPr>
        <w:spacing w:line="360" w:lineRule="auto"/>
        <w:ind w:firstLine="720"/>
        <w:jc w:val="both"/>
        <w:rPr>
          <w:rFonts w:ascii="Bookman Old Style" w:hAnsi="Bookman Old Style"/>
          <w:color w:val="000000"/>
          <w:sz w:val="24"/>
          <w:szCs w:val="24"/>
        </w:rPr>
      </w:pPr>
      <w:r>
        <w:rPr>
          <w:rFonts w:ascii="Bookman Old Style" w:hAnsi="Bookman Old Style"/>
          <w:color w:val="000000"/>
          <w:sz w:val="24"/>
          <w:szCs w:val="24"/>
        </w:rPr>
        <w:t>Como todo bien económico, el precio del litio se mueve por la adecuación de las expectativas entre la oferta y la demanda del litio:</w:t>
      </w:r>
    </w:p>
    <w:p w14:paraId="5A462521" w14:textId="77777777" w:rsidR="00A80FD9" w:rsidRDefault="00A80FD9" w:rsidP="00A80FD9">
      <w:pPr>
        <w:spacing w:line="360" w:lineRule="auto"/>
        <w:ind w:firstLine="720"/>
        <w:jc w:val="both"/>
        <w:rPr>
          <w:rFonts w:ascii="Bookman Old Style" w:hAnsi="Bookman Old Style"/>
          <w:color w:val="000000"/>
          <w:sz w:val="24"/>
          <w:szCs w:val="24"/>
        </w:rPr>
      </w:pPr>
    </w:p>
    <w:p w14:paraId="500B4A3D" w14:textId="77777777" w:rsidR="00A80FD9" w:rsidRPr="00A80FD9" w:rsidRDefault="00A80FD9" w:rsidP="00A80FD9">
      <w:pPr>
        <w:spacing w:line="360" w:lineRule="auto"/>
        <w:ind w:left="720" w:firstLine="720"/>
        <w:jc w:val="both"/>
        <w:rPr>
          <w:rFonts w:ascii="Bookman Old Style" w:hAnsi="Bookman Old Style"/>
          <w:i/>
          <w:iCs/>
          <w:color w:val="000000"/>
          <w:sz w:val="24"/>
          <w:szCs w:val="24"/>
        </w:rPr>
      </w:pPr>
      <w:r>
        <w:rPr>
          <w:rFonts w:ascii="Bookman Old Style" w:hAnsi="Bookman Old Style"/>
          <w:color w:val="000000"/>
          <w:sz w:val="24"/>
          <w:szCs w:val="24"/>
        </w:rPr>
        <w:t>“</w:t>
      </w:r>
      <w:r w:rsidRPr="00A80FD9">
        <w:rPr>
          <w:rFonts w:ascii="Bookman Old Style" w:hAnsi="Bookman Old Style"/>
          <w:i/>
          <w:iCs/>
          <w:color w:val="000000"/>
          <w:sz w:val="24"/>
          <w:szCs w:val="24"/>
        </w:rPr>
        <w:t xml:space="preserve">A </w:t>
      </w:r>
      <w:r w:rsidRPr="00D96B04">
        <w:rPr>
          <w:rFonts w:ascii="Bookman Old Style" w:hAnsi="Bookman Old Style"/>
          <w:b/>
          <w:bCs/>
          <w:i/>
          <w:iCs/>
          <w:color w:val="000000"/>
          <w:sz w:val="24"/>
          <w:szCs w:val="24"/>
        </w:rPr>
        <w:t xml:space="preserve">partir de 2015, se hizo progresivamente patente en el mercado que los vehículos eléctricos iban a ser la fuerza dominante del transporte durante las siguientes décadas. Ante este escenario, con altas proyecciones de ventas de vehículos eléctricos frente a una capacidad productiva de litio entonces prevista como insuficiente, los precios transados tendieron al alza. </w:t>
      </w:r>
      <w:r w:rsidRPr="00A80FD9">
        <w:rPr>
          <w:rFonts w:ascii="Bookman Old Style" w:hAnsi="Bookman Old Style"/>
          <w:i/>
          <w:iCs/>
          <w:color w:val="000000"/>
          <w:sz w:val="24"/>
          <w:szCs w:val="24"/>
        </w:rPr>
        <w:t xml:space="preserve">Así, según datos de las transacciones en Asia computadas por S&amp;P Global Market Intelligence (2022), entre diciembre de 2015 y diciembre de 2017, las cotizaciones promedio estimadas del carbonato y del hidróxido crecieron un 167% y 97% respectivamente. </w:t>
      </w:r>
    </w:p>
    <w:p w14:paraId="5C2BEB89" w14:textId="77777777" w:rsidR="00A80FD9" w:rsidRDefault="00A80FD9" w:rsidP="00A80FD9">
      <w:pPr>
        <w:spacing w:line="360" w:lineRule="auto"/>
        <w:ind w:left="720" w:firstLine="720"/>
        <w:jc w:val="both"/>
        <w:rPr>
          <w:rFonts w:ascii="Bookman Old Style" w:hAnsi="Bookman Old Style"/>
          <w:color w:val="000000"/>
          <w:sz w:val="24"/>
          <w:szCs w:val="24"/>
        </w:rPr>
      </w:pPr>
      <w:r w:rsidRPr="00A80FD9">
        <w:rPr>
          <w:rFonts w:ascii="Bookman Old Style" w:hAnsi="Bookman Old Style"/>
          <w:i/>
          <w:iCs/>
          <w:color w:val="000000"/>
          <w:sz w:val="24"/>
          <w:szCs w:val="24"/>
        </w:rPr>
        <w:t xml:space="preserve">b. Caída 2018-20 Luego del rápido crecimiento en el periodo 2016-2017, en los tres años siguientes las cotizaciones presentaron una persistente tendencia a la baja, cayendo un 62% y 51% para el carbonato y el hidróxido de litio respectivamente entre diciembre de 2017 y diciembre de 2020. Mientras que el alto crecimiento en los precios registrado entre 2016 y 2017 se explica mayormente por las altas expectativas en el crecimiento de las ventas de autos eléctricos ante una oferta insuficiente, los factores de la caída subsecuente se atribuyen a fundamentos de mercado. Se destacan los siguientes: </w:t>
      </w:r>
      <w:r w:rsidRPr="00A80FD9">
        <w:rPr>
          <w:rFonts w:ascii="Bookman Old Style" w:hAnsi="Bookman Old Style"/>
          <w:i/>
          <w:iCs/>
          <w:color w:val="000000"/>
          <w:sz w:val="24"/>
          <w:szCs w:val="24"/>
        </w:rPr>
        <w:t xml:space="preserve"> La entrada en operación de proyectos y expansiones con un importante volumen de producción, especialmente en Australia, generando un superávit de oferta. </w:t>
      </w:r>
      <w:r w:rsidRPr="00A80FD9">
        <w:rPr>
          <w:rFonts w:ascii="Bookman Old Style" w:hAnsi="Bookman Old Style"/>
          <w:i/>
          <w:iCs/>
          <w:color w:val="000000"/>
          <w:sz w:val="24"/>
          <w:szCs w:val="24"/>
        </w:rPr>
        <w:t xml:space="preserve"> La continua desaceleración de China, el mayor consumidor y productor de litio a nivel mundial, indujo menores expectativas en ventas de autos eléctricos. </w:t>
      </w:r>
      <w:r w:rsidRPr="00A80FD9">
        <w:rPr>
          <w:rFonts w:ascii="Bookman Old Style" w:hAnsi="Bookman Old Style"/>
          <w:i/>
          <w:iCs/>
          <w:color w:val="000000"/>
          <w:sz w:val="24"/>
          <w:szCs w:val="24"/>
        </w:rPr>
        <w:t> La amenaza de reducción de China de sus subsidios a los autos eléctricos condujo a menores expectativas de demanda. La situación se volvió critica a partir de 2020 tras el brote de la pandemia Covid-19, cuyo impacto sanitario y económico se hizo sentir tempranamente en China y luego en el resto del mundo. La ralentización de las cadenas de suministro de bienes industriales y de consumo sobre los cuales descansa la demanda de litio, como vehículos eléctricos y artículos electrónicos, junto al decrecimiento económico mundial, naturalmente conllevó menores expectativas de crecimiento de la demanda de litio. Como resultado, los precios de los compuestos de litio siguieron transando a la baja durante los primeros meses del año.</w:t>
      </w:r>
      <w:r w:rsidRPr="00A80FD9">
        <w:rPr>
          <w:i/>
          <w:iCs/>
        </w:rPr>
        <w:t xml:space="preserve"> </w:t>
      </w:r>
      <w:r w:rsidRPr="00A80FD9">
        <w:rPr>
          <w:rFonts w:ascii="Bookman Old Style" w:hAnsi="Bookman Old Style"/>
          <w:i/>
          <w:iCs/>
          <w:color w:val="000000"/>
          <w:sz w:val="24"/>
          <w:szCs w:val="24"/>
        </w:rPr>
        <w:t xml:space="preserve">c. Recuperación y despegue, 2021-2022 Ahora bien, ya desde fines de 2020 hasta fines de 2021 los precios están viendo un repunte no visto desde el alza de 2017-18, pasando de USD/t 7.950 en diciembre de 2020 a USD/t 21.000 en diciembre de 2021 en el caso del carbonato (+164%) y de USD/t 10.075 a USD/t 21.250 en el caso del hidróxido (+111%) durante el mismo periodo. Ahora bien, es en 2022 cuando se ha registrado un verdadero despegue de los precios del carbonato y del hidróxido, creciendo hasta USD/t 62.000 para ambas sustancias hacia diciembre de 2022. En suma, esto representa un alza de 680% del carbonato y de 515% del hidróxido desde diciembre de 2020 hasta diciembre de 2022. </w:t>
      </w:r>
      <w:r w:rsidRPr="00A80FD9">
        <w:rPr>
          <w:rFonts w:ascii="Bookman Old Style" w:hAnsi="Bookman Old Style"/>
          <w:b/>
          <w:bCs/>
          <w:i/>
          <w:iCs/>
          <w:color w:val="000000"/>
          <w:sz w:val="24"/>
          <w:szCs w:val="24"/>
        </w:rPr>
        <w:t>Cabe señalar que este rápido crecimiento reciente está cimentado en un aumento palpable de la demanda ante una oferta prevista como insuficiente, especialmente de cara hacia fines de la década.</w:t>
      </w:r>
      <w:r w:rsidRPr="00A80FD9">
        <w:rPr>
          <w:rFonts w:ascii="Bookman Old Style" w:hAnsi="Bookman Old Style"/>
          <w:i/>
          <w:iCs/>
          <w:color w:val="000000"/>
          <w:sz w:val="24"/>
          <w:szCs w:val="24"/>
        </w:rPr>
        <w:t xml:space="preserve"> El mayor consumo ha respondido directamente a las ventas de vehículos eléctricos, las cuales se proyecta que sigan creciendo año a año</w:t>
      </w:r>
      <w:r>
        <w:rPr>
          <w:rFonts w:ascii="Bookman Old Style" w:hAnsi="Bookman Old Style"/>
          <w:color w:val="000000"/>
          <w:sz w:val="24"/>
          <w:szCs w:val="24"/>
        </w:rPr>
        <w:t>.”</w:t>
      </w:r>
      <w:r>
        <w:rPr>
          <w:rStyle w:val="Refdenotaalpie"/>
          <w:rFonts w:ascii="Bookman Old Style" w:hAnsi="Bookman Old Style"/>
          <w:color w:val="000000"/>
          <w:sz w:val="24"/>
          <w:szCs w:val="24"/>
        </w:rPr>
        <w:footnoteReference w:id="7"/>
      </w:r>
      <w:r>
        <w:rPr>
          <w:rFonts w:ascii="Bookman Old Style" w:hAnsi="Bookman Old Style"/>
          <w:color w:val="000000"/>
          <w:sz w:val="24"/>
          <w:szCs w:val="24"/>
        </w:rPr>
        <w:t xml:space="preserve"> (El destacado es nuestro)</w:t>
      </w:r>
    </w:p>
    <w:p w14:paraId="294B3884" w14:textId="1BF7DDC2" w:rsidR="00A80FD9" w:rsidRPr="00A80FD9" w:rsidRDefault="00A80FD9" w:rsidP="00A80FD9">
      <w:pPr>
        <w:rPr>
          <w:rFonts w:ascii="Bookman Old Style" w:hAnsi="Bookman Old Style"/>
          <w:color w:val="000000"/>
          <w:sz w:val="24"/>
          <w:szCs w:val="24"/>
        </w:rPr>
      </w:pPr>
    </w:p>
    <w:p w14:paraId="6CEE679D" w14:textId="77777777" w:rsidR="00A80FD9" w:rsidRDefault="00A80FD9" w:rsidP="00A80FD9">
      <w:pPr>
        <w:rPr>
          <w:rFonts w:ascii="Bookman Old Style" w:hAnsi="Bookman Old Style"/>
          <w:color w:val="000000"/>
          <w:sz w:val="24"/>
          <w:szCs w:val="24"/>
        </w:rPr>
      </w:pPr>
    </w:p>
    <w:p w14:paraId="688C8DE0" w14:textId="1CCC5F92" w:rsidR="00A80FD9" w:rsidRDefault="00A80FD9" w:rsidP="00D96B04">
      <w:pPr>
        <w:pStyle w:val="Prrafodelista"/>
        <w:numPr>
          <w:ilvl w:val="0"/>
          <w:numId w:val="6"/>
        </w:numPr>
        <w:rPr>
          <w:rFonts w:ascii="Bookman Old Style" w:hAnsi="Bookman Old Style"/>
          <w:color w:val="000000"/>
          <w:sz w:val="24"/>
          <w:szCs w:val="24"/>
        </w:rPr>
      </w:pPr>
      <w:r>
        <w:rPr>
          <w:rFonts w:ascii="Bookman Old Style" w:hAnsi="Bookman Old Style"/>
          <w:color w:val="000000"/>
          <w:sz w:val="24"/>
          <w:szCs w:val="24"/>
        </w:rPr>
        <w:t>Consecuencias del Boom</w:t>
      </w:r>
      <w:r w:rsidR="00D96B04">
        <w:rPr>
          <w:rFonts w:ascii="Bookman Old Style" w:hAnsi="Bookman Old Style"/>
          <w:color w:val="000000"/>
          <w:sz w:val="24"/>
          <w:szCs w:val="24"/>
        </w:rPr>
        <w:t xml:space="preserve"> en Chile.</w:t>
      </w:r>
    </w:p>
    <w:p w14:paraId="778FBCA4" w14:textId="77777777" w:rsidR="00D96B04" w:rsidRDefault="00D96B04" w:rsidP="00D96B04">
      <w:pPr>
        <w:rPr>
          <w:rFonts w:ascii="Bookman Old Style" w:hAnsi="Bookman Old Style"/>
          <w:color w:val="000000"/>
          <w:sz w:val="24"/>
          <w:szCs w:val="24"/>
        </w:rPr>
      </w:pPr>
    </w:p>
    <w:p w14:paraId="691689E1" w14:textId="7E1DBD34" w:rsidR="00D96B04" w:rsidRDefault="00AE5EDD" w:rsidP="004420D4">
      <w:pPr>
        <w:spacing w:line="360" w:lineRule="auto"/>
        <w:ind w:firstLine="720"/>
        <w:jc w:val="both"/>
        <w:rPr>
          <w:rFonts w:ascii="Bookman Old Style" w:hAnsi="Bookman Old Style"/>
          <w:color w:val="000000"/>
          <w:sz w:val="24"/>
          <w:szCs w:val="24"/>
        </w:rPr>
      </w:pPr>
      <w:r>
        <w:rPr>
          <w:noProof/>
        </w:rPr>
        <w:drawing>
          <wp:anchor distT="0" distB="0" distL="114300" distR="114300" simplePos="0" relativeHeight="251671552" behindDoc="0" locked="0" layoutInCell="1" allowOverlap="1" wp14:anchorId="5A574BF5" wp14:editId="27CCEA4E">
            <wp:simplePos x="0" y="0"/>
            <wp:positionH relativeFrom="column">
              <wp:posOffset>340339</wp:posOffset>
            </wp:positionH>
            <wp:positionV relativeFrom="paragraph">
              <wp:posOffset>1234399</wp:posOffset>
            </wp:positionV>
            <wp:extent cx="5058410" cy="1920875"/>
            <wp:effectExtent l="0" t="0" r="8890" b="3175"/>
            <wp:wrapSquare wrapText="bothSides"/>
            <wp:docPr id="1415718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18063" name=""/>
                    <pic:cNvPicPr/>
                  </pic:nvPicPr>
                  <pic:blipFill>
                    <a:blip r:embed="rId12"/>
                    <a:stretch>
                      <a:fillRect/>
                    </a:stretch>
                  </pic:blipFill>
                  <pic:spPr>
                    <a:xfrm>
                      <a:off x="0" y="0"/>
                      <a:ext cx="5058410" cy="1920875"/>
                    </a:xfrm>
                    <a:prstGeom prst="rect">
                      <a:avLst/>
                    </a:prstGeom>
                  </pic:spPr>
                </pic:pic>
              </a:graphicData>
            </a:graphic>
            <wp14:sizeRelH relativeFrom="margin">
              <wp14:pctWidth>0</wp14:pctWidth>
            </wp14:sizeRelH>
            <wp14:sizeRelV relativeFrom="margin">
              <wp14:pctHeight>0</wp14:pctHeight>
            </wp14:sizeRelV>
          </wp:anchor>
        </w:drawing>
      </w:r>
      <w:r w:rsidR="00D96B04">
        <w:rPr>
          <w:rFonts w:ascii="Bookman Old Style" w:hAnsi="Bookman Old Style"/>
          <w:color w:val="000000"/>
          <w:sz w:val="24"/>
          <w:szCs w:val="24"/>
        </w:rPr>
        <w:t xml:space="preserve">Una de las principales consecuencias del Boom para la economía nacional ha sido el </w:t>
      </w:r>
      <w:r w:rsidR="004229BA">
        <w:rPr>
          <w:rFonts w:ascii="Bookman Old Style" w:hAnsi="Bookman Old Style"/>
          <w:color w:val="000000"/>
          <w:sz w:val="24"/>
          <w:szCs w:val="24"/>
        </w:rPr>
        <w:t xml:space="preserve">inmenso </w:t>
      </w:r>
      <w:r w:rsidR="00D96B04">
        <w:rPr>
          <w:rFonts w:ascii="Bookman Old Style" w:hAnsi="Bookman Old Style"/>
          <w:color w:val="000000"/>
          <w:sz w:val="24"/>
          <w:szCs w:val="24"/>
        </w:rPr>
        <w:t>aporte a las arcas fiscales que ha significado el aumento de la venta y precio del litio</w:t>
      </w:r>
      <w:r w:rsidR="004420D4">
        <w:rPr>
          <w:rFonts w:ascii="Bookman Old Style" w:hAnsi="Bookman Old Style"/>
          <w:color w:val="000000"/>
          <w:sz w:val="24"/>
          <w:szCs w:val="24"/>
        </w:rPr>
        <w:t xml:space="preserve"> según lo mostrado en los siguientes gráficos</w:t>
      </w:r>
      <w:r w:rsidR="00D96B04">
        <w:rPr>
          <w:rFonts w:ascii="Bookman Old Style" w:hAnsi="Bookman Old Style"/>
          <w:color w:val="000000"/>
          <w:sz w:val="24"/>
          <w:szCs w:val="24"/>
        </w:rPr>
        <w:t>:</w:t>
      </w:r>
      <w:r w:rsidR="004420D4">
        <w:rPr>
          <w:rStyle w:val="Refdenotaalpie"/>
          <w:rFonts w:ascii="Bookman Old Style" w:hAnsi="Bookman Old Style"/>
          <w:color w:val="000000"/>
          <w:sz w:val="24"/>
          <w:szCs w:val="24"/>
        </w:rPr>
        <w:footnoteReference w:id="8"/>
      </w:r>
    </w:p>
    <w:p w14:paraId="7FA7A02B" w14:textId="409E9398" w:rsidR="004420D4" w:rsidRDefault="004420D4" w:rsidP="00D96B04">
      <w:pPr>
        <w:spacing w:line="360" w:lineRule="auto"/>
        <w:ind w:firstLine="720"/>
        <w:rPr>
          <w:rFonts w:ascii="Bookman Old Style" w:hAnsi="Bookman Old Style"/>
          <w:color w:val="000000"/>
          <w:sz w:val="24"/>
          <w:szCs w:val="24"/>
        </w:rPr>
      </w:pPr>
    </w:p>
    <w:p w14:paraId="2D71D7FD" w14:textId="2CB05443" w:rsidR="004420D4" w:rsidRDefault="004420D4" w:rsidP="00D96B04">
      <w:pPr>
        <w:spacing w:line="360" w:lineRule="auto"/>
        <w:ind w:firstLine="720"/>
        <w:rPr>
          <w:rFonts w:ascii="Bookman Old Style" w:hAnsi="Bookman Old Style"/>
          <w:color w:val="000000"/>
          <w:sz w:val="24"/>
          <w:szCs w:val="24"/>
        </w:rPr>
      </w:pPr>
    </w:p>
    <w:p w14:paraId="0FE57D26" w14:textId="77777777" w:rsidR="00AE5EDD" w:rsidRDefault="004420D4" w:rsidP="00030D27">
      <w:pPr>
        <w:spacing w:line="360" w:lineRule="auto"/>
        <w:jc w:val="both"/>
        <w:rPr>
          <w:rFonts w:ascii="Bookman Old Style" w:hAnsi="Bookman Old Style"/>
          <w:color w:val="000000"/>
          <w:sz w:val="24"/>
          <w:szCs w:val="24"/>
        </w:rPr>
      </w:pPr>
      <w:r>
        <w:rPr>
          <w:rFonts w:ascii="Bookman Old Style" w:hAnsi="Bookman Old Style"/>
          <w:color w:val="000000"/>
          <w:sz w:val="24"/>
          <w:szCs w:val="24"/>
        </w:rPr>
        <w:tab/>
      </w:r>
      <w:r w:rsidR="00AE5EDD">
        <w:rPr>
          <w:rFonts w:ascii="Bookman Old Style" w:hAnsi="Bookman Old Style"/>
          <w:color w:val="000000"/>
          <w:sz w:val="24"/>
          <w:szCs w:val="24"/>
        </w:rPr>
        <w:t>En resumen:</w:t>
      </w:r>
    </w:p>
    <w:p w14:paraId="761DFAEA" w14:textId="247D7955" w:rsidR="005772A1" w:rsidRDefault="004420D4" w:rsidP="00AE5EDD">
      <w:pPr>
        <w:spacing w:line="360" w:lineRule="auto"/>
        <w:ind w:left="360"/>
        <w:jc w:val="both"/>
        <w:rPr>
          <w:rFonts w:ascii="Bookman Old Style" w:hAnsi="Bookman Old Style"/>
          <w:color w:val="000000"/>
          <w:sz w:val="24"/>
          <w:szCs w:val="24"/>
        </w:rPr>
      </w:pPr>
      <w:r>
        <w:rPr>
          <w:rFonts w:ascii="Bookman Old Style" w:hAnsi="Bookman Old Style"/>
          <w:color w:val="000000"/>
          <w:sz w:val="24"/>
          <w:szCs w:val="24"/>
        </w:rPr>
        <w:t>“</w:t>
      </w:r>
      <w:r w:rsidR="00030D27" w:rsidRPr="00030D27">
        <w:rPr>
          <w:rFonts w:ascii="Bookman Old Style" w:hAnsi="Bookman Old Style"/>
          <w:i/>
          <w:iCs/>
          <w:color w:val="000000"/>
          <w:sz w:val="24"/>
          <w:szCs w:val="24"/>
        </w:rPr>
        <w:t>Sumado a que los dos únicos incumbentes</w:t>
      </w:r>
      <w:r w:rsidR="00AE5EDD">
        <w:rPr>
          <w:rFonts w:ascii="Bookman Old Style" w:hAnsi="Bookman Old Style"/>
          <w:i/>
          <w:iCs/>
          <w:color w:val="000000"/>
          <w:sz w:val="24"/>
          <w:szCs w:val="24"/>
        </w:rPr>
        <w:t xml:space="preserve"> del litio  – SQM y Albemarle- </w:t>
      </w:r>
      <w:r w:rsidR="00030D27" w:rsidRPr="00030D27">
        <w:rPr>
          <w:rFonts w:ascii="Bookman Old Style" w:hAnsi="Bookman Old Style"/>
          <w:i/>
          <w:iCs/>
          <w:color w:val="000000"/>
          <w:sz w:val="24"/>
          <w:szCs w:val="24"/>
        </w:rPr>
        <w:t xml:space="preserve"> más que triplicaron su producción en siete años y a que los contratos son muy convenientes para el Estado, los aportes fiscales en 2022 treparon a US$ 5.032 millones, más del doble que Codelco (US$ 2.243 M) y que toda la gran minería privada del cobre (US$ 4.545 M). </w:t>
      </w:r>
      <w:r w:rsidR="00030D27" w:rsidRPr="00984F6A">
        <w:rPr>
          <w:rFonts w:ascii="Bookman Old Style" w:hAnsi="Bookman Old Style"/>
          <w:b/>
          <w:bCs/>
          <w:i/>
          <w:iCs/>
          <w:color w:val="000000"/>
          <w:sz w:val="24"/>
          <w:szCs w:val="24"/>
          <w:u w:val="single"/>
        </w:rPr>
        <w:t>Pero incluso ese incremento en la producción palidece respecto de la explosión en la demanda. Chile pasará de producir el 66% del total mundial en 2004 a no más de un 14% en 2030</w:t>
      </w:r>
      <w:r w:rsidR="00030D27" w:rsidRPr="00030D27">
        <w:rPr>
          <w:rFonts w:ascii="Bookman Old Style" w:hAnsi="Bookman Old Style"/>
          <w:i/>
          <w:iCs/>
          <w:color w:val="000000"/>
          <w:sz w:val="24"/>
          <w:szCs w:val="24"/>
        </w:rPr>
        <w:t>.”</w:t>
      </w:r>
      <w:r w:rsidR="00030D27">
        <w:rPr>
          <w:rStyle w:val="Refdenotaalpie"/>
          <w:rFonts w:ascii="Bookman Old Style" w:hAnsi="Bookman Old Style"/>
          <w:i/>
          <w:iCs/>
          <w:color w:val="000000"/>
          <w:sz w:val="24"/>
          <w:szCs w:val="24"/>
        </w:rPr>
        <w:footnoteReference w:id="9"/>
      </w:r>
    </w:p>
    <w:p w14:paraId="3DDCFB5D" w14:textId="77777777" w:rsidR="005772A1" w:rsidRDefault="005772A1" w:rsidP="005772A1">
      <w:pPr>
        <w:rPr>
          <w:rFonts w:ascii="Bookman Old Style" w:hAnsi="Bookman Old Style"/>
          <w:b/>
          <w:bCs/>
          <w:color w:val="000000"/>
          <w:sz w:val="24"/>
          <w:szCs w:val="24"/>
        </w:rPr>
      </w:pPr>
    </w:p>
    <w:p w14:paraId="693592ED" w14:textId="77777777" w:rsidR="005772A1" w:rsidRPr="005772A1" w:rsidRDefault="005772A1" w:rsidP="005772A1">
      <w:pPr>
        <w:rPr>
          <w:rFonts w:ascii="Bookman Old Style" w:hAnsi="Bookman Old Style"/>
          <w:b/>
          <w:bCs/>
          <w:color w:val="000000"/>
          <w:sz w:val="24"/>
          <w:szCs w:val="24"/>
        </w:rPr>
      </w:pPr>
    </w:p>
    <w:p w14:paraId="33DCE5B6" w14:textId="06715993" w:rsidR="005772A1" w:rsidRDefault="005772A1" w:rsidP="00030D27">
      <w:pPr>
        <w:pStyle w:val="Prrafodelista"/>
        <w:numPr>
          <w:ilvl w:val="0"/>
          <w:numId w:val="5"/>
        </w:numPr>
        <w:spacing w:line="360" w:lineRule="auto"/>
        <w:ind w:right="113"/>
        <w:rPr>
          <w:rFonts w:ascii="Bookman Old Style" w:hAnsi="Bookman Old Style"/>
          <w:b/>
          <w:bCs/>
          <w:color w:val="000000"/>
          <w:sz w:val="24"/>
          <w:szCs w:val="24"/>
        </w:rPr>
      </w:pPr>
      <w:r w:rsidRPr="005772A1">
        <w:rPr>
          <w:rFonts w:ascii="Bookman Old Style" w:hAnsi="Bookman Old Style"/>
          <w:b/>
          <w:bCs/>
          <w:color w:val="000000"/>
          <w:sz w:val="24"/>
          <w:szCs w:val="24"/>
        </w:rPr>
        <w:t xml:space="preserve">Un Estado </w:t>
      </w:r>
      <w:r w:rsidR="00C13D48">
        <w:rPr>
          <w:rFonts w:ascii="Bookman Old Style" w:hAnsi="Bookman Old Style"/>
          <w:b/>
          <w:bCs/>
          <w:color w:val="000000"/>
          <w:sz w:val="24"/>
          <w:szCs w:val="24"/>
        </w:rPr>
        <w:t>que no reacciona con velocidad suficiente</w:t>
      </w:r>
      <w:r w:rsidRPr="005772A1">
        <w:rPr>
          <w:rFonts w:ascii="Bookman Old Style" w:hAnsi="Bookman Old Style"/>
          <w:b/>
          <w:bCs/>
          <w:color w:val="000000"/>
          <w:sz w:val="24"/>
          <w:szCs w:val="24"/>
        </w:rPr>
        <w:t xml:space="preserve"> y una regulación anacrónica y fallida cuyo resultado es una oportunidad económica nacional perdida y/o por perder.</w:t>
      </w:r>
    </w:p>
    <w:p w14:paraId="4BF30FDC" w14:textId="77777777" w:rsidR="00030D27" w:rsidRDefault="00030D27" w:rsidP="00030D27">
      <w:pPr>
        <w:spacing w:line="360" w:lineRule="auto"/>
        <w:ind w:right="113"/>
        <w:rPr>
          <w:rFonts w:ascii="Bookman Old Style" w:hAnsi="Bookman Old Style"/>
          <w:b/>
          <w:bCs/>
          <w:color w:val="000000"/>
          <w:sz w:val="24"/>
          <w:szCs w:val="24"/>
        </w:rPr>
      </w:pPr>
    </w:p>
    <w:p w14:paraId="1C3AE917" w14:textId="61A73E99" w:rsidR="00030D27" w:rsidRDefault="00030D27" w:rsidP="00030D27">
      <w:pPr>
        <w:spacing w:line="360" w:lineRule="auto"/>
        <w:ind w:right="113" w:firstLine="720"/>
        <w:jc w:val="both"/>
        <w:rPr>
          <w:rFonts w:ascii="Bookman Old Style" w:hAnsi="Bookman Old Style"/>
          <w:color w:val="000000"/>
          <w:sz w:val="24"/>
          <w:szCs w:val="24"/>
        </w:rPr>
      </w:pPr>
      <w:r>
        <w:rPr>
          <w:rFonts w:ascii="Bookman Old Style" w:hAnsi="Bookman Old Style"/>
          <w:color w:val="000000"/>
          <w:sz w:val="24"/>
          <w:szCs w:val="24"/>
        </w:rPr>
        <w:t xml:space="preserve">Una de </w:t>
      </w:r>
      <w:r w:rsidR="00C13D48">
        <w:rPr>
          <w:rFonts w:ascii="Bookman Old Style" w:hAnsi="Bookman Old Style"/>
          <w:color w:val="000000"/>
          <w:sz w:val="24"/>
          <w:szCs w:val="24"/>
        </w:rPr>
        <w:t>los aspectos</w:t>
      </w:r>
      <w:r>
        <w:rPr>
          <w:rFonts w:ascii="Bookman Old Style" w:hAnsi="Bookman Old Style"/>
          <w:color w:val="000000"/>
          <w:sz w:val="24"/>
          <w:szCs w:val="24"/>
        </w:rPr>
        <w:t xml:space="preserve"> más </w:t>
      </w:r>
      <w:r w:rsidR="00C13D48">
        <w:rPr>
          <w:rFonts w:ascii="Bookman Old Style" w:hAnsi="Bookman Old Style"/>
          <w:color w:val="000000"/>
          <w:sz w:val="24"/>
          <w:szCs w:val="24"/>
        </w:rPr>
        <w:t>perjudiciales para los ciudadanos</w:t>
      </w:r>
      <w:r>
        <w:rPr>
          <w:rFonts w:ascii="Bookman Old Style" w:hAnsi="Bookman Old Style"/>
          <w:color w:val="000000"/>
          <w:sz w:val="24"/>
          <w:szCs w:val="24"/>
        </w:rPr>
        <w:t xml:space="preserve"> es que, del año 1979 a la fecha</w:t>
      </w:r>
      <w:r w:rsidR="00984F6A">
        <w:rPr>
          <w:rFonts w:ascii="Bookman Old Style" w:hAnsi="Bookman Old Style"/>
          <w:color w:val="000000"/>
          <w:sz w:val="24"/>
          <w:szCs w:val="24"/>
        </w:rPr>
        <w:t>,</w:t>
      </w:r>
      <w:r>
        <w:rPr>
          <w:rFonts w:ascii="Bookman Old Style" w:hAnsi="Bookman Old Style"/>
          <w:color w:val="000000"/>
          <w:sz w:val="24"/>
          <w:szCs w:val="24"/>
        </w:rPr>
        <w:t xml:space="preserve"> ningún organismo estatal o privado ha explotado el litio </w:t>
      </w:r>
      <w:r w:rsidR="00984F6A">
        <w:rPr>
          <w:rFonts w:ascii="Bookman Old Style" w:hAnsi="Bookman Old Style"/>
          <w:color w:val="000000"/>
          <w:sz w:val="24"/>
          <w:szCs w:val="24"/>
        </w:rPr>
        <w:t>bajo contratos o concesiones</w:t>
      </w:r>
      <w:r w:rsidR="0042734F">
        <w:rPr>
          <w:rFonts w:ascii="Bookman Old Style" w:hAnsi="Bookman Old Style"/>
          <w:color w:val="000000"/>
          <w:sz w:val="24"/>
          <w:szCs w:val="24"/>
        </w:rPr>
        <w:t>.</w:t>
      </w:r>
    </w:p>
    <w:p w14:paraId="340AEAB1" w14:textId="77777777" w:rsidR="008C63A5" w:rsidRDefault="008C63A5" w:rsidP="00030D27">
      <w:pPr>
        <w:spacing w:line="360" w:lineRule="auto"/>
        <w:ind w:right="113" w:firstLine="720"/>
        <w:jc w:val="both"/>
        <w:rPr>
          <w:rFonts w:ascii="Bookman Old Style" w:hAnsi="Bookman Old Style"/>
          <w:color w:val="000000"/>
          <w:sz w:val="24"/>
          <w:szCs w:val="24"/>
        </w:rPr>
      </w:pPr>
    </w:p>
    <w:p w14:paraId="5A4A7F96" w14:textId="6F6039FB" w:rsidR="00030D27" w:rsidRDefault="00030D27" w:rsidP="00030D27">
      <w:pPr>
        <w:spacing w:line="360" w:lineRule="auto"/>
        <w:ind w:right="113" w:firstLine="720"/>
        <w:jc w:val="both"/>
        <w:rPr>
          <w:rFonts w:ascii="Bookman Old Style" w:hAnsi="Bookman Old Style"/>
          <w:color w:val="000000"/>
          <w:sz w:val="24"/>
          <w:szCs w:val="24"/>
        </w:rPr>
      </w:pPr>
      <w:r>
        <w:rPr>
          <w:rFonts w:ascii="Bookman Old Style" w:hAnsi="Bookman Old Style"/>
          <w:color w:val="000000"/>
          <w:sz w:val="24"/>
          <w:szCs w:val="24"/>
        </w:rPr>
        <w:t>En efecto, tal como se señaló anteriormente, solo ALBEMARQUE y SQM explotan el litio en Chile</w:t>
      </w:r>
      <w:r w:rsidR="0042734F">
        <w:rPr>
          <w:rFonts w:ascii="Bookman Old Style" w:hAnsi="Bookman Old Style"/>
          <w:color w:val="000000"/>
          <w:sz w:val="24"/>
          <w:szCs w:val="24"/>
        </w:rPr>
        <w:t xml:space="preserve"> -en el Salar de Atacama- </w:t>
      </w:r>
      <w:r>
        <w:rPr>
          <w:rFonts w:ascii="Bookman Old Style" w:hAnsi="Bookman Old Style"/>
          <w:color w:val="000000"/>
          <w:sz w:val="24"/>
          <w:szCs w:val="24"/>
        </w:rPr>
        <w:t xml:space="preserve"> </w:t>
      </w:r>
      <w:r w:rsidR="0042734F">
        <w:rPr>
          <w:rFonts w:ascii="Bookman Old Style" w:hAnsi="Bookman Old Style"/>
          <w:color w:val="000000"/>
          <w:sz w:val="24"/>
          <w:szCs w:val="24"/>
        </w:rPr>
        <w:t>en base de</w:t>
      </w:r>
      <w:r>
        <w:rPr>
          <w:rFonts w:ascii="Bookman Old Style" w:hAnsi="Bookman Old Style"/>
          <w:color w:val="000000"/>
          <w:sz w:val="24"/>
          <w:szCs w:val="24"/>
        </w:rPr>
        <w:t xml:space="preserve"> contratos de explotaci</w:t>
      </w:r>
      <w:r w:rsidR="0042734F">
        <w:rPr>
          <w:rFonts w:ascii="Bookman Old Style" w:hAnsi="Bookman Old Style"/>
          <w:color w:val="000000"/>
          <w:sz w:val="24"/>
          <w:szCs w:val="24"/>
        </w:rPr>
        <w:t>ón o arriendo</w:t>
      </w:r>
      <w:r>
        <w:rPr>
          <w:rFonts w:ascii="Bookman Old Style" w:hAnsi="Bookman Old Style"/>
          <w:color w:val="000000"/>
          <w:sz w:val="24"/>
          <w:szCs w:val="24"/>
        </w:rPr>
        <w:t xml:space="preserve"> de </w:t>
      </w:r>
      <w:r w:rsidR="00B21DBA">
        <w:rPr>
          <w:rFonts w:ascii="Bookman Old Style" w:hAnsi="Bookman Old Style"/>
          <w:color w:val="000000"/>
          <w:sz w:val="24"/>
          <w:szCs w:val="24"/>
        </w:rPr>
        <w:t>concesiones</w:t>
      </w:r>
      <w:r>
        <w:rPr>
          <w:rFonts w:ascii="Bookman Old Style" w:hAnsi="Bookman Old Style"/>
          <w:color w:val="000000"/>
          <w:sz w:val="24"/>
          <w:szCs w:val="24"/>
        </w:rPr>
        <w:t xml:space="preserve"> mineras de CORFO cuya titularidad data del año 1977.</w:t>
      </w:r>
      <w:r w:rsidR="0042734F">
        <w:rPr>
          <w:rFonts w:ascii="Bookman Old Style" w:hAnsi="Bookman Old Style"/>
          <w:color w:val="000000"/>
          <w:sz w:val="24"/>
          <w:szCs w:val="24"/>
        </w:rPr>
        <w:t xml:space="preserve"> </w:t>
      </w:r>
    </w:p>
    <w:p w14:paraId="00C670DC" w14:textId="77777777" w:rsidR="00BF406F" w:rsidRDefault="00BF406F" w:rsidP="00030D27">
      <w:pPr>
        <w:spacing w:line="360" w:lineRule="auto"/>
        <w:ind w:right="113" w:firstLine="720"/>
        <w:jc w:val="both"/>
        <w:rPr>
          <w:rFonts w:ascii="Bookman Old Style" w:hAnsi="Bookman Old Style"/>
          <w:color w:val="000000"/>
          <w:sz w:val="24"/>
          <w:szCs w:val="24"/>
        </w:rPr>
      </w:pPr>
    </w:p>
    <w:p w14:paraId="4FA501E2" w14:textId="3E5CE0AF" w:rsidR="00030D27" w:rsidRDefault="00B21DBA" w:rsidP="00B21DBA">
      <w:pPr>
        <w:spacing w:line="360" w:lineRule="auto"/>
        <w:ind w:right="113" w:firstLine="720"/>
        <w:jc w:val="both"/>
        <w:rPr>
          <w:rFonts w:ascii="Bookman Old Style" w:hAnsi="Bookman Old Style"/>
          <w:color w:val="000000"/>
          <w:sz w:val="24"/>
          <w:szCs w:val="24"/>
        </w:rPr>
      </w:pPr>
      <w:r>
        <w:rPr>
          <w:rFonts w:ascii="Bookman Old Style" w:hAnsi="Bookman Old Style"/>
          <w:color w:val="000000"/>
          <w:sz w:val="24"/>
          <w:szCs w:val="24"/>
        </w:rPr>
        <w:t xml:space="preserve">Durante el año 2012 </w:t>
      </w:r>
      <w:r w:rsidR="00C13D48">
        <w:rPr>
          <w:rFonts w:ascii="Bookman Old Style" w:hAnsi="Bookman Old Style"/>
          <w:color w:val="000000"/>
          <w:sz w:val="24"/>
          <w:szCs w:val="24"/>
        </w:rPr>
        <w:t>tuvo lugar</w:t>
      </w:r>
      <w:r>
        <w:rPr>
          <w:rFonts w:ascii="Bookman Old Style" w:hAnsi="Bookman Old Style"/>
          <w:color w:val="000000"/>
          <w:sz w:val="24"/>
          <w:szCs w:val="24"/>
        </w:rPr>
        <w:t xml:space="preserve"> una primera licitación fallida adjudicada </w:t>
      </w:r>
      <w:r w:rsidR="00C13D48">
        <w:rPr>
          <w:rFonts w:ascii="Bookman Old Style" w:hAnsi="Bookman Old Style"/>
          <w:color w:val="000000"/>
          <w:sz w:val="24"/>
          <w:szCs w:val="24"/>
        </w:rPr>
        <w:t xml:space="preserve">a </w:t>
      </w:r>
      <w:r>
        <w:rPr>
          <w:rFonts w:ascii="Bookman Old Style" w:hAnsi="Bookman Old Style"/>
          <w:color w:val="000000"/>
          <w:sz w:val="24"/>
          <w:szCs w:val="24"/>
        </w:rPr>
        <w:t xml:space="preserve">SQM que finalmente fue anulada de oficio por mantener </w:t>
      </w:r>
      <w:r w:rsidR="00C13D48">
        <w:rPr>
          <w:rFonts w:ascii="Bookman Old Style" w:hAnsi="Bookman Old Style"/>
          <w:color w:val="000000"/>
          <w:sz w:val="24"/>
          <w:szCs w:val="24"/>
        </w:rPr>
        <w:t xml:space="preserve">dicha empresa </w:t>
      </w:r>
      <w:r>
        <w:rPr>
          <w:rFonts w:ascii="Bookman Old Style" w:hAnsi="Bookman Old Style"/>
          <w:color w:val="000000"/>
          <w:sz w:val="24"/>
          <w:szCs w:val="24"/>
        </w:rPr>
        <w:t xml:space="preserve">juicios contra el Fisco. Esta licitación fue impugnada políticamente por partidos políticos de </w:t>
      </w:r>
      <w:r w:rsidR="00C13D48">
        <w:rPr>
          <w:rFonts w:ascii="Bookman Old Style" w:hAnsi="Bookman Old Style"/>
          <w:color w:val="000000"/>
          <w:sz w:val="24"/>
          <w:szCs w:val="24"/>
        </w:rPr>
        <w:t xml:space="preserve">la entonces </w:t>
      </w:r>
      <w:r>
        <w:rPr>
          <w:rFonts w:ascii="Bookman Old Style" w:hAnsi="Bookman Old Style"/>
          <w:color w:val="000000"/>
          <w:sz w:val="24"/>
          <w:szCs w:val="24"/>
        </w:rPr>
        <w:t>oposición y los grupos de interés estatales</w:t>
      </w:r>
      <w:r w:rsidR="0042734F">
        <w:rPr>
          <w:rFonts w:ascii="Bookman Old Style" w:hAnsi="Bookman Old Style"/>
          <w:color w:val="000000"/>
          <w:sz w:val="24"/>
          <w:szCs w:val="24"/>
        </w:rPr>
        <w:t>:</w:t>
      </w:r>
    </w:p>
    <w:p w14:paraId="67769DA4" w14:textId="77777777" w:rsidR="00B21DBA" w:rsidRDefault="00B21DBA" w:rsidP="00B21DBA">
      <w:pPr>
        <w:spacing w:line="360" w:lineRule="auto"/>
        <w:ind w:right="113"/>
        <w:jc w:val="both"/>
        <w:rPr>
          <w:rFonts w:ascii="Bookman Old Style" w:hAnsi="Bookman Old Style"/>
          <w:color w:val="000000"/>
          <w:sz w:val="24"/>
          <w:szCs w:val="24"/>
        </w:rPr>
      </w:pPr>
    </w:p>
    <w:p w14:paraId="337FE7A7" w14:textId="22D88518" w:rsidR="00B21DBA" w:rsidRPr="00B21DBA" w:rsidRDefault="00B21DBA" w:rsidP="00B21DBA">
      <w:pPr>
        <w:spacing w:line="360" w:lineRule="auto"/>
        <w:ind w:left="720" w:right="113"/>
        <w:jc w:val="both"/>
        <w:rPr>
          <w:rFonts w:ascii="Bookman Old Style" w:hAnsi="Bookman Old Style"/>
          <w:i/>
          <w:iCs/>
          <w:color w:val="000000"/>
          <w:sz w:val="24"/>
          <w:szCs w:val="24"/>
        </w:rPr>
      </w:pPr>
      <w:r>
        <w:rPr>
          <w:rFonts w:ascii="Bookman Old Style" w:hAnsi="Bookman Old Style"/>
          <w:color w:val="000000"/>
          <w:sz w:val="24"/>
          <w:szCs w:val="24"/>
        </w:rPr>
        <w:t>“</w:t>
      </w:r>
      <w:r w:rsidRPr="00B21DBA">
        <w:rPr>
          <w:rFonts w:ascii="Bookman Old Style" w:hAnsi="Bookman Old Style"/>
          <w:i/>
          <w:iCs/>
          <w:color w:val="000000"/>
          <w:sz w:val="24"/>
          <w:szCs w:val="24"/>
        </w:rPr>
        <w:t>En julio de 2012, un grupo de senadores de diversos partidos de oposición encabezados por la senadora socialista Isabel Allende, junto con el presidente de la Federación de Trabajadores del Cobre, y el presidente de la Federación Nacional de Trabajadores del Petróleo de Chile, presentaron ante la Justicia ordinaria una acción de nulidad para detener e invalidar el proceso de licitación del litio iniciado por el Gobierno, decisión que consideraban había sido tomada a espaldas del Congreso Nacional y de la ciudadanía y argumentando la defensa de los intereses de todos los chilenos.</w:t>
      </w:r>
    </w:p>
    <w:p w14:paraId="0D35936C" w14:textId="30199AFA" w:rsidR="00B21DBA" w:rsidRDefault="00B21DBA" w:rsidP="00B21DBA">
      <w:pPr>
        <w:spacing w:line="360" w:lineRule="auto"/>
        <w:ind w:left="720" w:right="113"/>
        <w:jc w:val="both"/>
        <w:rPr>
          <w:rFonts w:ascii="Bookman Old Style" w:hAnsi="Bookman Old Style"/>
          <w:color w:val="000000"/>
          <w:sz w:val="24"/>
          <w:szCs w:val="24"/>
        </w:rPr>
      </w:pPr>
      <w:r w:rsidRPr="00B21DBA">
        <w:rPr>
          <w:rFonts w:ascii="Bookman Old Style" w:hAnsi="Bookman Old Style"/>
          <w:i/>
          <w:iCs/>
          <w:color w:val="000000"/>
          <w:sz w:val="24"/>
          <w:szCs w:val="24"/>
        </w:rPr>
        <w:t>En el mismo mes de julio, diputados del partido de oposición Democracia Cristiana como complemento al recurso jurídico de nulidad antes referido, daban otra señal política y recurrían esta vez con una denuncia ante el Contralor General de la República sobre la supuesta existencia de vicios legales del proceso de licitaciones del litio respecto de la legislación ambiental chilena y solicitaban el cese del proceso</w:t>
      </w:r>
      <w:r w:rsidRPr="00B21DBA">
        <w:rPr>
          <w:rFonts w:ascii="Bookman Old Style" w:hAnsi="Bookman Old Style"/>
          <w:color w:val="000000"/>
          <w:sz w:val="24"/>
          <w:szCs w:val="24"/>
        </w:rPr>
        <w:t>.</w:t>
      </w:r>
      <w:r>
        <w:rPr>
          <w:rFonts w:ascii="Bookman Old Style" w:hAnsi="Bookman Old Style"/>
          <w:color w:val="000000"/>
          <w:sz w:val="24"/>
          <w:szCs w:val="24"/>
        </w:rPr>
        <w:t>”</w:t>
      </w:r>
      <w:r>
        <w:rPr>
          <w:rStyle w:val="Refdenotaalpie"/>
          <w:rFonts w:ascii="Bookman Old Style" w:hAnsi="Bookman Old Style"/>
          <w:color w:val="000000"/>
          <w:sz w:val="24"/>
          <w:szCs w:val="24"/>
        </w:rPr>
        <w:footnoteReference w:id="10"/>
      </w:r>
    </w:p>
    <w:p w14:paraId="1EDC17A5" w14:textId="77777777" w:rsidR="00AE5EDD" w:rsidRDefault="00AE5EDD" w:rsidP="00AE5EDD">
      <w:pPr>
        <w:spacing w:line="360" w:lineRule="auto"/>
        <w:ind w:right="113"/>
        <w:jc w:val="both"/>
        <w:rPr>
          <w:rFonts w:ascii="Bookman Old Style" w:hAnsi="Bookman Old Style"/>
          <w:color w:val="000000"/>
          <w:sz w:val="24"/>
          <w:szCs w:val="24"/>
        </w:rPr>
      </w:pPr>
    </w:p>
    <w:p w14:paraId="60284437" w14:textId="520858D2" w:rsidR="00AE5EDD" w:rsidRDefault="0042734F" w:rsidP="00286996">
      <w:pPr>
        <w:spacing w:line="360" w:lineRule="auto"/>
        <w:ind w:right="113" w:firstLine="720"/>
        <w:jc w:val="both"/>
        <w:rPr>
          <w:rFonts w:ascii="Bookman Old Style" w:hAnsi="Bookman Old Style"/>
          <w:color w:val="000000"/>
          <w:sz w:val="24"/>
          <w:szCs w:val="24"/>
        </w:rPr>
      </w:pPr>
      <w:r>
        <w:rPr>
          <w:rFonts w:ascii="Bookman Old Style" w:hAnsi="Bookman Old Style"/>
          <w:color w:val="000000"/>
          <w:sz w:val="24"/>
          <w:szCs w:val="24"/>
        </w:rPr>
        <w:t>Posteriormente el</w:t>
      </w:r>
      <w:r w:rsidR="00AE5EDD">
        <w:rPr>
          <w:rFonts w:ascii="Bookman Old Style" w:hAnsi="Bookman Old Style"/>
          <w:color w:val="000000"/>
          <w:sz w:val="24"/>
          <w:szCs w:val="24"/>
        </w:rPr>
        <w:t xml:space="preserve"> año 2021 también se licitaron diverso CEOL</w:t>
      </w:r>
      <w:r w:rsidR="00A127B0">
        <w:rPr>
          <w:rFonts w:ascii="Bookman Old Style" w:hAnsi="Bookman Old Style"/>
          <w:color w:val="000000"/>
          <w:sz w:val="24"/>
          <w:szCs w:val="24"/>
        </w:rPr>
        <w:t xml:space="preserve"> –</w:t>
      </w:r>
      <w:r w:rsidR="00C13D48" w:rsidRPr="002F057D">
        <w:t>—</w:t>
      </w:r>
      <w:r w:rsidR="00A127B0">
        <w:rPr>
          <w:rFonts w:ascii="Bookman Old Style" w:hAnsi="Bookman Old Style"/>
          <w:color w:val="000000"/>
          <w:sz w:val="24"/>
          <w:szCs w:val="24"/>
        </w:rPr>
        <w:t>Contratos Especiales de Operación de Litio</w:t>
      </w:r>
      <w:r w:rsidR="00C13D48" w:rsidRPr="002F057D">
        <w:t>—</w:t>
      </w:r>
      <w:r w:rsidR="00A127B0">
        <w:rPr>
          <w:rFonts w:ascii="Bookman Old Style" w:hAnsi="Bookman Old Style"/>
          <w:color w:val="000000"/>
          <w:sz w:val="24"/>
          <w:szCs w:val="24"/>
        </w:rPr>
        <w:t xml:space="preserve"> </w:t>
      </w:r>
      <w:r w:rsidR="00AE5EDD">
        <w:rPr>
          <w:rFonts w:ascii="Bookman Old Style" w:hAnsi="Bookman Old Style"/>
          <w:color w:val="000000"/>
          <w:sz w:val="24"/>
          <w:szCs w:val="24"/>
        </w:rPr>
        <w:t xml:space="preserve">pero al año 2022 la Corte Suprema </w:t>
      </w:r>
      <w:r w:rsidR="00286996">
        <w:rPr>
          <w:rFonts w:ascii="Bookman Old Style" w:hAnsi="Bookman Old Style"/>
          <w:color w:val="000000"/>
          <w:sz w:val="24"/>
          <w:szCs w:val="24"/>
        </w:rPr>
        <w:t>anuló la adjudicación de los contratos:</w:t>
      </w:r>
    </w:p>
    <w:p w14:paraId="697AC158" w14:textId="77777777" w:rsidR="00286996" w:rsidRDefault="00286996" w:rsidP="00286996">
      <w:pPr>
        <w:spacing w:line="360" w:lineRule="auto"/>
        <w:ind w:right="113" w:firstLine="720"/>
        <w:jc w:val="both"/>
        <w:rPr>
          <w:rFonts w:ascii="Bookman Old Style" w:hAnsi="Bookman Old Style"/>
          <w:color w:val="000000"/>
          <w:sz w:val="24"/>
          <w:szCs w:val="24"/>
        </w:rPr>
      </w:pPr>
    </w:p>
    <w:p w14:paraId="17D28FB5" w14:textId="5B5B7F1C" w:rsidR="00465FE9" w:rsidRPr="00465FE9" w:rsidRDefault="00465FE9" w:rsidP="00286996">
      <w:pPr>
        <w:spacing w:line="360" w:lineRule="auto"/>
        <w:ind w:left="720" w:right="113"/>
        <w:jc w:val="both"/>
        <w:rPr>
          <w:rFonts w:ascii="Bookman Old Style" w:hAnsi="Bookman Old Style"/>
          <w:i/>
          <w:iCs/>
          <w:color w:val="000000"/>
          <w:sz w:val="24"/>
          <w:szCs w:val="24"/>
        </w:rPr>
      </w:pPr>
      <w:r>
        <w:rPr>
          <w:rFonts w:ascii="Bookman Old Style" w:hAnsi="Bookman Old Style"/>
          <w:color w:val="000000"/>
          <w:sz w:val="24"/>
          <w:szCs w:val="24"/>
        </w:rPr>
        <w:t>“</w:t>
      </w:r>
      <w:r w:rsidRPr="00465FE9">
        <w:rPr>
          <w:rFonts w:ascii="Bookman Old Style" w:hAnsi="Bookman Old Style"/>
          <w:i/>
          <w:iCs/>
          <w:color w:val="000000"/>
          <w:sz w:val="24"/>
          <w:szCs w:val="24"/>
        </w:rPr>
        <w:t>El día 27 de julio de 2021, mediante la Resolución N°1, del Ministerio de Minería (en adelante “Resolución N°1”), se autorizó el llamado y se aprobaron las bases de licitación pública nacional e internacional para la suscripción de un contrato especial de operación para la exploración, explotación y beneficio de 400.000 toneladas de litio metálico comercializable, divididas en 5 cuotas de 80.000 toneladas cada una.</w:t>
      </w:r>
    </w:p>
    <w:p w14:paraId="7E91A33C" w14:textId="77777777" w:rsidR="00465FE9" w:rsidRPr="00465FE9" w:rsidRDefault="00465FE9" w:rsidP="00465FE9">
      <w:pPr>
        <w:spacing w:line="360" w:lineRule="auto"/>
        <w:ind w:left="720" w:right="113" w:firstLine="720"/>
        <w:jc w:val="both"/>
        <w:rPr>
          <w:rFonts w:ascii="Bookman Old Style" w:hAnsi="Bookman Old Style"/>
          <w:i/>
          <w:iCs/>
          <w:color w:val="000000"/>
          <w:sz w:val="24"/>
          <w:szCs w:val="24"/>
        </w:rPr>
      </w:pPr>
    </w:p>
    <w:p w14:paraId="3AD9850A" w14:textId="4E3D6BB5" w:rsidR="00030D27" w:rsidRPr="00465FE9" w:rsidRDefault="00465FE9" w:rsidP="00465FE9">
      <w:pPr>
        <w:spacing w:line="360" w:lineRule="auto"/>
        <w:ind w:left="720" w:right="113"/>
        <w:jc w:val="both"/>
        <w:rPr>
          <w:rFonts w:ascii="Bookman Old Style" w:hAnsi="Bookman Old Style"/>
          <w:i/>
          <w:iCs/>
          <w:color w:val="000000"/>
          <w:sz w:val="24"/>
          <w:szCs w:val="24"/>
        </w:rPr>
      </w:pPr>
      <w:r w:rsidRPr="00465FE9">
        <w:rPr>
          <w:rFonts w:ascii="Bookman Old Style" w:hAnsi="Bookman Old Style"/>
          <w:i/>
          <w:iCs/>
          <w:color w:val="000000"/>
          <w:sz w:val="24"/>
          <w:szCs w:val="24"/>
        </w:rPr>
        <w:t>Con fecha 12 de enero de 2022, mediante Resolución Exenta N°68 y 69, el Ministro de Minería resolvió adjudicar una cuota de 80.000 toneladas de litio metálico a la empresa BYD Chile SpA y otra igual a la empresa Servicios y Operaciones Mineras del Norte S.A. el 4 de agosto de 2022.”</w:t>
      </w:r>
      <w:r w:rsidR="00CA2360">
        <w:rPr>
          <w:rStyle w:val="Refdenotaalpie"/>
          <w:rFonts w:ascii="Bookman Old Style" w:hAnsi="Bookman Old Style"/>
          <w:i/>
          <w:iCs/>
          <w:color w:val="000000"/>
          <w:sz w:val="24"/>
          <w:szCs w:val="24"/>
        </w:rPr>
        <w:footnoteReference w:id="11"/>
      </w:r>
    </w:p>
    <w:p w14:paraId="6862253A" w14:textId="77777777" w:rsidR="00465FE9" w:rsidRDefault="00465FE9" w:rsidP="00465FE9">
      <w:pPr>
        <w:spacing w:line="360" w:lineRule="auto"/>
        <w:ind w:right="113"/>
        <w:jc w:val="both"/>
        <w:rPr>
          <w:rFonts w:ascii="Bookman Old Style" w:hAnsi="Bookman Old Style"/>
          <w:color w:val="000000"/>
          <w:sz w:val="24"/>
          <w:szCs w:val="24"/>
        </w:rPr>
      </w:pPr>
    </w:p>
    <w:p w14:paraId="3E6C7DD7" w14:textId="6F7B14C4" w:rsidR="00E57ED4" w:rsidRDefault="00465FE9" w:rsidP="008C63A5">
      <w:pPr>
        <w:spacing w:line="360" w:lineRule="auto"/>
        <w:ind w:right="113" w:firstLine="720"/>
        <w:jc w:val="both"/>
        <w:rPr>
          <w:rFonts w:ascii="Bookman Old Style" w:hAnsi="Bookman Old Style"/>
          <w:color w:val="000000"/>
          <w:sz w:val="24"/>
          <w:szCs w:val="24"/>
        </w:rPr>
      </w:pPr>
      <w:r>
        <w:rPr>
          <w:rFonts w:ascii="Bookman Old Style" w:hAnsi="Bookman Old Style"/>
          <w:color w:val="000000"/>
          <w:sz w:val="24"/>
          <w:szCs w:val="24"/>
        </w:rPr>
        <w:t>Con todo, la Corte Suprema</w:t>
      </w:r>
      <w:r w:rsidR="00E75C9C">
        <w:rPr>
          <w:rFonts w:ascii="Bookman Old Style" w:hAnsi="Bookman Old Style"/>
          <w:color w:val="000000"/>
          <w:sz w:val="24"/>
          <w:szCs w:val="24"/>
        </w:rPr>
        <w:t>,</w:t>
      </w:r>
      <w:r>
        <w:rPr>
          <w:rFonts w:ascii="Bookman Old Style" w:hAnsi="Bookman Old Style"/>
          <w:color w:val="000000"/>
          <w:sz w:val="24"/>
          <w:szCs w:val="24"/>
        </w:rPr>
        <w:t xml:space="preserve"> </w:t>
      </w:r>
      <w:r w:rsidR="00E75C9C">
        <w:rPr>
          <w:rFonts w:ascii="Bookman Old Style" w:hAnsi="Bookman Old Style"/>
          <w:color w:val="000000"/>
          <w:sz w:val="24"/>
          <w:szCs w:val="24"/>
        </w:rPr>
        <w:t xml:space="preserve">resolviendo acciones de protección contra las resoluciones </w:t>
      </w:r>
      <w:r w:rsidR="00BA734D">
        <w:rPr>
          <w:rFonts w:ascii="Bookman Old Style" w:hAnsi="Bookman Old Style"/>
          <w:color w:val="000000"/>
          <w:sz w:val="24"/>
          <w:szCs w:val="24"/>
        </w:rPr>
        <w:t>adjudicatarias, las</w:t>
      </w:r>
      <w:r w:rsidR="00E75C9C">
        <w:rPr>
          <w:rFonts w:ascii="Bookman Old Style" w:hAnsi="Bookman Old Style"/>
          <w:color w:val="000000"/>
          <w:sz w:val="24"/>
          <w:szCs w:val="24"/>
        </w:rPr>
        <w:t xml:space="preserve"> dej</w:t>
      </w:r>
      <w:r w:rsidR="00286996">
        <w:rPr>
          <w:rFonts w:ascii="Bookman Old Style" w:hAnsi="Bookman Old Style"/>
          <w:color w:val="000000"/>
          <w:sz w:val="24"/>
          <w:szCs w:val="24"/>
        </w:rPr>
        <w:t>ó</w:t>
      </w:r>
      <w:r w:rsidR="00E75C9C">
        <w:rPr>
          <w:rFonts w:ascii="Bookman Old Style" w:hAnsi="Bookman Old Style"/>
          <w:color w:val="000000"/>
          <w:sz w:val="24"/>
          <w:szCs w:val="24"/>
        </w:rPr>
        <w:t xml:space="preserve"> sin efecto bajo</w:t>
      </w:r>
      <w:r w:rsidR="00E57ED4">
        <w:rPr>
          <w:rFonts w:ascii="Bookman Old Style" w:hAnsi="Bookman Old Style"/>
          <w:color w:val="000000"/>
          <w:sz w:val="24"/>
          <w:szCs w:val="24"/>
        </w:rPr>
        <w:t xml:space="preserve"> el argumento </w:t>
      </w:r>
      <w:r w:rsidR="00C13D48">
        <w:rPr>
          <w:rFonts w:ascii="Bookman Old Style" w:hAnsi="Bookman Old Style"/>
          <w:color w:val="000000"/>
          <w:sz w:val="24"/>
          <w:szCs w:val="24"/>
        </w:rPr>
        <w:t xml:space="preserve">de </w:t>
      </w:r>
      <w:r w:rsidR="00E57ED4">
        <w:rPr>
          <w:rFonts w:ascii="Bookman Old Style" w:hAnsi="Bookman Old Style"/>
          <w:color w:val="000000"/>
          <w:sz w:val="24"/>
          <w:szCs w:val="24"/>
        </w:rPr>
        <w:t xml:space="preserve">que </w:t>
      </w:r>
      <w:r w:rsidR="001612B6">
        <w:rPr>
          <w:rFonts w:ascii="Bookman Old Style" w:hAnsi="Bookman Old Style"/>
          <w:color w:val="000000"/>
          <w:sz w:val="24"/>
          <w:szCs w:val="24"/>
        </w:rPr>
        <w:t>estas resoluciones</w:t>
      </w:r>
      <w:r w:rsidR="00C13D48">
        <w:rPr>
          <w:rFonts w:ascii="Bookman Old Style" w:hAnsi="Bookman Old Style"/>
          <w:color w:val="000000"/>
          <w:sz w:val="24"/>
          <w:szCs w:val="24"/>
        </w:rPr>
        <w:t>,</w:t>
      </w:r>
      <w:r w:rsidR="001612B6">
        <w:rPr>
          <w:rFonts w:ascii="Bookman Old Style" w:hAnsi="Bookman Old Style"/>
          <w:color w:val="000000"/>
          <w:sz w:val="24"/>
          <w:szCs w:val="24"/>
        </w:rPr>
        <w:t xml:space="preserve"> al no contemplar el lugar de explotación</w:t>
      </w:r>
      <w:r w:rsidR="00C13D48">
        <w:rPr>
          <w:rFonts w:ascii="Bookman Old Style" w:hAnsi="Bookman Old Style"/>
          <w:color w:val="000000"/>
          <w:sz w:val="24"/>
          <w:szCs w:val="24"/>
        </w:rPr>
        <w:t>,</w:t>
      </w:r>
      <w:r w:rsidR="001612B6">
        <w:rPr>
          <w:rFonts w:ascii="Bookman Old Style" w:hAnsi="Bookman Old Style"/>
          <w:color w:val="000000"/>
          <w:sz w:val="24"/>
          <w:szCs w:val="24"/>
        </w:rPr>
        <w:t xml:space="preserve"> </w:t>
      </w:r>
      <w:r w:rsidR="001612B6" w:rsidRPr="00465FE9">
        <w:rPr>
          <w:rFonts w:ascii="Bookman Old Style" w:hAnsi="Bookman Old Style"/>
          <w:color w:val="000000"/>
          <w:sz w:val="24"/>
          <w:szCs w:val="24"/>
        </w:rPr>
        <w:t>perjudicarían</w:t>
      </w:r>
      <w:r w:rsidRPr="00465FE9">
        <w:rPr>
          <w:rFonts w:ascii="Bookman Old Style" w:hAnsi="Bookman Old Style"/>
          <w:color w:val="000000"/>
          <w:sz w:val="24"/>
          <w:szCs w:val="24"/>
        </w:rPr>
        <w:t xml:space="preserve"> a las comunidades indígenas en cuanto a</w:t>
      </w:r>
      <w:r>
        <w:rPr>
          <w:rFonts w:ascii="Bookman Old Style" w:hAnsi="Bookman Old Style"/>
          <w:color w:val="000000"/>
          <w:sz w:val="24"/>
          <w:szCs w:val="24"/>
        </w:rPr>
        <w:t xml:space="preserve"> </w:t>
      </w:r>
      <w:r w:rsidRPr="00465FE9">
        <w:rPr>
          <w:rFonts w:ascii="Bookman Old Style" w:hAnsi="Bookman Old Style"/>
          <w:color w:val="000000"/>
          <w:sz w:val="24"/>
          <w:szCs w:val="24"/>
        </w:rPr>
        <w:t xml:space="preserve">la </w:t>
      </w:r>
      <w:r w:rsidR="001612B6" w:rsidRPr="001612B6">
        <w:rPr>
          <w:rFonts w:ascii="Bookman Old Style" w:hAnsi="Bookman Old Style"/>
          <w:b/>
          <w:bCs/>
          <w:color w:val="000000"/>
          <w:sz w:val="24"/>
          <w:szCs w:val="24"/>
          <w:u w:val="single"/>
        </w:rPr>
        <w:t>imposibilidad</w:t>
      </w:r>
      <w:r w:rsidR="001612B6" w:rsidRPr="001612B6">
        <w:rPr>
          <w:rFonts w:ascii="Bookman Old Style" w:hAnsi="Bookman Old Style"/>
          <w:b/>
          <w:bCs/>
          <w:color w:val="000000"/>
          <w:sz w:val="24"/>
          <w:szCs w:val="24"/>
        </w:rPr>
        <w:t xml:space="preserve"> eventual</w:t>
      </w:r>
      <w:r w:rsidR="001612B6">
        <w:rPr>
          <w:rFonts w:ascii="Bookman Old Style" w:hAnsi="Bookman Old Style"/>
          <w:color w:val="000000"/>
          <w:sz w:val="24"/>
          <w:szCs w:val="24"/>
        </w:rPr>
        <w:t xml:space="preserve"> </w:t>
      </w:r>
      <w:r w:rsidRPr="00465FE9">
        <w:rPr>
          <w:rFonts w:ascii="Bookman Old Style" w:hAnsi="Bookman Old Style"/>
          <w:color w:val="000000"/>
          <w:sz w:val="24"/>
          <w:szCs w:val="24"/>
        </w:rPr>
        <w:t>de que se realice el procedimiento de consulta indígena con motivo del</w:t>
      </w:r>
      <w:r>
        <w:rPr>
          <w:rFonts w:ascii="Bookman Old Style" w:hAnsi="Bookman Old Style"/>
          <w:color w:val="000000"/>
          <w:sz w:val="24"/>
          <w:szCs w:val="24"/>
        </w:rPr>
        <w:t xml:space="preserve"> </w:t>
      </w:r>
      <w:r w:rsidR="001612B6" w:rsidRPr="001612B6">
        <w:rPr>
          <w:rFonts w:ascii="Bookman Old Style" w:hAnsi="Bookman Old Style"/>
          <w:color w:val="000000"/>
          <w:sz w:val="24"/>
          <w:szCs w:val="24"/>
        </w:rPr>
        <w:t>Contratos Especiales de Operación</w:t>
      </w:r>
      <w:r w:rsidR="001612B6">
        <w:rPr>
          <w:rFonts w:ascii="Bookman Old Style" w:hAnsi="Bookman Old Style"/>
          <w:color w:val="000000"/>
          <w:sz w:val="24"/>
          <w:szCs w:val="24"/>
        </w:rPr>
        <w:t xml:space="preserve"> del Litio.</w:t>
      </w:r>
    </w:p>
    <w:p w14:paraId="65DC1F83" w14:textId="449F74EA" w:rsidR="00E57ED4" w:rsidRDefault="00E57ED4" w:rsidP="00E57ED4">
      <w:pPr>
        <w:spacing w:line="360" w:lineRule="auto"/>
        <w:ind w:right="113" w:firstLine="720"/>
        <w:jc w:val="both"/>
        <w:rPr>
          <w:rFonts w:ascii="Bookman Old Style" w:hAnsi="Bookman Old Style"/>
          <w:color w:val="000000"/>
          <w:sz w:val="24"/>
          <w:szCs w:val="24"/>
        </w:rPr>
      </w:pPr>
    </w:p>
    <w:p w14:paraId="3EFF02CE" w14:textId="692F613E" w:rsidR="00E57ED4" w:rsidRDefault="00E57ED4" w:rsidP="00E57ED4">
      <w:pPr>
        <w:spacing w:line="360" w:lineRule="auto"/>
        <w:ind w:right="113" w:firstLine="720"/>
        <w:jc w:val="both"/>
        <w:rPr>
          <w:rFonts w:ascii="Bookman Old Style" w:hAnsi="Bookman Old Style"/>
          <w:color w:val="000000"/>
          <w:sz w:val="24"/>
          <w:szCs w:val="24"/>
        </w:rPr>
      </w:pPr>
      <w:r>
        <w:rPr>
          <w:rFonts w:ascii="Bookman Old Style" w:hAnsi="Bookman Old Style"/>
          <w:color w:val="000000"/>
          <w:sz w:val="24"/>
          <w:szCs w:val="24"/>
        </w:rPr>
        <w:t>Pasemos a revisar textualmente el argumento de la Corte Suprema</w:t>
      </w:r>
      <w:r w:rsidR="0042734F">
        <w:rPr>
          <w:rFonts w:ascii="Bookman Old Style" w:hAnsi="Bookman Old Style"/>
          <w:color w:val="000000"/>
          <w:sz w:val="24"/>
          <w:szCs w:val="24"/>
        </w:rPr>
        <w:t>:</w:t>
      </w:r>
    </w:p>
    <w:p w14:paraId="0D07B398" w14:textId="77777777" w:rsidR="00E57ED4" w:rsidRDefault="00E57ED4" w:rsidP="001612B6">
      <w:pPr>
        <w:spacing w:line="360" w:lineRule="auto"/>
        <w:ind w:left="1440" w:right="113" w:firstLine="720"/>
        <w:jc w:val="both"/>
        <w:rPr>
          <w:rFonts w:ascii="Bookman Old Style" w:hAnsi="Bookman Old Style"/>
          <w:color w:val="000000"/>
          <w:sz w:val="24"/>
          <w:szCs w:val="24"/>
        </w:rPr>
      </w:pPr>
    </w:p>
    <w:p w14:paraId="35A0B593" w14:textId="7C6A627D" w:rsidR="00E57ED4" w:rsidRPr="00030D27" w:rsidRDefault="00E57ED4" w:rsidP="001612B6">
      <w:pPr>
        <w:spacing w:line="360" w:lineRule="auto"/>
        <w:ind w:left="1440" w:right="113"/>
        <w:jc w:val="both"/>
        <w:rPr>
          <w:rFonts w:ascii="Bookman Old Style" w:hAnsi="Bookman Old Style"/>
          <w:color w:val="000000"/>
          <w:sz w:val="24"/>
          <w:szCs w:val="24"/>
        </w:rPr>
      </w:pPr>
      <w:r>
        <w:rPr>
          <w:rFonts w:ascii="Bookman Old Style" w:hAnsi="Bookman Old Style"/>
          <w:color w:val="000000"/>
          <w:sz w:val="24"/>
          <w:szCs w:val="24"/>
        </w:rPr>
        <w:t>“</w:t>
      </w:r>
      <w:r w:rsidR="00CA2360" w:rsidRPr="001612B6">
        <w:rPr>
          <w:rFonts w:ascii="Bookman Old Style" w:hAnsi="Bookman Old Style"/>
          <w:i/>
          <w:iCs/>
          <w:color w:val="000000"/>
          <w:sz w:val="24"/>
          <w:szCs w:val="24"/>
        </w:rPr>
        <w:t>La mención de que los contratos serán para la exploración, explotación y beneficio de yacimientos de litio en el territorio nacional no basta, ya que su amplitud manifiesta impide a posibles interesados o afectados hacer efectivos los derechos que por ley le corresponden de manera oportuna, de manera previa, a fin de evitar afectaciones en vez de abogar por sus reparaciones. La importancia de la delimitación de territorio ha llevado a la autoridad, a través de sus diversos órganos, a ya sea definir su mención como un requisito, o bien a mencionarlo directamente en los actos que ejecuta, como se reseñó en el considerando décimo segundo de este fallo</w:t>
      </w:r>
      <w:r w:rsidR="00CA2360" w:rsidRPr="00CA2360">
        <w:rPr>
          <w:rFonts w:ascii="Bookman Old Style" w:hAnsi="Bookman Old Style"/>
          <w:color w:val="000000"/>
          <w:sz w:val="24"/>
          <w:szCs w:val="24"/>
        </w:rPr>
        <w:t>.</w:t>
      </w:r>
      <w:r w:rsidR="00CA2360">
        <w:rPr>
          <w:rFonts w:ascii="Bookman Old Style" w:hAnsi="Bookman Old Style"/>
          <w:color w:val="000000"/>
          <w:sz w:val="24"/>
          <w:szCs w:val="24"/>
        </w:rPr>
        <w:t>”</w:t>
      </w:r>
      <w:r w:rsidR="001612B6">
        <w:rPr>
          <w:rStyle w:val="Refdenotaalpie"/>
          <w:rFonts w:ascii="Bookman Old Style" w:hAnsi="Bookman Old Style"/>
          <w:color w:val="000000"/>
          <w:sz w:val="24"/>
          <w:szCs w:val="24"/>
        </w:rPr>
        <w:footnoteReference w:id="12"/>
      </w:r>
      <w:r w:rsidR="00CA2360" w:rsidRPr="00CA2360">
        <w:rPr>
          <w:rFonts w:ascii="Bookman Old Style" w:hAnsi="Bookman Old Style"/>
          <w:color w:val="000000"/>
          <w:sz w:val="24"/>
          <w:szCs w:val="24"/>
        </w:rPr>
        <w:cr/>
      </w:r>
    </w:p>
    <w:p w14:paraId="7DE0D6AE" w14:textId="54FAA6EE" w:rsidR="008C63A5" w:rsidRDefault="001612B6"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r>
        <w:rPr>
          <w:rFonts w:ascii="Bookman Old Style" w:hAnsi="Bookman Old Style"/>
          <w:b/>
          <w:bCs/>
          <w:color w:val="000000"/>
          <w:sz w:val="24"/>
          <w:szCs w:val="24"/>
        </w:rPr>
        <w:tab/>
      </w:r>
      <w:r w:rsidR="008C63A5" w:rsidRPr="008C63A5">
        <w:rPr>
          <w:rFonts w:ascii="Bookman Old Style" w:hAnsi="Bookman Old Style"/>
          <w:color w:val="000000"/>
          <w:sz w:val="24"/>
          <w:szCs w:val="24"/>
        </w:rPr>
        <w:t xml:space="preserve">Para la Corte Suprema la adjudicación de las CEOL sin nombrar los territorios donde se podría ejecutar </w:t>
      </w:r>
      <w:r w:rsidR="008C63A5">
        <w:rPr>
          <w:rFonts w:ascii="Bookman Old Style" w:hAnsi="Bookman Old Style"/>
          <w:color w:val="000000"/>
          <w:sz w:val="24"/>
          <w:szCs w:val="24"/>
        </w:rPr>
        <w:t xml:space="preserve">constituía una discriminación arbitraria contra </w:t>
      </w:r>
      <w:r w:rsidR="008C63A5" w:rsidRPr="008C63A5">
        <w:rPr>
          <w:rFonts w:ascii="Bookman Old Style" w:hAnsi="Bookman Old Style"/>
          <w:color w:val="000000"/>
          <w:sz w:val="24"/>
          <w:szCs w:val="24"/>
        </w:rPr>
        <w:t xml:space="preserve">los </w:t>
      </w:r>
      <w:r w:rsidR="00286996" w:rsidRPr="008C63A5">
        <w:rPr>
          <w:rFonts w:ascii="Bookman Old Style" w:hAnsi="Bookman Old Style"/>
          <w:color w:val="000000"/>
          <w:sz w:val="24"/>
          <w:szCs w:val="24"/>
        </w:rPr>
        <w:t xml:space="preserve">derechos </w:t>
      </w:r>
      <w:r w:rsidR="00286996">
        <w:rPr>
          <w:rFonts w:ascii="Bookman Old Style" w:hAnsi="Bookman Old Style"/>
          <w:color w:val="000000"/>
          <w:sz w:val="24"/>
          <w:szCs w:val="24"/>
        </w:rPr>
        <w:t>a</w:t>
      </w:r>
      <w:r w:rsidR="008C63A5">
        <w:rPr>
          <w:rFonts w:ascii="Bookman Old Style" w:hAnsi="Bookman Old Style"/>
          <w:color w:val="000000"/>
          <w:sz w:val="24"/>
          <w:szCs w:val="24"/>
        </w:rPr>
        <w:t xml:space="preserve"> Consulta Indígena (Convenio 182 OIT) </w:t>
      </w:r>
      <w:r w:rsidR="008C63A5" w:rsidRPr="008C63A5">
        <w:rPr>
          <w:rFonts w:ascii="Bookman Old Style" w:hAnsi="Bookman Old Style"/>
          <w:color w:val="000000"/>
          <w:sz w:val="24"/>
          <w:szCs w:val="24"/>
        </w:rPr>
        <w:t>de</w:t>
      </w:r>
      <w:r w:rsidR="008C63A5">
        <w:rPr>
          <w:rFonts w:ascii="Bookman Old Style" w:hAnsi="Bookman Old Style"/>
          <w:color w:val="000000"/>
          <w:sz w:val="24"/>
          <w:szCs w:val="24"/>
        </w:rPr>
        <w:t xml:space="preserve"> la </w:t>
      </w:r>
      <w:r w:rsidR="008C63A5" w:rsidRPr="008C63A5">
        <w:rPr>
          <w:rFonts w:ascii="Bookman Old Style" w:hAnsi="Bookman Old Style"/>
          <w:color w:val="000000"/>
          <w:sz w:val="24"/>
          <w:szCs w:val="24"/>
        </w:rPr>
        <w:t>Comunidad Indígena Atacameña de Camar</w:t>
      </w:r>
      <w:r w:rsidR="008C63A5">
        <w:rPr>
          <w:rFonts w:ascii="Bookman Old Style" w:hAnsi="Bookman Old Style"/>
          <w:color w:val="000000"/>
          <w:sz w:val="24"/>
          <w:szCs w:val="24"/>
        </w:rPr>
        <w:t xml:space="preserve"> y </w:t>
      </w:r>
      <w:r w:rsidR="008C63A5" w:rsidRPr="008C63A5">
        <w:rPr>
          <w:rFonts w:ascii="Bookman Old Style" w:hAnsi="Bookman Old Style"/>
          <w:color w:val="000000"/>
          <w:sz w:val="24"/>
          <w:szCs w:val="24"/>
        </w:rPr>
        <w:t>Comunidad Atacameña</w:t>
      </w:r>
      <w:r w:rsidR="008C63A5">
        <w:rPr>
          <w:rFonts w:ascii="Bookman Old Style" w:hAnsi="Bookman Old Style"/>
          <w:color w:val="000000"/>
          <w:sz w:val="24"/>
          <w:szCs w:val="24"/>
        </w:rPr>
        <w:t xml:space="preserve"> </w:t>
      </w:r>
      <w:r w:rsidR="008C63A5" w:rsidRPr="008C63A5">
        <w:rPr>
          <w:rFonts w:ascii="Bookman Old Style" w:hAnsi="Bookman Old Style"/>
          <w:color w:val="000000"/>
          <w:sz w:val="24"/>
          <w:szCs w:val="24"/>
        </w:rPr>
        <w:t>de Coyo</w:t>
      </w:r>
      <w:r w:rsidR="008C63A5">
        <w:rPr>
          <w:rFonts w:ascii="Bookman Old Style" w:hAnsi="Bookman Old Style"/>
          <w:color w:val="000000"/>
          <w:sz w:val="24"/>
          <w:szCs w:val="24"/>
        </w:rPr>
        <w:t xml:space="preserve">. Menudo ejercicio de ficción jurídica, contra norma expresa constitucional que señala que la perturbación de la garantía debe ser actual y efectiva. ¿Cómo sabía la Corte Suprema que la explotación iba a ser en el Salar de Atacama y no en el Salar de Maricunga, por </w:t>
      </w:r>
      <w:r w:rsidR="00286996">
        <w:rPr>
          <w:rFonts w:ascii="Bookman Old Style" w:hAnsi="Bookman Old Style"/>
          <w:color w:val="000000"/>
          <w:sz w:val="24"/>
          <w:szCs w:val="24"/>
        </w:rPr>
        <w:t>ejemplo</w:t>
      </w:r>
      <w:r w:rsidR="008C63A5">
        <w:rPr>
          <w:rFonts w:ascii="Bookman Old Style" w:hAnsi="Bookman Old Style"/>
          <w:color w:val="000000"/>
          <w:sz w:val="24"/>
          <w:szCs w:val="24"/>
        </w:rPr>
        <w:t>?</w:t>
      </w:r>
    </w:p>
    <w:p w14:paraId="21E49843" w14:textId="59B1F464" w:rsidR="0042734F" w:rsidRDefault="0042734F"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r>
        <w:rPr>
          <w:rFonts w:ascii="Bookman Old Style" w:hAnsi="Bookman Old Style"/>
          <w:color w:val="000000"/>
          <w:sz w:val="24"/>
          <w:szCs w:val="24"/>
        </w:rPr>
        <w:tab/>
      </w:r>
    </w:p>
    <w:p w14:paraId="5DEA3325" w14:textId="7B59D9D9" w:rsidR="005772A1" w:rsidRDefault="0042734F" w:rsidP="007F408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r>
        <w:rPr>
          <w:rFonts w:ascii="Bookman Old Style" w:hAnsi="Bookman Old Style"/>
          <w:color w:val="000000"/>
          <w:sz w:val="24"/>
          <w:szCs w:val="24"/>
        </w:rPr>
        <w:tab/>
      </w:r>
      <w:r w:rsidR="001612B6" w:rsidRPr="008C63A5">
        <w:rPr>
          <w:rFonts w:ascii="Bookman Old Style" w:hAnsi="Bookman Old Style"/>
          <w:color w:val="000000"/>
          <w:sz w:val="24"/>
          <w:szCs w:val="24"/>
        </w:rPr>
        <w:t xml:space="preserve">Por </w:t>
      </w:r>
      <w:r w:rsidR="00017CC0" w:rsidRPr="008C63A5">
        <w:rPr>
          <w:rFonts w:ascii="Bookman Old Style" w:hAnsi="Bookman Old Style"/>
          <w:color w:val="000000"/>
          <w:sz w:val="24"/>
          <w:szCs w:val="24"/>
        </w:rPr>
        <w:t>último,</w:t>
      </w:r>
      <w:r w:rsidR="001612B6" w:rsidRPr="008C63A5">
        <w:rPr>
          <w:rFonts w:ascii="Bookman Old Style" w:hAnsi="Bookman Old Style"/>
          <w:color w:val="000000"/>
          <w:sz w:val="24"/>
          <w:szCs w:val="24"/>
        </w:rPr>
        <w:t xml:space="preserve"> existe un </w:t>
      </w:r>
      <w:r w:rsidR="00A127B0">
        <w:rPr>
          <w:rFonts w:ascii="Bookman Old Style" w:hAnsi="Bookman Old Style"/>
          <w:color w:val="000000"/>
          <w:sz w:val="24"/>
          <w:szCs w:val="24"/>
        </w:rPr>
        <w:t xml:space="preserve">CEOL </w:t>
      </w:r>
      <w:r w:rsidR="001612B6" w:rsidRPr="008C63A5">
        <w:rPr>
          <w:rFonts w:ascii="Bookman Old Style" w:hAnsi="Bookman Old Style"/>
          <w:color w:val="000000"/>
          <w:sz w:val="24"/>
          <w:szCs w:val="24"/>
        </w:rPr>
        <w:t>del Fisco con una empresa del Estado, Salar de Maricunga SpA, filial de Codelco</w:t>
      </w:r>
      <w:r w:rsidR="008C63A5">
        <w:rPr>
          <w:rFonts w:ascii="Bookman Old Style" w:hAnsi="Bookman Old Style"/>
          <w:color w:val="000000"/>
          <w:sz w:val="24"/>
          <w:szCs w:val="24"/>
        </w:rPr>
        <w:t>, verificado el año</w:t>
      </w:r>
      <w:r w:rsidR="00426104">
        <w:rPr>
          <w:rFonts w:ascii="Bookman Old Style" w:hAnsi="Bookman Old Style"/>
          <w:color w:val="000000"/>
          <w:sz w:val="24"/>
          <w:szCs w:val="24"/>
        </w:rPr>
        <w:t xml:space="preserve"> 2019 y cuyo cronograma dispone como plazo máximo para iniciar la producción el año 2033 (14,5 años)</w:t>
      </w:r>
      <w:r w:rsidR="007F4080">
        <w:rPr>
          <w:rStyle w:val="Refdenotaalpie"/>
          <w:rFonts w:ascii="Bookman Old Style" w:hAnsi="Bookman Old Style"/>
          <w:color w:val="000000"/>
          <w:sz w:val="24"/>
          <w:szCs w:val="24"/>
        </w:rPr>
        <w:footnoteReference w:id="13"/>
      </w:r>
      <w:r w:rsidR="00426104">
        <w:rPr>
          <w:rFonts w:ascii="Bookman Old Style" w:hAnsi="Bookman Old Style"/>
          <w:color w:val="000000"/>
          <w:sz w:val="24"/>
          <w:szCs w:val="24"/>
        </w:rPr>
        <w:t>.</w:t>
      </w:r>
    </w:p>
    <w:p w14:paraId="56415F61" w14:textId="77777777" w:rsidR="00426104" w:rsidRDefault="00426104"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p>
    <w:p w14:paraId="0322999A" w14:textId="619F0916" w:rsidR="00BC3C13" w:rsidRDefault="00426104"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r>
        <w:rPr>
          <w:rFonts w:ascii="Bookman Old Style" w:hAnsi="Bookman Old Style"/>
          <w:color w:val="000000"/>
          <w:sz w:val="24"/>
          <w:szCs w:val="24"/>
        </w:rPr>
        <w:tab/>
        <w:t xml:space="preserve">La suma de lo relatado es que </w:t>
      </w:r>
      <w:r w:rsidR="007F4080">
        <w:rPr>
          <w:rFonts w:ascii="Bookman Old Style" w:hAnsi="Bookman Old Style"/>
          <w:color w:val="000000"/>
          <w:sz w:val="24"/>
          <w:szCs w:val="24"/>
        </w:rPr>
        <w:t>una legislación deficiente y la</w:t>
      </w:r>
      <w:r w:rsidR="00017CC0">
        <w:rPr>
          <w:rFonts w:ascii="Bookman Old Style" w:hAnsi="Bookman Old Style"/>
          <w:color w:val="000000"/>
          <w:sz w:val="24"/>
          <w:szCs w:val="24"/>
        </w:rPr>
        <w:t xml:space="preserve"> práctica administrativa</w:t>
      </w:r>
      <w:r>
        <w:rPr>
          <w:rFonts w:ascii="Bookman Old Style" w:hAnsi="Bookman Old Style"/>
          <w:color w:val="000000"/>
          <w:sz w:val="24"/>
          <w:szCs w:val="24"/>
        </w:rPr>
        <w:t xml:space="preserve"> que regula la explotación del litio no ha concebido ninguna explotación estos 44 años </w:t>
      </w:r>
      <w:r w:rsidR="00BC3C13">
        <w:rPr>
          <w:rFonts w:ascii="Bookman Old Style" w:hAnsi="Bookman Old Style"/>
          <w:color w:val="000000"/>
          <w:sz w:val="24"/>
          <w:szCs w:val="24"/>
        </w:rPr>
        <w:t>fuera de las concesiones otorgadas antes del año 1977, las que hoy explotan SQM y ALBEMARLE</w:t>
      </w:r>
      <w:r w:rsidR="00F525AA">
        <w:rPr>
          <w:rFonts w:ascii="Bookman Old Style" w:hAnsi="Bookman Old Style"/>
          <w:color w:val="000000"/>
          <w:sz w:val="24"/>
          <w:szCs w:val="24"/>
        </w:rPr>
        <w:t>. Estas</w:t>
      </w:r>
      <w:r w:rsidR="00017CC0">
        <w:rPr>
          <w:rFonts w:ascii="Bookman Old Style" w:hAnsi="Bookman Old Style"/>
          <w:color w:val="000000"/>
          <w:sz w:val="24"/>
          <w:szCs w:val="24"/>
        </w:rPr>
        <w:t xml:space="preserve"> </w:t>
      </w:r>
      <w:r w:rsidR="00F525AA">
        <w:rPr>
          <w:rFonts w:ascii="Bookman Old Style" w:hAnsi="Bookman Old Style"/>
          <w:color w:val="000000"/>
          <w:sz w:val="24"/>
          <w:szCs w:val="24"/>
        </w:rPr>
        <w:t xml:space="preserve">faenas </w:t>
      </w:r>
      <w:r w:rsidR="00017CC0">
        <w:rPr>
          <w:rFonts w:ascii="Bookman Old Style" w:hAnsi="Bookman Old Style"/>
          <w:color w:val="000000"/>
          <w:sz w:val="24"/>
          <w:szCs w:val="24"/>
        </w:rPr>
        <w:t>se amparan en la legislación minera universal de Chile, que</w:t>
      </w:r>
      <w:r w:rsidR="00F525AA">
        <w:rPr>
          <w:rFonts w:ascii="Bookman Old Style" w:hAnsi="Bookman Old Style"/>
          <w:color w:val="000000"/>
          <w:sz w:val="24"/>
          <w:szCs w:val="24"/>
        </w:rPr>
        <w:t xml:space="preserve"> consigna que</w:t>
      </w:r>
      <w:r w:rsidR="00017CC0">
        <w:rPr>
          <w:rFonts w:ascii="Bookman Old Style" w:hAnsi="Bookman Old Style"/>
          <w:color w:val="000000"/>
          <w:sz w:val="24"/>
          <w:szCs w:val="24"/>
        </w:rPr>
        <w:t xml:space="preserve"> los Minerales son propiedad del Estado y que su explotación y exploración se lleva a cabo mediante concesiones otorgada por el juez, sea a personas jurídicas  de derecho privado (personas naturales o empresas) como de derecho público (empresas del Estado)</w:t>
      </w:r>
      <w:r w:rsidR="00FE19BB">
        <w:rPr>
          <w:rFonts w:ascii="Bookman Old Style" w:hAnsi="Bookman Old Style"/>
          <w:color w:val="000000"/>
          <w:sz w:val="24"/>
          <w:szCs w:val="24"/>
        </w:rPr>
        <w:t>. En este caso SQM y ALBEMARLE explota y arrienda concesiones mineras que son de propiedad de CORFO</w:t>
      </w:r>
      <w:r w:rsidR="00720AFD">
        <w:rPr>
          <w:rFonts w:ascii="Bookman Old Style" w:hAnsi="Bookman Old Style"/>
          <w:color w:val="000000"/>
          <w:sz w:val="24"/>
          <w:szCs w:val="24"/>
        </w:rPr>
        <w:t>, persona jurídica de derecho público</w:t>
      </w:r>
      <w:r w:rsidR="00FE19BB">
        <w:rPr>
          <w:rFonts w:ascii="Bookman Old Style" w:hAnsi="Bookman Old Style"/>
          <w:color w:val="000000"/>
          <w:sz w:val="24"/>
          <w:szCs w:val="24"/>
        </w:rPr>
        <w:t>.</w:t>
      </w:r>
    </w:p>
    <w:p w14:paraId="7C8EAFAD" w14:textId="77777777" w:rsidR="00017CC0" w:rsidRDefault="00017CC0"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p>
    <w:p w14:paraId="6E4CB256" w14:textId="6EBB549A" w:rsidR="00BC3C13" w:rsidRDefault="00BC3C13"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r>
        <w:rPr>
          <w:rFonts w:ascii="Bookman Old Style" w:hAnsi="Bookman Old Style"/>
          <w:color w:val="000000"/>
          <w:sz w:val="24"/>
          <w:szCs w:val="24"/>
        </w:rPr>
        <w:tab/>
        <w:t xml:space="preserve">En adición, como </w:t>
      </w:r>
      <w:r w:rsidR="00A127B0">
        <w:rPr>
          <w:rFonts w:ascii="Bookman Old Style" w:hAnsi="Bookman Old Style"/>
          <w:color w:val="000000"/>
          <w:sz w:val="24"/>
          <w:szCs w:val="24"/>
        </w:rPr>
        <w:t>corolario</w:t>
      </w:r>
      <w:r>
        <w:rPr>
          <w:rFonts w:ascii="Bookman Old Style" w:hAnsi="Bookman Old Style"/>
          <w:color w:val="000000"/>
          <w:sz w:val="24"/>
          <w:szCs w:val="24"/>
        </w:rPr>
        <w:t xml:space="preserve">, </w:t>
      </w:r>
      <w:r w:rsidR="00FE19BB">
        <w:rPr>
          <w:rFonts w:ascii="Bookman Old Style" w:hAnsi="Bookman Old Style"/>
          <w:color w:val="000000"/>
          <w:sz w:val="24"/>
          <w:szCs w:val="24"/>
        </w:rPr>
        <w:t xml:space="preserve">al día de </w:t>
      </w:r>
      <w:r w:rsidR="00F172EF">
        <w:rPr>
          <w:rFonts w:ascii="Bookman Old Style" w:hAnsi="Bookman Old Style"/>
          <w:color w:val="000000"/>
          <w:sz w:val="24"/>
          <w:szCs w:val="24"/>
        </w:rPr>
        <w:t xml:space="preserve">hoy sabemos que la demanda de litio para aplicaciones nucleares </w:t>
      </w:r>
      <w:r w:rsidR="00FE19BB">
        <w:rPr>
          <w:rFonts w:ascii="Bookman Old Style" w:hAnsi="Bookman Old Style"/>
          <w:color w:val="000000"/>
          <w:sz w:val="24"/>
          <w:szCs w:val="24"/>
        </w:rPr>
        <w:t>no reviste volúmenes</w:t>
      </w:r>
      <w:r w:rsidR="00F172EF">
        <w:rPr>
          <w:rFonts w:ascii="Bookman Old Style" w:hAnsi="Bookman Old Style"/>
          <w:color w:val="000000"/>
          <w:sz w:val="24"/>
          <w:szCs w:val="24"/>
        </w:rPr>
        <w:t xml:space="preserve"> ni siquiera remotamente comparables a los del mercado de baterías. El fundamento de la excepción formulada en 1979 ha sido superado muy, muy largamente por los usos eléctricos</w:t>
      </w:r>
      <w:r>
        <w:rPr>
          <w:rFonts w:ascii="Bookman Old Style" w:hAnsi="Bookman Old Style"/>
          <w:color w:val="000000"/>
          <w:sz w:val="24"/>
          <w:szCs w:val="24"/>
        </w:rPr>
        <w:t>:</w:t>
      </w:r>
    </w:p>
    <w:p w14:paraId="08418AC3" w14:textId="77777777" w:rsidR="00BC3C13" w:rsidRDefault="00BC3C13" w:rsidP="008C63A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13"/>
        <w:jc w:val="both"/>
        <w:rPr>
          <w:rFonts w:ascii="Bookman Old Style" w:hAnsi="Bookman Old Style"/>
          <w:color w:val="000000"/>
          <w:sz w:val="24"/>
          <w:szCs w:val="24"/>
        </w:rPr>
      </w:pPr>
    </w:p>
    <w:p w14:paraId="71E1383D" w14:textId="381E212E" w:rsidR="00BC3C13" w:rsidRPr="00BC3C13" w:rsidRDefault="00BC3C13" w:rsidP="00BC3C1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ight="113"/>
        <w:jc w:val="both"/>
        <w:rPr>
          <w:rFonts w:ascii="Bookman Old Style" w:hAnsi="Bookman Old Style"/>
          <w:i/>
          <w:iCs/>
          <w:color w:val="000000"/>
          <w:sz w:val="24"/>
          <w:szCs w:val="24"/>
        </w:rPr>
      </w:pPr>
      <w:r>
        <w:rPr>
          <w:rFonts w:ascii="Bookman Old Style" w:hAnsi="Bookman Old Style"/>
          <w:color w:val="000000"/>
          <w:sz w:val="24"/>
          <w:szCs w:val="24"/>
        </w:rPr>
        <w:t>“</w:t>
      </w:r>
      <w:r w:rsidRPr="00BC3C13">
        <w:rPr>
          <w:rFonts w:ascii="Bookman Old Style" w:hAnsi="Bookman Old Style"/>
          <w:i/>
          <w:iCs/>
          <w:color w:val="000000"/>
          <w:sz w:val="24"/>
          <w:szCs w:val="24"/>
        </w:rPr>
        <w:t>Transcurridos 44 años, han pasado dos cosas. Primero, las aplicaciones nucleares del litio demostraron más allá de toda duda no justificar tales restricciones. Para satisfacer un inimaginable 100% de la demanda eléctrica mundial con fusión se requerirían apenas 18 mil toneladas anuales, apenas una fracción de lo que hoy se transa libre y alegremente en el mercado de baterías.</w:t>
      </w:r>
      <w:r>
        <w:rPr>
          <w:rFonts w:ascii="Bookman Old Style" w:hAnsi="Bookman Old Style"/>
          <w:i/>
          <w:iCs/>
          <w:color w:val="000000"/>
          <w:sz w:val="24"/>
          <w:szCs w:val="24"/>
        </w:rPr>
        <w:t>”</w:t>
      </w:r>
      <w:r w:rsidR="007F4080">
        <w:rPr>
          <w:rStyle w:val="Refdenotaalpie"/>
          <w:rFonts w:ascii="Bookman Old Style" w:hAnsi="Bookman Old Style"/>
          <w:i/>
          <w:iCs/>
          <w:color w:val="000000"/>
          <w:sz w:val="24"/>
          <w:szCs w:val="24"/>
        </w:rPr>
        <w:footnoteReference w:id="14"/>
      </w:r>
    </w:p>
    <w:p w14:paraId="3D331A11" w14:textId="77777777" w:rsidR="00286996" w:rsidRDefault="00286996"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06AB5AC0" w14:textId="604C3C15" w:rsidR="005772A1" w:rsidRDefault="00286996"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t xml:space="preserve">Por lo ya visto, es urgente </w:t>
      </w:r>
      <w:r w:rsidR="00A127B0">
        <w:rPr>
          <w:rFonts w:ascii="Bookman Old Style" w:hAnsi="Bookman Old Style"/>
          <w:color w:val="000000"/>
          <w:sz w:val="24"/>
          <w:szCs w:val="24"/>
        </w:rPr>
        <w:t>actualizar</w:t>
      </w:r>
      <w:r>
        <w:rPr>
          <w:rFonts w:ascii="Bookman Old Style" w:hAnsi="Bookman Old Style"/>
          <w:color w:val="000000"/>
          <w:sz w:val="24"/>
          <w:szCs w:val="24"/>
        </w:rPr>
        <w:t xml:space="preserve"> el régimen de explotación del litio a una legislación justa y clara, siguiendo el consejo que ya en la antigüedad clásica daban Platón y Aristóteles, recomendando el gobierno de la ley por sobre la</w:t>
      </w:r>
      <w:r w:rsidR="00F172EF">
        <w:rPr>
          <w:rFonts w:ascii="Bookman Old Style" w:hAnsi="Bookman Old Style"/>
          <w:color w:val="000000"/>
          <w:sz w:val="24"/>
          <w:szCs w:val="24"/>
        </w:rPr>
        <w:t>s</w:t>
      </w:r>
      <w:r>
        <w:rPr>
          <w:rFonts w:ascii="Bookman Old Style" w:hAnsi="Bookman Old Style"/>
          <w:color w:val="000000"/>
          <w:sz w:val="24"/>
          <w:szCs w:val="24"/>
        </w:rPr>
        <w:t xml:space="preserve"> decisiones de los hombres:</w:t>
      </w:r>
    </w:p>
    <w:p w14:paraId="5F36E346" w14:textId="77777777" w:rsidR="00286996" w:rsidRDefault="00286996" w:rsidP="005772A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10AEE1C6" w14:textId="6DF2180C" w:rsidR="00286996" w:rsidRDefault="00286996" w:rsidP="002869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Bookman Old Style" w:hAnsi="Bookman Old Style"/>
          <w:i/>
          <w:iCs/>
          <w:color w:val="000000"/>
          <w:sz w:val="24"/>
          <w:szCs w:val="24"/>
        </w:rPr>
      </w:pPr>
      <w:r>
        <w:rPr>
          <w:rFonts w:ascii="Bookman Old Style" w:hAnsi="Bookman Old Style"/>
          <w:color w:val="000000"/>
          <w:sz w:val="24"/>
          <w:szCs w:val="24"/>
        </w:rPr>
        <w:t>“</w:t>
      </w:r>
      <w:r>
        <w:rPr>
          <w:rFonts w:ascii="Bookman Old Style" w:hAnsi="Bookman Old Style"/>
          <w:i/>
          <w:iCs/>
          <w:color w:val="000000"/>
          <w:sz w:val="24"/>
          <w:szCs w:val="24"/>
        </w:rPr>
        <w:t>H</w:t>
      </w:r>
      <w:r w:rsidRPr="00286996">
        <w:rPr>
          <w:rFonts w:ascii="Bookman Old Style" w:hAnsi="Bookman Old Style"/>
          <w:i/>
          <w:iCs/>
          <w:color w:val="000000"/>
          <w:sz w:val="24"/>
          <w:szCs w:val="24"/>
        </w:rPr>
        <w:t>e llamado aquí servidores de las leyes a aquellos que generalmente se llaman gobernantes, no porque sea amante de nuevas denominaciones, sino porque considero que de esta cualidad depende sobre todo la salvación o la ruina de la ciudad. En efecto, allá donde la ley está sometida a los gobernantes y carece de autoridad, veo pronto la ruina de la ciudad; y donde, por el contrario, la ley es señora de los gobernantes y los gobernantes son sus esclavos, veo la salvación de la ciudad y la acumulación sobre ella de todos</w:t>
      </w:r>
      <w:r>
        <w:rPr>
          <w:rFonts w:ascii="Bookman Old Style" w:hAnsi="Bookman Old Style"/>
          <w:i/>
          <w:iCs/>
          <w:color w:val="000000"/>
          <w:sz w:val="24"/>
          <w:szCs w:val="24"/>
        </w:rPr>
        <w:t xml:space="preserve"> </w:t>
      </w:r>
      <w:r w:rsidRPr="00286996">
        <w:rPr>
          <w:rFonts w:ascii="Bookman Old Style" w:hAnsi="Bookman Old Style"/>
          <w:i/>
          <w:iCs/>
          <w:color w:val="000000"/>
          <w:sz w:val="24"/>
          <w:szCs w:val="24"/>
        </w:rPr>
        <w:t>los bienes que los dioses suelen prodigar a las ciudades. (</w:t>
      </w:r>
      <w:r>
        <w:rPr>
          <w:rFonts w:ascii="Bookman Old Style" w:hAnsi="Bookman Old Style"/>
          <w:i/>
          <w:iCs/>
          <w:color w:val="000000"/>
          <w:sz w:val="24"/>
          <w:szCs w:val="24"/>
        </w:rPr>
        <w:t xml:space="preserve">Platón, </w:t>
      </w:r>
      <w:r w:rsidRPr="00286996">
        <w:rPr>
          <w:rFonts w:ascii="Bookman Old Style" w:hAnsi="Bookman Old Style"/>
          <w:i/>
          <w:iCs/>
          <w:color w:val="000000"/>
          <w:sz w:val="24"/>
          <w:szCs w:val="24"/>
        </w:rPr>
        <w:t>Leyes, 715 d.)</w:t>
      </w:r>
    </w:p>
    <w:p w14:paraId="7CC04198" w14:textId="77777777" w:rsidR="00A127B0" w:rsidRDefault="00A127B0" w:rsidP="002869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Bookman Old Style" w:hAnsi="Bookman Old Style"/>
          <w:i/>
          <w:iCs/>
          <w:color w:val="000000"/>
          <w:sz w:val="24"/>
          <w:szCs w:val="24"/>
        </w:rPr>
      </w:pPr>
    </w:p>
    <w:p w14:paraId="6C87BA3C" w14:textId="4E74F232" w:rsidR="00EA07D9" w:rsidRDefault="00A127B0" w:rsidP="00A127B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Bookman Old Style" w:hAnsi="Bookman Old Style"/>
          <w:i/>
          <w:iCs/>
          <w:color w:val="000000"/>
          <w:sz w:val="24"/>
          <w:szCs w:val="24"/>
        </w:rPr>
      </w:pPr>
      <w:r>
        <w:rPr>
          <w:rFonts w:ascii="Bookman Old Style" w:hAnsi="Bookman Old Style"/>
          <w:i/>
          <w:iCs/>
          <w:color w:val="000000"/>
          <w:sz w:val="24"/>
          <w:szCs w:val="24"/>
        </w:rPr>
        <w:t>“</w:t>
      </w:r>
      <w:r w:rsidRPr="00A127B0">
        <w:rPr>
          <w:rFonts w:ascii="Bookman Old Style" w:hAnsi="Bookman Old Style"/>
          <w:i/>
          <w:iCs/>
          <w:color w:val="000000"/>
          <w:sz w:val="24"/>
          <w:szCs w:val="24"/>
        </w:rPr>
        <w:t>¿es más útil ser gobernados por el mejor de los hombres o</w:t>
      </w:r>
      <w:r>
        <w:rPr>
          <w:rFonts w:ascii="Bookman Old Style" w:hAnsi="Bookman Old Style"/>
          <w:i/>
          <w:iCs/>
          <w:color w:val="000000"/>
          <w:sz w:val="24"/>
          <w:szCs w:val="24"/>
        </w:rPr>
        <w:t xml:space="preserve"> </w:t>
      </w:r>
      <w:r w:rsidRPr="00A127B0">
        <w:rPr>
          <w:rFonts w:ascii="Bookman Old Style" w:hAnsi="Bookman Old Style"/>
          <w:i/>
          <w:iCs/>
          <w:color w:val="000000"/>
          <w:sz w:val="24"/>
          <w:szCs w:val="24"/>
        </w:rPr>
        <w:t>por las mejores leyes? Aquellos que sostienen el poder real</w:t>
      </w:r>
      <w:r>
        <w:rPr>
          <w:rFonts w:ascii="Bookman Old Style" w:hAnsi="Bookman Old Style"/>
          <w:i/>
          <w:iCs/>
          <w:color w:val="000000"/>
          <w:sz w:val="24"/>
          <w:szCs w:val="24"/>
        </w:rPr>
        <w:t xml:space="preserve"> </w:t>
      </w:r>
      <w:r w:rsidRPr="00A127B0">
        <w:rPr>
          <w:rFonts w:ascii="Bookman Old Style" w:hAnsi="Bookman Old Style"/>
          <w:i/>
          <w:iCs/>
          <w:color w:val="000000"/>
          <w:sz w:val="24"/>
          <w:szCs w:val="24"/>
        </w:rPr>
        <w:t>afirman que las leyes pueden dar sólo prescripciones generales, pero no prevén los casos que se presentan sucesivamente, por lo que, en cualquier arte, sería ingenuo guiarse</w:t>
      </w:r>
      <w:r>
        <w:rPr>
          <w:rFonts w:ascii="Bookman Old Style" w:hAnsi="Bookman Old Style"/>
          <w:i/>
          <w:iCs/>
          <w:color w:val="000000"/>
          <w:sz w:val="24"/>
          <w:szCs w:val="24"/>
        </w:rPr>
        <w:t xml:space="preserve"> </w:t>
      </w:r>
      <w:r w:rsidRPr="00A127B0">
        <w:rPr>
          <w:rFonts w:ascii="Bookman Old Style" w:hAnsi="Bookman Old Style"/>
          <w:i/>
          <w:iCs/>
          <w:color w:val="000000"/>
          <w:sz w:val="24"/>
          <w:szCs w:val="24"/>
        </w:rPr>
        <w:t>según normas escritas... Sin embargo, también a los gobernantes les es necesaria la ley que da prescripciones universales, porque es mejor el elemento al que no es posible</w:t>
      </w:r>
      <w:r>
        <w:rPr>
          <w:rFonts w:ascii="Bookman Old Style" w:hAnsi="Bookman Old Style"/>
          <w:i/>
          <w:iCs/>
          <w:color w:val="000000"/>
          <w:sz w:val="24"/>
          <w:szCs w:val="24"/>
        </w:rPr>
        <w:t xml:space="preserve"> </w:t>
      </w:r>
      <w:r w:rsidRPr="00A127B0">
        <w:rPr>
          <w:rFonts w:ascii="Bookman Old Style" w:hAnsi="Bookman Old Style"/>
          <w:i/>
          <w:iCs/>
          <w:color w:val="000000"/>
          <w:sz w:val="24"/>
          <w:szCs w:val="24"/>
        </w:rPr>
        <w:t>quedar sometido por las pasiones, que aquel para el que</w:t>
      </w:r>
      <w:r>
        <w:rPr>
          <w:rFonts w:ascii="Bookman Old Style" w:hAnsi="Bookman Old Style"/>
          <w:i/>
          <w:iCs/>
          <w:color w:val="000000"/>
          <w:sz w:val="24"/>
          <w:szCs w:val="24"/>
        </w:rPr>
        <w:t xml:space="preserve"> </w:t>
      </w:r>
      <w:r w:rsidRPr="00A127B0">
        <w:rPr>
          <w:rFonts w:ascii="Bookman Old Style" w:hAnsi="Bookman Old Style"/>
          <w:i/>
          <w:iCs/>
          <w:color w:val="000000"/>
          <w:sz w:val="24"/>
          <w:szCs w:val="24"/>
        </w:rPr>
        <w:t>las pasiones son connaturales. Ahora bien, la ley no tiene</w:t>
      </w:r>
      <w:r>
        <w:rPr>
          <w:rFonts w:ascii="Bookman Old Style" w:hAnsi="Bookman Old Style"/>
          <w:i/>
          <w:iCs/>
          <w:color w:val="000000"/>
          <w:sz w:val="24"/>
          <w:szCs w:val="24"/>
        </w:rPr>
        <w:t xml:space="preserve"> </w:t>
      </w:r>
      <w:r w:rsidRPr="00A127B0">
        <w:rPr>
          <w:rFonts w:ascii="Bookman Old Style" w:hAnsi="Bookman Old Style"/>
          <w:i/>
          <w:iCs/>
          <w:color w:val="000000"/>
          <w:sz w:val="24"/>
          <w:szCs w:val="24"/>
        </w:rPr>
        <w:t>pasiones, que, por el contrario, se encuentran necesariamente en toda alma humana. (</w:t>
      </w:r>
      <w:r>
        <w:rPr>
          <w:rFonts w:ascii="Bookman Old Style" w:hAnsi="Bookman Old Style"/>
          <w:i/>
          <w:iCs/>
          <w:color w:val="000000"/>
          <w:sz w:val="24"/>
          <w:szCs w:val="24"/>
        </w:rPr>
        <w:t xml:space="preserve"> Aristóteles, </w:t>
      </w:r>
      <w:r w:rsidRPr="00A127B0">
        <w:rPr>
          <w:rFonts w:ascii="Bookman Old Style" w:hAnsi="Bookman Old Style"/>
          <w:i/>
          <w:iCs/>
          <w:color w:val="000000"/>
          <w:sz w:val="24"/>
          <w:szCs w:val="24"/>
        </w:rPr>
        <w:t>Política, 1286 a.)</w:t>
      </w:r>
    </w:p>
    <w:p w14:paraId="75E5C78F" w14:textId="77777777" w:rsidR="00A127B0" w:rsidRPr="00A127B0" w:rsidRDefault="00A127B0" w:rsidP="00A127B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Bookman Old Style" w:hAnsi="Bookman Old Style"/>
          <w:b/>
          <w:bCs/>
          <w:i/>
          <w:iCs/>
          <w:color w:val="000000"/>
          <w:sz w:val="24"/>
          <w:szCs w:val="24"/>
        </w:rPr>
      </w:pPr>
    </w:p>
    <w:p w14:paraId="538011A9" w14:textId="77777777"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rPr>
      </w:pPr>
      <w:r w:rsidRPr="00322AC2">
        <w:rPr>
          <w:rFonts w:ascii="Bookman Old Style" w:hAnsi="Bookman Old Style"/>
          <w:color w:val="000000"/>
          <w:sz w:val="24"/>
          <w:szCs w:val="24"/>
        </w:rPr>
        <w:t>IDEA MATRIZ</w:t>
      </w:r>
    </w:p>
    <w:p w14:paraId="73325BF4" w14:textId="77777777"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p>
    <w:p w14:paraId="0766F3C3" w14:textId="03D2FB3F"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sidRPr="00322AC2">
        <w:rPr>
          <w:rFonts w:ascii="Bookman Old Style" w:hAnsi="Bookman Old Style"/>
          <w:color w:val="000000"/>
          <w:sz w:val="24"/>
          <w:szCs w:val="24"/>
        </w:rPr>
        <w:tab/>
        <w:t xml:space="preserve">La presente iniciativa </w:t>
      </w:r>
      <w:r w:rsidR="007F4080">
        <w:rPr>
          <w:rFonts w:ascii="Bookman Old Style" w:hAnsi="Bookman Old Style"/>
          <w:color w:val="000000"/>
          <w:sz w:val="24"/>
          <w:szCs w:val="24"/>
        </w:rPr>
        <w:t xml:space="preserve">busca situar el régimen jurídico de explotación del litio dentro de la legislación común minera: como un bien de propiedad del Estado cuya explotación y exploración se concede a terceros </w:t>
      </w:r>
      <w:r w:rsidR="00F172EF" w:rsidRPr="002F057D">
        <w:t>—</w:t>
      </w:r>
      <w:r w:rsidR="007F4080">
        <w:rPr>
          <w:rFonts w:ascii="Bookman Old Style" w:hAnsi="Bookman Old Style"/>
          <w:color w:val="000000"/>
          <w:sz w:val="24"/>
          <w:szCs w:val="24"/>
        </w:rPr>
        <w:t>sean estatales o privados</w:t>
      </w:r>
      <w:r w:rsidR="00F172EF" w:rsidRPr="002F057D">
        <w:t>—</w:t>
      </w:r>
      <w:r w:rsidR="007F4080">
        <w:rPr>
          <w:rFonts w:ascii="Bookman Old Style" w:hAnsi="Bookman Old Style"/>
          <w:color w:val="000000"/>
          <w:sz w:val="24"/>
          <w:szCs w:val="24"/>
        </w:rPr>
        <w:t xml:space="preserve"> mediante resolución judicial.</w:t>
      </w:r>
    </w:p>
    <w:p w14:paraId="32AD6E16" w14:textId="77777777"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2547DFCE" w14:textId="0822B313"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rPr>
      </w:pPr>
      <w:r w:rsidRPr="00322AC2">
        <w:rPr>
          <w:rFonts w:ascii="Bookman Old Style" w:hAnsi="Bookman Old Style"/>
          <w:color w:val="000000"/>
          <w:sz w:val="24"/>
          <w:szCs w:val="24"/>
        </w:rPr>
        <w:t>LEY</w:t>
      </w:r>
      <w:r w:rsidR="002871F4">
        <w:rPr>
          <w:rFonts w:ascii="Bookman Old Style" w:hAnsi="Bookman Old Style"/>
          <w:color w:val="000000"/>
          <w:sz w:val="24"/>
          <w:szCs w:val="24"/>
        </w:rPr>
        <w:t>ES</w:t>
      </w:r>
      <w:r w:rsidRPr="00322AC2">
        <w:rPr>
          <w:rFonts w:ascii="Bookman Old Style" w:hAnsi="Bookman Old Style"/>
          <w:color w:val="000000"/>
          <w:sz w:val="24"/>
          <w:szCs w:val="24"/>
        </w:rPr>
        <w:t xml:space="preserve"> VIGENTE AFECTADA POR EL PROYECTO</w:t>
      </w:r>
    </w:p>
    <w:p w14:paraId="5161A08D" w14:textId="77777777"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p>
    <w:p w14:paraId="30AF3E1E" w14:textId="730F2897" w:rsidR="002871F4" w:rsidRDefault="00322AC2" w:rsidP="002871F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b/>
      </w:r>
      <w:r w:rsidR="002871F4">
        <w:rPr>
          <w:rFonts w:ascii="Bookman Old Style" w:hAnsi="Bookman Old Style"/>
          <w:color w:val="000000"/>
          <w:sz w:val="24"/>
          <w:szCs w:val="24"/>
        </w:rPr>
        <w:t xml:space="preserve">Se </w:t>
      </w:r>
      <w:r w:rsidR="00A127B0">
        <w:rPr>
          <w:rFonts w:ascii="Bookman Old Style" w:hAnsi="Bookman Old Style"/>
          <w:color w:val="000000"/>
          <w:sz w:val="24"/>
          <w:szCs w:val="24"/>
        </w:rPr>
        <w:t xml:space="preserve">elimina el </w:t>
      </w:r>
      <w:r w:rsidR="00A127B0" w:rsidRPr="008F2B8E">
        <w:rPr>
          <w:rFonts w:ascii="Bookman Old Style" w:hAnsi="Bookman Old Style"/>
          <w:color w:val="000000"/>
          <w:sz w:val="24"/>
          <w:szCs w:val="24"/>
        </w:rPr>
        <w:t>artículo 5</w:t>
      </w:r>
      <w:r w:rsidR="00A127B0">
        <w:rPr>
          <w:rFonts w:ascii="Bookman Old Style" w:hAnsi="Bookman Old Style"/>
          <w:color w:val="000000"/>
          <w:sz w:val="24"/>
          <w:szCs w:val="24"/>
        </w:rPr>
        <w:t xml:space="preserve"> </w:t>
      </w:r>
      <w:r w:rsidR="00F172EF">
        <w:rPr>
          <w:rFonts w:ascii="Bookman Old Style" w:hAnsi="Bookman Old Style"/>
          <w:color w:val="000000"/>
          <w:sz w:val="24"/>
          <w:szCs w:val="24"/>
        </w:rPr>
        <w:t xml:space="preserve">del </w:t>
      </w:r>
      <w:r w:rsidR="00A127B0">
        <w:rPr>
          <w:rFonts w:ascii="Bookman Old Style" w:hAnsi="Bookman Old Style"/>
          <w:color w:val="000000"/>
          <w:sz w:val="24"/>
          <w:szCs w:val="24"/>
        </w:rPr>
        <w:t>D</w:t>
      </w:r>
      <w:r w:rsidR="00A127B0" w:rsidRPr="008F2B8E">
        <w:rPr>
          <w:rFonts w:ascii="Bookman Old Style" w:hAnsi="Bookman Old Style"/>
          <w:color w:val="000000"/>
          <w:sz w:val="24"/>
          <w:szCs w:val="24"/>
        </w:rPr>
        <w:t xml:space="preserve">ecreto </w:t>
      </w:r>
      <w:r w:rsidR="00A127B0">
        <w:rPr>
          <w:rFonts w:ascii="Bookman Old Style" w:hAnsi="Bookman Old Style"/>
          <w:color w:val="000000"/>
          <w:sz w:val="24"/>
          <w:szCs w:val="24"/>
        </w:rPr>
        <w:t>L</w:t>
      </w:r>
      <w:r w:rsidR="00A127B0" w:rsidRPr="008F2B8E">
        <w:rPr>
          <w:rFonts w:ascii="Bookman Old Style" w:hAnsi="Bookman Old Style"/>
          <w:color w:val="000000"/>
          <w:sz w:val="24"/>
          <w:szCs w:val="24"/>
        </w:rPr>
        <w:t>ey 2</w:t>
      </w:r>
      <w:r w:rsidR="00A127B0">
        <w:rPr>
          <w:rFonts w:ascii="Bookman Old Style" w:hAnsi="Bookman Old Style"/>
          <w:color w:val="000000"/>
          <w:sz w:val="24"/>
          <w:szCs w:val="24"/>
        </w:rPr>
        <w:t xml:space="preserve">. </w:t>
      </w:r>
      <w:r w:rsidR="00A127B0" w:rsidRPr="008F2B8E">
        <w:rPr>
          <w:rFonts w:ascii="Bookman Old Style" w:hAnsi="Bookman Old Style"/>
          <w:color w:val="000000"/>
          <w:sz w:val="24"/>
          <w:szCs w:val="24"/>
        </w:rPr>
        <w:t>886</w:t>
      </w:r>
      <w:r w:rsidR="00A127B0">
        <w:rPr>
          <w:rFonts w:ascii="Bookman Old Style" w:hAnsi="Bookman Old Style"/>
          <w:color w:val="000000"/>
          <w:sz w:val="24"/>
          <w:szCs w:val="24"/>
        </w:rPr>
        <w:t xml:space="preserve"> y se modifica</w:t>
      </w:r>
      <w:r w:rsidR="002871F4">
        <w:rPr>
          <w:rFonts w:ascii="Bookman Old Style" w:hAnsi="Bookman Old Style"/>
          <w:color w:val="000000"/>
          <w:sz w:val="24"/>
          <w:szCs w:val="24"/>
        </w:rPr>
        <w:t xml:space="preserve"> el </w:t>
      </w:r>
      <w:r w:rsidR="002871F4" w:rsidRPr="008F2B8E">
        <w:rPr>
          <w:rFonts w:ascii="Bookman Old Style" w:hAnsi="Bookman Old Style"/>
          <w:color w:val="000000"/>
          <w:sz w:val="24"/>
          <w:szCs w:val="24"/>
        </w:rPr>
        <w:t>artículo 3° inciso 4°</w:t>
      </w:r>
      <w:r w:rsidR="002871F4">
        <w:rPr>
          <w:rFonts w:ascii="Bookman Old Style" w:hAnsi="Bookman Old Style"/>
          <w:color w:val="000000"/>
          <w:sz w:val="24"/>
          <w:szCs w:val="24"/>
        </w:rPr>
        <w:t xml:space="preserve"> de la </w:t>
      </w:r>
      <w:r w:rsidR="002871F4" w:rsidRPr="008F2B8E">
        <w:rPr>
          <w:rFonts w:ascii="Bookman Old Style" w:hAnsi="Bookman Old Style"/>
          <w:color w:val="000000"/>
          <w:sz w:val="24"/>
          <w:szCs w:val="24"/>
        </w:rPr>
        <w:t>Ley 18.097</w:t>
      </w:r>
      <w:r w:rsidR="002871F4">
        <w:rPr>
          <w:rFonts w:ascii="Bookman Old Style" w:hAnsi="Bookman Old Style"/>
          <w:color w:val="000000"/>
          <w:sz w:val="24"/>
          <w:szCs w:val="24"/>
        </w:rPr>
        <w:t xml:space="preserve"> Orgánica sobre </w:t>
      </w:r>
      <w:r w:rsidR="002871F4" w:rsidRPr="008F2B8E">
        <w:rPr>
          <w:rFonts w:ascii="Bookman Old Style" w:hAnsi="Bookman Old Style"/>
          <w:color w:val="000000"/>
          <w:sz w:val="24"/>
          <w:szCs w:val="24"/>
        </w:rPr>
        <w:t>concesiones minera</w:t>
      </w:r>
      <w:r w:rsidR="002871F4">
        <w:rPr>
          <w:rFonts w:ascii="Bookman Old Style" w:hAnsi="Bookman Old Style"/>
          <w:color w:val="000000"/>
          <w:sz w:val="24"/>
          <w:szCs w:val="24"/>
        </w:rPr>
        <w:t xml:space="preserve">s, </w:t>
      </w:r>
      <w:r w:rsidR="00A127B0">
        <w:rPr>
          <w:rFonts w:ascii="Bookman Old Style" w:hAnsi="Bookman Old Style"/>
          <w:color w:val="000000"/>
          <w:sz w:val="24"/>
          <w:szCs w:val="24"/>
        </w:rPr>
        <w:t xml:space="preserve">los </w:t>
      </w:r>
      <w:r w:rsidR="002871F4" w:rsidRPr="008F2B8E">
        <w:rPr>
          <w:rFonts w:ascii="Bookman Old Style" w:hAnsi="Bookman Old Style"/>
          <w:color w:val="000000"/>
          <w:sz w:val="24"/>
          <w:szCs w:val="24"/>
        </w:rPr>
        <w:t>artículo</w:t>
      </w:r>
      <w:r w:rsidR="00F172EF">
        <w:rPr>
          <w:rFonts w:ascii="Bookman Old Style" w:hAnsi="Bookman Old Style"/>
          <w:color w:val="000000"/>
          <w:sz w:val="24"/>
          <w:szCs w:val="24"/>
        </w:rPr>
        <w:t>s</w:t>
      </w:r>
      <w:r w:rsidR="002871F4" w:rsidRPr="008F2B8E">
        <w:rPr>
          <w:rFonts w:ascii="Bookman Old Style" w:hAnsi="Bookman Old Style"/>
          <w:color w:val="000000"/>
          <w:sz w:val="24"/>
          <w:szCs w:val="24"/>
        </w:rPr>
        <w:t xml:space="preserve"> 7°</w:t>
      </w:r>
      <w:r w:rsidR="00A127B0">
        <w:rPr>
          <w:rFonts w:ascii="Bookman Old Style" w:hAnsi="Bookman Old Style"/>
          <w:color w:val="000000"/>
          <w:sz w:val="24"/>
          <w:szCs w:val="24"/>
        </w:rPr>
        <w:t xml:space="preserve"> y 9° del</w:t>
      </w:r>
      <w:r w:rsidR="002871F4" w:rsidRPr="008F2B8E">
        <w:rPr>
          <w:rFonts w:ascii="Bookman Old Style" w:hAnsi="Bookman Old Style"/>
          <w:color w:val="000000"/>
          <w:sz w:val="24"/>
          <w:szCs w:val="24"/>
        </w:rPr>
        <w:t xml:space="preserve"> Código de </w:t>
      </w:r>
      <w:r w:rsidR="00A127B0" w:rsidRPr="008F2B8E">
        <w:rPr>
          <w:rFonts w:ascii="Bookman Old Style" w:hAnsi="Bookman Old Style"/>
          <w:color w:val="000000"/>
          <w:sz w:val="24"/>
          <w:szCs w:val="24"/>
        </w:rPr>
        <w:t>Minería</w:t>
      </w:r>
      <w:r w:rsidR="002871F4" w:rsidRPr="008F2B8E">
        <w:rPr>
          <w:rFonts w:ascii="Bookman Old Style" w:hAnsi="Bookman Old Style"/>
          <w:color w:val="000000"/>
          <w:sz w:val="24"/>
          <w:szCs w:val="24"/>
        </w:rPr>
        <w:t xml:space="preserve">; y </w:t>
      </w:r>
      <w:r w:rsidR="002871F4">
        <w:rPr>
          <w:rFonts w:ascii="Bookman Old Style" w:hAnsi="Bookman Old Style"/>
          <w:color w:val="000000"/>
          <w:sz w:val="24"/>
          <w:szCs w:val="24"/>
        </w:rPr>
        <w:t xml:space="preserve">el artículo 8° </w:t>
      </w:r>
      <w:r w:rsidR="002871F4" w:rsidRPr="008F2B8E">
        <w:rPr>
          <w:rFonts w:ascii="Bookman Old Style" w:hAnsi="Bookman Old Style"/>
          <w:color w:val="000000"/>
          <w:sz w:val="24"/>
          <w:szCs w:val="24"/>
        </w:rPr>
        <w:t>de la Ley 18.302 que crea la Comisión chilena de Energía Nuclear</w:t>
      </w:r>
      <w:r w:rsidR="002871F4">
        <w:rPr>
          <w:rFonts w:ascii="Bookman Old Style" w:hAnsi="Bookman Old Style"/>
          <w:color w:val="000000"/>
          <w:sz w:val="24"/>
          <w:szCs w:val="24"/>
        </w:rPr>
        <w:t>.</w:t>
      </w:r>
    </w:p>
    <w:p w14:paraId="5AA0E449" w14:textId="4DEEDEA9"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6962A493" w14:textId="53966647" w:rsidR="00322AC2" w:rsidRPr="00322AC2" w:rsidRDefault="00322AC2" w:rsidP="00322AC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rPr>
      </w:pPr>
      <w:r w:rsidRPr="00322AC2">
        <w:rPr>
          <w:rFonts w:ascii="Bookman Old Style" w:hAnsi="Bookman Old Style"/>
          <w:color w:val="000000"/>
          <w:sz w:val="24"/>
          <w:szCs w:val="24"/>
        </w:rPr>
        <w:t>PROYECTO DE LEY</w:t>
      </w:r>
      <w:r>
        <w:rPr>
          <w:rFonts w:ascii="Bookman Old Style" w:hAnsi="Bookman Old Style"/>
          <w:color w:val="000000"/>
          <w:sz w:val="24"/>
          <w:szCs w:val="24"/>
        </w:rPr>
        <w:t xml:space="preserve"> </w:t>
      </w:r>
    </w:p>
    <w:p w14:paraId="0BB57E24" w14:textId="77777777" w:rsidR="0008760B" w:rsidRPr="0008760B" w:rsidRDefault="0008760B" w:rsidP="0008760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70472A57" w14:textId="54CC76C9" w:rsidR="00C63636" w:rsidRDefault="0008760B" w:rsidP="00E2417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sidRPr="0008760B">
        <w:rPr>
          <w:rFonts w:ascii="Bookman Old Style" w:hAnsi="Bookman Old Style"/>
          <w:color w:val="000000"/>
          <w:sz w:val="24"/>
          <w:szCs w:val="24"/>
        </w:rPr>
        <w:t xml:space="preserve">Artículo </w:t>
      </w:r>
      <w:r w:rsidR="00C63636">
        <w:rPr>
          <w:rFonts w:ascii="Bookman Old Style" w:hAnsi="Bookman Old Style"/>
          <w:color w:val="000000"/>
          <w:sz w:val="24"/>
          <w:szCs w:val="24"/>
        </w:rPr>
        <w:t>primero</w:t>
      </w:r>
      <w:r w:rsidR="002871F4">
        <w:rPr>
          <w:rFonts w:ascii="Bookman Old Style" w:hAnsi="Bookman Old Style"/>
          <w:color w:val="000000"/>
          <w:sz w:val="24"/>
          <w:szCs w:val="24"/>
        </w:rPr>
        <w:t>:</w:t>
      </w:r>
      <w:r w:rsidR="00C63636">
        <w:rPr>
          <w:rFonts w:ascii="Bookman Old Style" w:hAnsi="Bookman Old Style"/>
          <w:color w:val="000000"/>
          <w:sz w:val="24"/>
          <w:szCs w:val="24"/>
        </w:rPr>
        <w:t xml:space="preserve"> deróguese el artículo 5° del </w:t>
      </w:r>
      <w:r w:rsidR="00C63636" w:rsidRPr="00C63636">
        <w:rPr>
          <w:rFonts w:ascii="Bookman Old Style" w:hAnsi="Bookman Old Style"/>
          <w:color w:val="000000"/>
          <w:sz w:val="24"/>
          <w:szCs w:val="24"/>
        </w:rPr>
        <w:t>Decreto Ley 2.886</w:t>
      </w:r>
      <w:r w:rsidR="00C63636">
        <w:rPr>
          <w:rFonts w:ascii="Bookman Old Style" w:hAnsi="Bookman Old Style"/>
          <w:color w:val="000000"/>
          <w:sz w:val="24"/>
          <w:szCs w:val="24"/>
        </w:rPr>
        <w:t>.</w:t>
      </w:r>
    </w:p>
    <w:p w14:paraId="545B49AD" w14:textId="77777777" w:rsidR="00C63636" w:rsidRDefault="00C63636" w:rsidP="00E2417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7D253976" w14:textId="6E2821FE" w:rsidR="00E2417B" w:rsidRDefault="00C63636" w:rsidP="00C6363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16" w:hanging="916"/>
        <w:jc w:val="both"/>
        <w:rPr>
          <w:rFonts w:ascii="Bookman Old Style" w:hAnsi="Bookman Old Style"/>
          <w:color w:val="000000"/>
          <w:sz w:val="24"/>
          <w:szCs w:val="24"/>
        </w:rPr>
      </w:pPr>
      <w:r>
        <w:rPr>
          <w:rFonts w:ascii="Bookman Old Style" w:hAnsi="Bookman Old Style"/>
          <w:color w:val="000000"/>
          <w:sz w:val="24"/>
          <w:szCs w:val="24"/>
        </w:rPr>
        <w:t xml:space="preserve">Artículo segundo: </w:t>
      </w:r>
      <w:r w:rsidR="002871F4" w:rsidRPr="002871F4">
        <w:rPr>
          <w:rFonts w:ascii="Bookman Old Style" w:hAnsi="Bookman Old Style"/>
          <w:color w:val="000000"/>
          <w:sz w:val="24"/>
          <w:szCs w:val="24"/>
        </w:rPr>
        <w:t>Elimínese</w:t>
      </w:r>
      <w:r>
        <w:rPr>
          <w:rFonts w:ascii="Bookman Old Style" w:hAnsi="Bookman Old Style"/>
          <w:color w:val="000000"/>
          <w:sz w:val="24"/>
          <w:szCs w:val="24"/>
        </w:rPr>
        <w:t>:</w:t>
      </w:r>
    </w:p>
    <w:p w14:paraId="164A046A" w14:textId="5CC410F7" w:rsidR="002871F4" w:rsidRPr="00E2417B" w:rsidRDefault="002871F4" w:rsidP="00E2417B">
      <w:pPr>
        <w:pStyle w:val="Prrafodelista"/>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r w:rsidRPr="00E2417B">
        <w:rPr>
          <w:rFonts w:ascii="Bookman Old Style" w:hAnsi="Bookman Old Style"/>
          <w:color w:val="000000"/>
          <w:sz w:val="24"/>
          <w:szCs w:val="24"/>
        </w:rPr>
        <w:t>En el artículo 3° inciso 4° de la Ley 18.097 Orgánica sobre Concesiones Mineras,</w:t>
      </w:r>
      <w:r w:rsidR="00E2417B">
        <w:rPr>
          <w:rFonts w:ascii="Bookman Old Style" w:hAnsi="Bookman Old Style"/>
          <w:color w:val="000000"/>
          <w:sz w:val="24"/>
          <w:szCs w:val="24"/>
        </w:rPr>
        <w:t xml:space="preserve"> la frase </w:t>
      </w:r>
      <w:r w:rsidR="00E2417B" w:rsidRPr="00E2417B">
        <w:rPr>
          <w:rFonts w:ascii="Bookman Old Style" w:hAnsi="Bookman Old Style"/>
          <w:i/>
          <w:iCs/>
          <w:color w:val="000000"/>
          <w:sz w:val="24"/>
          <w:szCs w:val="24"/>
        </w:rPr>
        <w:t>“</w:t>
      </w:r>
      <w:r w:rsidR="00E2417B" w:rsidRPr="00E2417B">
        <w:rPr>
          <w:rFonts w:ascii="Bookman Old Style" w:hAnsi="Bookman Old Style" w:cs="Courier New"/>
          <w:i/>
          <w:iCs/>
          <w:color w:val="000000"/>
          <w:sz w:val="24"/>
          <w:szCs w:val="24"/>
          <w:shd w:val="clear" w:color="auto" w:fill="FFFFFF"/>
        </w:rPr>
        <w:t>el litio,”</w:t>
      </w:r>
    </w:p>
    <w:p w14:paraId="224D11B8" w14:textId="728C78A2" w:rsidR="002871F4" w:rsidRDefault="002871F4" w:rsidP="002871F4">
      <w:pPr>
        <w:pStyle w:val="Prrafodelista"/>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i/>
          <w:iCs/>
          <w:color w:val="000000"/>
          <w:sz w:val="24"/>
          <w:szCs w:val="24"/>
        </w:rPr>
      </w:pPr>
      <w:r>
        <w:rPr>
          <w:rFonts w:ascii="Bookman Old Style" w:hAnsi="Bookman Old Style"/>
          <w:color w:val="000000"/>
          <w:sz w:val="24"/>
          <w:szCs w:val="24"/>
        </w:rPr>
        <w:t>En</w:t>
      </w:r>
      <w:r w:rsidRPr="002871F4">
        <w:rPr>
          <w:rFonts w:ascii="Bookman Old Style" w:hAnsi="Bookman Old Style"/>
          <w:color w:val="000000"/>
          <w:sz w:val="24"/>
          <w:szCs w:val="24"/>
        </w:rPr>
        <w:t xml:space="preserve"> el artículo 7° Código de </w:t>
      </w:r>
      <w:r w:rsidR="00C63636" w:rsidRPr="002871F4">
        <w:rPr>
          <w:rFonts w:ascii="Bookman Old Style" w:hAnsi="Bookman Old Style"/>
          <w:color w:val="000000"/>
          <w:sz w:val="24"/>
          <w:szCs w:val="24"/>
        </w:rPr>
        <w:t>Minería, la</w:t>
      </w:r>
      <w:r w:rsidR="00E2417B">
        <w:rPr>
          <w:rFonts w:ascii="Bookman Old Style" w:hAnsi="Bookman Old Style"/>
          <w:color w:val="000000"/>
          <w:sz w:val="24"/>
          <w:szCs w:val="24"/>
        </w:rPr>
        <w:t xml:space="preserve"> frase </w:t>
      </w:r>
      <w:r w:rsidR="00E2417B" w:rsidRPr="00E2417B">
        <w:rPr>
          <w:rFonts w:ascii="Bookman Old Style" w:hAnsi="Bookman Old Style"/>
          <w:i/>
          <w:iCs/>
          <w:color w:val="000000"/>
          <w:sz w:val="24"/>
          <w:szCs w:val="24"/>
        </w:rPr>
        <w:t>“el litio,”</w:t>
      </w:r>
      <w:r w:rsidR="00E2417B">
        <w:rPr>
          <w:rFonts w:ascii="Bookman Old Style" w:hAnsi="Bookman Old Style"/>
          <w:i/>
          <w:iCs/>
          <w:color w:val="000000"/>
          <w:sz w:val="24"/>
          <w:szCs w:val="24"/>
        </w:rPr>
        <w:t xml:space="preserve"> </w:t>
      </w:r>
    </w:p>
    <w:p w14:paraId="3E3077E6" w14:textId="4FFD5F5A" w:rsidR="00E2417B" w:rsidRPr="00E2417B" w:rsidRDefault="00E2417B" w:rsidP="002871F4">
      <w:pPr>
        <w:pStyle w:val="Prrafodelista"/>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i/>
          <w:iCs/>
          <w:color w:val="000000"/>
          <w:sz w:val="24"/>
          <w:szCs w:val="24"/>
        </w:rPr>
      </w:pPr>
      <w:r w:rsidRPr="00E2417B">
        <w:rPr>
          <w:rFonts w:ascii="Bookman Old Style" w:hAnsi="Bookman Old Style"/>
          <w:color w:val="000000"/>
          <w:sz w:val="24"/>
          <w:szCs w:val="24"/>
        </w:rPr>
        <w:t>En el inciso sexto del artículo 9</w:t>
      </w:r>
      <w:r w:rsidR="00C63636">
        <w:rPr>
          <w:rFonts w:ascii="Bookman Old Style" w:hAnsi="Bookman Old Style"/>
          <w:color w:val="000000"/>
          <w:sz w:val="24"/>
          <w:szCs w:val="24"/>
        </w:rPr>
        <w:t>° del Código de Minería</w:t>
      </w:r>
      <w:r w:rsidRPr="00E2417B">
        <w:rPr>
          <w:rFonts w:ascii="Bookman Old Style" w:hAnsi="Bookman Old Style"/>
          <w:color w:val="000000"/>
          <w:sz w:val="24"/>
          <w:szCs w:val="24"/>
        </w:rPr>
        <w:t xml:space="preserve"> la frase</w:t>
      </w:r>
      <w:r>
        <w:rPr>
          <w:rFonts w:ascii="Bookman Old Style" w:hAnsi="Bookman Old Style"/>
          <w:i/>
          <w:iCs/>
          <w:color w:val="000000"/>
          <w:sz w:val="24"/>
          <w:szCs w:val="24"/>
        </w:rPr>
        <w:t xml:space="preserve"> “</w:t>
      </w:r>
      <w:r w:rsidRPr="00E2417B">
        <w:rPr>
          <w:rFonts w:ascii="Bookman Old Style" w:hAnsi="Bookman Old Style"/>
          <w:i/>
          <w:iCs/>
          <w:color w:val="000000"/>
          <w:sz w:val="24"/>
          <w:szCs w:val="24"/>
        </w:rPr>
        <w:t>a la Comisión Chilena de Energía Nuclear, tratándose del litio; y</w:t>
      </w:r>
      <w:r>
        <w:rPr>
          <w:rFonts w:ascii="Bookman Old Style" w:hAnsi="Bookman Old Style"/>
          <w:i/>
          <w:iCs/>
          <w:color w:val="000000"/>
          <w:sz w:val="24"/>
          <w:szCs w:val="24"/>
        </w:rPr>
        <w:t>”</w:t>
      </w:r>
    </w:p>
    <w:p w14:paraId="4CB2455B" w14:textId="7404F3E1" w:rsidR="002871F4" w:rsidRPr="00C63636" w:rsidRDefault="002871F4" w:rsidP="002871F4">
      <w:pPr>
        <w:pStyle w:val="Prrafodelista"/>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r>
        <w:rPr>
          <w:rFonts w:ascii="Bookman Old Style" w:hAnsi="Bookman Old Style"/>
          <w:color w:val="000000"/>
          <w:sz w:val="24"/>
          <w:szCs w:val="24"/>
        </w:rPr>
        <w:t>En</w:t>
      </w:r>
      <w:r w:rsidRPr="002871F4">
        <w:rPr>
          <w:rFonts w:ascii="Bookman Old Style" w:hAnsi="Bookman Old Style"/>
          <w:color w:val="000000"/>
          <w:sz w:val="24"/>
          <w:szCs w:val="24"/>
        </w:rPr>
        <w:t xml:space="preserve"> el artículo 8° de la Ley </w:t>
      </w:r>
      <w:r w:rsidR="00720AFD" w:rsidRPr="00720AFD">
        <w:rPr>
          <w:rFonts w:ascii="Bookman Old Style" w:hAnsi="Bookman Old Style"/>
          <w:color w:val="000000"/>
          <w:sz w:val="24"/>
          <w:szCs w:val="24"/>
        </w:rPr>
        <w:t xml:space="preserve"> 16</w:t>
      </w:r>
      <w:r w:rsidR="00720AFD">
        <w:rPr>
          <w:rFonts w:ascii="Bookman Old Style" w:hAnsi="Bookman Old Style"/>
          <w:color w:val="000000"/>
          <w:sz w:val="24"/>
          <w:szCs w:val="24"/>
        </w:rPr>
        <w:t>.</w:t>
      </w:r>
      <w:r w:rsidR="00720AFD" w:rsidRPr="00720AFD">
        <w:rPr>
          <w:rFonts w:ascii="Bookman Old Style" w:hAnsi="Bookman Old Style"/>
          <w:color w:val="000000"/>
          <w:sz w:val="24"/>
          <w:szCs w:val="24"/>
        </w:rPr>
        <w:t>319</w:t>
      </w:r>
      <w:r w:rsidR="00720AFD">
        <w:rPr>
          <w:rFonts w:ascii="Bookman Old Style" w:hAnsi="Bookman Old Style"/>
          <w:color w:val="000000"/>
          <w:sz w:val="24"/>
          <w:szCs w:val="24"/>
        </w:rPr>
        <w:t xml:space="preserve"> </w:t>
      </w:r>
      <w:r w:rsidRPr="002871F4">
        <w:rPr>
          <w:rFonts w:ascii="Bookman Old Style" w:hAnsi="Bookman Old Style"/>
          <w:color w:val="000000"/>
          <w:sz w:val="24"/>
          <w:szCs w:val="24"/>
        </w:rPr>
        <w:t xml:space="preserve">que crea la Comisión </w:t>
      </w:r>
      <w:r>
        <w:rPr>
          <w:rFonts w:ascii="Bookman Old Style" w:hAnsi="Bookman Old Style"/>
          <w:color w:val="000000"/>
          <w:sz w:val="24"/>
          <w:szCs w:val="24"/>
        </w:rPr>
        <w:t>C</w:t>
      </w:r>
      <w:r w:rsidRPr="002871F4">
        <w:rPr>
          <w:rFonts w:ascii="Bookman Old Style" w:hAnsi="Bookman Old Style"/>
          <w:color w:val="000000"/>
          <w:sz w:val="24"/>
          <w:szCs w:val="24"/>
        </w:rPr>
        <w:t>hilena de Energía Nuclear</w:t>
      </w:r>
      <w:r w:rsidR="00E2417B">
        <w:rPr>
          <w:rFonts w:ascii="Bookman Old Style" w:hAnsi="Bookman Old Style"/>
          <w:color w:val="000000"/>
          <w:sz w:val="24"/>
          <w:szCs w:val="24"/>
        </w:rPr>
        <w:t>, la frase “</w:t>
      </w:r>
      <w:r w:rsidR="00E2417B" w:rsidRPr="00E2417B">
        <w:rPr>
          <w:rFonts w:ascii="Bookman Old Style" w:hAnsi="Bookman Old Style" w:cs="Courier New"/>
          <w:i/>
          <w:iCs/>
          <w:color w:val="000000"/>
          <w:sz w:val="24"/>
          <w:szCs w:val="24"/>
          <w:shd w:val="clear" w:color="auto" w:fill="FFFFFF"/>
        </w:rPr>
        <w:t>y el litio extraídos”</w:t>
      </w:r>
      <w:r w:rsidR="00E2417B">
        <w:rPr>
          <w:rFonts w:ascii="Bookman Old Style" w:hAnsi="Bookman Old Style" w:cs="Courier New"/>
          <w:i/>
          <w:iCs/>
          <w:color w:val="000000"/>
          <w:sz w:val="24"/>
          <w:szCs w:val="24"/>
          <w:shd w:val="clear" w:color="auto" w:fill="FFFFFF"/>
        </w:rPr>
        <w:t xml:space="preserve"> y la palabra “</w:t>
      </w:r>
      <w:r w:rsidR="00E2417B" w:rsidRPr="00E2417B">
        <w:rPr>
          <w:rFonts w:ascii="Bookman Old Style" w:hAnsi="Bookman Old Style" w:cs="Courier New"/>
          <w:i/>
          <w:iCs/>
          <w:color w:val="000000"/>
          <w:sz w:val="24"/>
          <w:szCs w:val="24"/>
          <w:shd w:val="clear" w:color="auto" w:fill="FFFFFF"/>
        </w:rPr>
        <w:t>éste</w:t>
      </w:r>
      <w:r w:rsidR="00E2417B">
        <w:rPr>
          <w:rFonts w:ascii="Bookman Old Style" w:hAnsi="Bookman Old Style" w:cs="Courier New"/>
          <w:i/>
          <w:iCs/>
          <w:color w:val="000000"/>
          <w:sz w:val="24"/>
          <w:szCs w:val="24"/>
          <w:shd w:val="clear" w:color="auto" w:fill="FFFFFF"/>
        </w:rPr>
        <w:t>”</w:t>
      </w:r>
      <w:r w:rsidR="00C63636">
        <w:rPr>
          <w:rFonts w:ascii="Bookman Old Style" w:hAnsi="Bookman Old Style" w:cs="Courier New"/>
          <w:i/>
          <w:iCs/>
          <w:color w:val="000000"/>
          <w:sz w:val="24"/>
          <w:szCs w:val="24"/>
          <w:shd w:val="clear" w:color="auto" w:fill="FFFFFF"/>
        </w:rPr>
        <w:t>.</w:t>
      </w:r>
    </w:p>
    <w:p w14:paraId="626D70E9" w14:textId="77777777" w:rsidR="00C63636" w:rsidRDefault="00C63636" w:rsidP="00C6363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Bookman Old Style" w:hAnsi="Bookman Old Style"/>
          <w:color w:val="000000"/>
          <w:sz w:val="24"/>
          <w:szCs w:val="24"/>
        </w:rPr>
      </w:pPr>
    </w:p>
    <w:p w14:paraId="08173F38" w14:textId="31C8E53E" w:rsidR="00C63636" w:rsidRDefault="00C63636" w:rsidP="00C6363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r>
        <w:rPr>
          <w:rFonts w:ascii="Bookman Old Style" w:hAnsi="Bookman Old Style"/>
          <w:color w:val="000000"/>
          <w:sz w:val="24"/>
          <w:szCs w:val="24"/>
        </w:rPr>
        <w:t xml:space="preserve">Artículo tercero: reemplácese en </w:t>
      </w:r>
      <w:r w:rsidRPr="002871F4">
        <w:rPr>
          <w:rFonts w:ascii="Bookman Old Style" w:hAnsi="Bookman Old Style"/>
          <w:color w:val="000000"/>
          <w:sz w:val="24"/>
          <w:szCs w:val="24"/>
        </w:rPr>
        <w:t xml:space="preserve">el artículo 8° de la Ley 18.302 que crea la Comisión </w:t>
      </w:r>
      <w:r>
        <w:rPr>
          <w:rFonts w:ascii="Bookman Old Style" w:hAnsi="Bookman Old Style"/>
          <w:color w:val="000000"/>
          <w:sz w:val="24"/>
          <w:szCs w:val="24"/>
        </w:rPr>
        <w:t>C</w:t>
      </w:r>
      <w:r w:rsidRPr="002871F4">
        <w:rPr>
          <w:rFonts w:ascii="Bookman Old Style" w:hAnsi="Bookman Old Style"/>
          <w:color w:val="000000"/>
          <w:sz w:val="24"/>
          <w:szCs w:val="24"/>
        </w:rPr>
        <w:t>hilena de Energía Nuclear</w:t>
      </w:r>
      <w:r>
        <w:rPr>
          <w:rFonts w:ascii="Bookman Old Style" w:hAnsi="Bookman Old Style"/>
          <w:color w:val="000000"/>
          <w:sz w:val="24"/>
          <w:szCs w:val="24"/>
        </w:rPr>
        <w:t xml:space="preserve"> la palabra “</w:t>
      </w:r>
      <w:r w:rsidRPr="00C63636">
        <w:rPr>
          <w:rFonts w:ascii="Bookman Old Style" w:hAnsi="Bookman Old Style"/>
          <w:i/>
          <w:iCs/>
          <w:color w:val="000000"/>
          <w:sz w:val="24"/>
          <w:szCs w:val="24"/>
        </w:rPr>
        <w:t>aquéllos</w:t>
      </w:r>
      <w:r>
        <w:rPr>
          <w:rFonts w:ascii="Bookman Old Style" w:hAnsi="Bookman Old Style"/>
          <w:color w:val="000000"/>
          <w:sz w:val="24"/>
          <w:szCs w:val="24"/>
        </w:rPr>
        <w:t>” por la palabra “</w:t>
      </w:r>
      <w:r w:rsidRPr="00C63636">
        <w:rPr>
          <w:rFonts w:ascii="Bookman Old Style" w:hAnsi="Bookman Old Style"/>
          <w:i/>
          <w:iCs/>
          <w:color w:val="000000"/>
          <w:sz w:val="24"/>
          <w:szCs w:val="24"/>
        </w:rPr>
        <w:t>estos</w:t>
      </w:r>
      <w:r>
        <w:rPr>
          <w:rFonts w:ascii="Bookman Old Style" w:hAnsi="Bookman Old Style"/>
          <w:color w:val="000000"/>
          <w:sz w:val="24"/>
          <w:szCs w:val="24"/>
        </w:rPr>
        <w:t>”.</w:t>
      </w:r>
    </w:p>
    <w:p w14:paraId="6E686D10" w14:textId="77777777" w:rsidR="00A127B0" w:rsidRDefault="00A127B0" w:rsidP="00C6363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Bookman Old Style" w:hAnsi="Bookman Old Style"/>
          <w:color w:val="000000"/>
          <w:sz w:val="24"/>
          <w:szCs w:val="24"/>
        </w:rPr>
      </w:pPr>
    </w:p>
    <w:p w14:paraId="51493057" w14:textId="15331E0F" w:rsidR="00A127B0" w:rsidRPr="00C63636" w:rsidRDefault="00A127B0" w:rsidP="00A127B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olor w:val="000000"/>
          <w:sz w:val="24"/>
          <w:szCs w:val="24"/>
        </w:rPr>
      </w:pPr>
      <w:r>
        <w:rPr>
          <w:rFonts w:ascii="Bookman Old Style" w:hAnsi="Bookman Old Style"/>
          <w:color w:val="000000"/>
          <w:sz w:val="24"/>
          <w:szCs w:val="24"/>
        </w:rPr>
        <w:t>***</w:t>
      </w:r>
    </w:p>
    <w:p w14:paraId="186286C1" w14:textId="77777777" w:rsidR="00D540F6" w:rsidRDefault="00D540F6" w:rsidP="00D540F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1F9083A5" w14:textId="7099A4DB" w:rsidR="000C6370" w:rsidRDefault="002871F4" w:rsidP="00D540F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Artículo</w:t>
      </w:r>
      <w:r w:rsidR="00C63636">
        <w:rPr>
          <w:rFonts w:ascii="Bookman Old Style" w:hAnsi="Bookman Old Style"/>
          <w:color w:val="000000"/>
          <w:sz w:val="24"/>
          <w:szCs w:val="24"/>
        </w:rPr>
        <w:t xml:space="preserve"> primero</w:t>
      </w:r>
      <w:r>
        <w:rPr>
          <w:rFonts w:ascii="Bookman Old Style" w:hAnsi="Bookman Old Style"/>
          <w:color w:val="000000"/>
          <w:sz w:val="24"/>
          <w:szCs w:val="24"/>
        </w:rPr>
        <w:t xml:space="preserve"> transitorio: </w:t>
      </w:r>
      <w:r w:rsidR="00B354EA">
        <w:rPr>
          <w:rFonts w:ascii="Bookman Old Style" w:hAnsi="Bookman Old Style"/>
          <w:color w:val="000000"/>
          <w:sz w:val="24"/>
          <w:szCs w:val="24"/>
        </w:rPr>
        <w:t xml:space="preserve">Efecto retroactivo. </w:t>
      </w:r>
      <w:r w:rsidR="00F172EF">
        <w:rPr>
          <w:rFonts w:ascii="Bookman Old Style" w:hAnsi="Bookman Old Style"/>
          <w:color w:val="000000"/>
          <w:sz w:val="24"/>
          <w:szCs w:val="24"/>
        </w:rPr>
        <w:t xml:space="preserve">Quienes al momento de publicarse esta ley sean </w:t>
      </w:r>
      <w:r>
        <w:rPr>
          <w:rFonts w:ascii="Bookman Old Style" w:hAnsi="Bookman Old Style"/>
          <w:color w:val="000000"/>
          <w:sz w:val="24"/>
          <w:szCs w:val="24"/>
        </w:rPr>
        <w:t>titulares</w:t>
      </w:r>
      <w:r w:rsidR="00D540F6" w:rsidRPr="00D540F6">
        <w:rPr>
          <w:rFonts w:ascii="Bookman Old Style" w:hAnsi="Bookman Old Style"/>
          <w:color w:val="000000"/>
          <w:sz w:val="24"/>
          <w:szCs w:val="24"/>
        </w:rPr>
        <w:t xml:space="preserve"> </w:t>
      </w:r>
      <w:r>
        <w:rPr>
          <w:rFonts w:ascii="Bookman Old Style" w:hAnsi="Bookman Old Style"/>
          <w:color w:val="000000"/>
          <w:sz w:val="24"/>
          <w:szCs w:val="24"/>
        </w:rPr>
        <w:t>de una concesión minera de exploración y explotación</w:t>
      </w:r>
      <w:r w:rsidR="00B354EA">
        <w:rPr>
          <w:rFonts w:ascii="Bookman Old Style" w:hAnsi="Bookman Old Style"/>
          <w:color w:val="000000"/>
          <w:sz w:val="24"/>
          <w:szCs w:val="24"/>
        </w:rPr>
        <w:t xml:space="preserve"> minera</w:t>
      </w:r>
      <w:r w:rsidR="000C6370">
        <w:rPr>
          <w:rFonts w:ascii="Bookman Old Style" w:hAnsi="Bookman Old Style"/>
          <w:color w:val="000000"/>
          <w:sz w:val="24"/>
          <w:szCs w:val="24"/>
        </w:rPr>
        <w:t xml:space="preserve"> </w:t>
      </w:r>
      <w:r w:rsidR="00B354EA">
        <w:rPr>
          <w:rFonts w:ascii="Bookman Old Style" w:hAnsi="Bookman Old Style"/>
          <w:color w:val="000000"/>
          <w:sz w:val="24"/>
          <w:szCs w:val="24"/>
        </w:rPr>
        <w:t xml:space="preserve">cuya solicitud </w:t>
      </w:r>
      <w:r w:rsidR="00F172EF">
        <w:rPr>
          <w:rFonts w:ascii="Bookman Old Style" w:hAnsi="Bookman Old Style"/>
          <w:color w:val="000000"/>
          <w:sz w:val="24"/>
          <w:szCs w:val="24"/>
        </w:rPr>
        <w:t xml:space="preserve">haya sido </w:t>
      </w:r>
      <w:r w:rsidR="00B354EA">
        <w:rPr>
          <w:rFonts w:ascii="Bookman Old Style" w:hAnsi="Bookman Old Style"/>
          <w:color w:val="000000"/>
          <w:sz w:val="24"/>
          <w:szCs w:val="24"/>
        </w:rPr>
        <w:t>iniciadas con posterioridad al 1 de enero de año 1979</w:t>
      </w:r>
      <w:r w:rsidR="00D540F6" w:rsidRPr="00D540F6">
        <w:rPr>
          <w:rFonts w:ascii="Bookman Old Style" w:hAnsi="Bookman Old Style"/>
          <w:color w:val="000000"/>
          <w:sz w:val="24"/>
          <w:szCs w:val="24"/>
        </w:rPr>
        <w:t xml:space="preserve">, </w:t>
      </w:r>
      <w:r>
        <w:rPr>
          <w:rFonts w:ascii="Bookman Old Style" w:hAnsi="Bookman Old Style"/>
          <w:color w:val="000000"/>
          <w:sz w:val="24"/>
          <w:szCs w:val="24"/>
        </w:rPr>
        <w:t>adquirirá</w:t>
      </w:r>
      <w:r w:rsidR="00F172EF">
        <w:rPr>
          <w:rFonts w:ascii="Bookman Old Style" w:hAnsi="Bookman Old Style"/>
          <w:color w:val="000000"/>
          <w:sz w:val="24"/>
          <w:szCs w:val="24"/>
        </w:rPr>
        <w:t>n</w:t>
      </w:r>
      <w:r w:rsidR="00D540F6" w:rsidRPr="00D540F6">
        <w:rPr>
          <w:rFonts w:ascii="Bookman Old Style" w:hAnsi="Bookman Old Style"/>
          <w:color w:val="000000"/>
          <w:sz w:val="24"/>
          <w:szCs w:val="24"/>
        </w:rPr>
        <w:t xml:space="preserve"> </w:t>
      </w:r>
      <w:r>
        <w:rPr>
          <w:rFonts w:ascii="Bookman Old Style" w:hAnsi="Bookman Old Style"/>
          <w:color w:val="000000"/>
          <w:sz w:val="24"/>
          <w:szCs w:val="24"/>
        </w:rPr>
        <w:t xml:space="preserve">por </w:t>
      </w:r>
      <w:r w:rsidR="00F172EF">
        <w:rPr>
          <w:rFonts w:ascii="Bookman Old Style" w:hAnsi="Bookman Old Style"/>
          <w:color w:val="000000"/>
          <w:sz w:val="24"/>
          <w:szCs w:val="24"/>
        </w:rPr>
        <w:t xml:space="preserve">el </w:t>
      </w:r>
      <w:r w:rsidR="00D540F6" w:rsidRPr="00D540F6">
        <w:rPr>
          <w:rFonts w:ascii="Bookman Old Style" w:hAnsi="Bookman Old Style"/>
          <w:color w:val="000000"/>
          <w:sz w:val="24"/>
          <w:szCs w:val="24"/>
        </w:rPr>
        <w:t xml:space="preserve">solo ministerio de esta ley </w:t>
      </w:r>
      <w:r>
        <w:rPr>
          <w:rFonts w:ascii="Bookman Old Style" w:hAnsi="Bookman Old Style"/>
          <w:color w:val="000000"/>
          <w:sz w:val="24"/>
          <w:szCs w:val="24"/>
        </w:rPr>
        <w:t>el derecho</w:t>
      </w:r>
      <w:r w:rsidR="000C6370">
        <w:rPr>
          <w:rFonts w:ascii="Bookman Old Style" w:hAnsi="Bookman Old Style"/>
          <w:color w:val="000000"/>
          <w:sz w:val="24"/>
          <w:szCs w:val="24"/>
        </w:rPr>
        <w:t xml:space="preserve"> de exploración y explotación del litio </w:t>
      </w:r>
      <w:r w:rsidR="00C63636">
        <w:rPr>
          <w:rFonts w:ascii="Bookman Old Style" w:hAnsi="Bookman Old Style"/>
          <w:color w:val="000000"/>
          <w:sz w:val="24"/>
          <w:szCs w:val="24"/>
        </w:rPr>
        <w:t>en</w:t>
      </w:r>
      <w:r w:rsidR="000C6370">
        <w:rPr>
          <w:rFonts w:ascii="Bookman Old Style" w:hAnsi="Bookman Old Style"/>
          <w:color w:val="000000"/>
          <w:sz w:val="24"/>
          <w:szCs w:val="24"/>
        </w:rPr>
        <w:t xml:space="preserve"> dicha concesión, según corresponda. </w:t>
      </w:r>
    </w:p>
    <w:p w14:paraId="085F31AC" w14:textId="77777777" w:rsidR="000C6370" w:rsidRDefault="000C6370" w:rsidP="00D540F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14B16B50" w14:textId="058EF40F" w:rsidR="00C63636" w:rsidRDefault="000C6370" w:rsidP="0008760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 xml:space="preserve">Artículo segundo transitorio. En el caso de concesiones de </w:t>
      </w:r>
      <w:r w:rsidR="00A127B0">
        <w:rPr>
          <w:rFonts w:ascii="Bookman Old Style" w:hAnsi="Bookman Old Style"/>
          <w:color w:val="000000"/>
          <w:sz w:val="24"/>
          <w:szCs w:val="24"/>
        </w:rPr>
        <w:t xml:space="preserve">exploración y </w:t>
      </w:r>
      <w:r>
        <w:rPr>
          <w:rFonts w:ascii="Bookman Old Style" w:hAnsi="Bookman Old Style"/>
          <w:color w:val="000000"/>
          <w:sz w:val="24"/>
          <w:szCs w:val="24"/>
        </w:rPr>
        <w:t>explotación</w:t>
      </w:r>
      <w:r w:rsidR="00C63636">
        <w:rPr>
          <w:rFonts w:ascii="Bookman Old Style" w:hAnsi="Bookman Old Style"/>
          <w:color w:val="000000"/>
          <w:sz w:val="24"/>
          <w:szCs w:val="24"/>
        </w:rPr>
        <w:t xml:space="preserve"> vigentes al momento de publicarse esta ley, </w:t>
      </w:r>
      <w:r>
        <w:rPr>
          <w:rFonts w:ascii="Bookman Old Style" w:hAnsi="Bookman Old Style"/>
          <w:color w:val="000000"/>
          <w:sz w:val="24"/>
          <w:szCs w:val="24"/>
        </w:rPr>
        <w:t xml:space="preserve"> cuya </w:t>
      </w:r>
      <w:r w:rsidR="00B354EA">
        <w:rPr>
          <w:rFonts w:ascii="Bookman Old Style" w:hAnsi="Bookman Old Style"/>
          <w:color w:val="000000"/>
          <w:sz w:val="24"/>
          <w:szCs w:val="24"/>
        </w:rPr>
        <w:t>solicitud fuere</w:t>
      </w:r>
      <w:r>
        <w:rPr>
          <w:rFonts w:ascii="Bookman Old Style" w:hAnsi="Bookman Old Style"/>
          <w:color w:val="000000"/>
          <w:sz w:val="24"/>
          <w:szCs w:val="24"/>
        </w:rPr>
        <w:t xml:space="preserve"> iniciadas con posterioridad al 1 de enero de año 1979</w:t>
      </w:r>
      <w:r w:rsidR="00B354EA">
        <w:rPr>
          <w:rFonts w:ascii="Bookman Old Style" w:hAnsi="Bookman Old Style"/>
          <w:color w:val="000000"/>
          <w:sz w:val="24"/>
          <w:szCs w:val="24"/>
        </w:rPr>
        <w:t>,</w:t>
      </w:r>
      <w:r>
        <w:rPr>
          <w:rFonts w:ascii="Bookman Old Style" w:hAnsi="Bookman Old Style"/>
          <w:color w:val="000000"/>
          <w:sz w:val="24"/>
          <w:szCs w:val="24"/>
        </w:rPr>
        <w:t xml:space="preserve"> </w:t>
      </w:r>
      <w:r w:rsidR="00C63636">
        <w:rPr>
          <w:rFonts w:ascii="Bookman Old Style" w:hAnsi="Bookman Old Style"/>
          <w:color w:val="000000"/>
          <w:sz w:val="24"/>
          <w:szCs w:val="24"/>
        </w:rPr>
        <w:t xml:space="preserve"> y </w:t>
      </w:r>
      <w:r w:rsidR="00B354EA">
        <w:rPr>
          <w:rFonts w:ascii="Bookman Old Style" w:hAnsi="Bookman Old Style"/>
          <w:color w:val="000000"/>
          <w:sz w:val="24"/>
          <w:szCs w:val="24"/>
        </w:rPr>
        <w:t xml:space="preserve">que estén ubicada dentro del área de los salares nombrados en el artículo </w:t>
      </w:r>
      <w:r w:rsidR="00C63636">
        <w:rPr>
          <w:rFonts w:ascii="Bookman Old Style" w:hAnsi="Bookman Old Style"/>
          <w:color w:val="000000"/>
          <w:sz w:val="24"/>
          <w:szCs w:val="24"/>
        </w:rPr>
        <w:t xml:space="preserve">cuarto </w:t>
      </w:r>
      <w:r w:rsidR="000C27D2">
        <w:rPr>
          <w:rFonts w:ascii="Bookman Old Style" w:hAnsi="Bookman Old Style"/>
          <w:color w:val="000000"/>
          <w:sz w:val="24"/>
          <w:szCs w:val="24"/>
        </w:rPr>
        <w:t xml:space="preserve">transitorio </w:t>
      </w:r>
      <w:r w:rsidR="00B354EA">
        <w:rPr>
          <w:rFonts w:ascii="Bookman Old Style" w:hAnsi="Bookman Old Style"/>
          <w:color w:val="000000"/>
          <w:sz w:val="24"/>
          <w:szCs w:val="24"/>
        </w:rPr>
        <w:t>de esta ley, el E</w:t>
      </w:r>
      <w:r>
        <w:rPr>
          <w:rFonts w:ascii="Bookman Old Style" w:hAnsi="Bookman Old Style"/>
          <w:color w:val="000000"/>
          <w:sz w:val="24"/>
          <w:szCs w:val="24"/>
        </w:rPr>
        <w:t xml:space="preserve">stado </w:t>
      </w:r>
      <w:r w:rsidR="0042734F">
        <w:rPr>
          <w:rFonts w:ascii="Bookman Old Style" w:hAnsi="Bookman Old Style"/>
          <w:color w:val="000000"/>
          <w:sz w:val="24"/>
          <w:szCs w:val="24"/>
        </w:rPr>
        <w:t>podr</w:t>
      </w:r>
      <w:r w:rsidR="009A386D">
        <w:rPr>
          <w:rFonts w:ascii="Bookman Old Style" w:hAnsi="Bookman Old Style"/>
          <w:color w:val="000000"/>
          <w:sz w:val="24"/>
          <w:szCs w:val="24"/>
        </w:rPr>
        <w:t>á cobrar</w:t>
      </w:r>
      <w:r w:rsidR="008E565B">
        <w:rPr>
          <w:rFonts w:ascii="Bookman Old Style" w:hAnsi="Bookman Old Style"/>
          <w:color w:val="000000"/>
          <w:sz w:val="24"/>
          <w:szCs w:val="24"/>
        </w:rPr>
        <w:t xml:space="preserve"> al titular de la concesión minera,</w:t>
      </w:r>
      <w:r w:rsidR="00B354EA">
        <w:rPr>
          <w:rFonts w:ascii="Bookman Old Style" w:hAnsi="Bookman Old Style"/>
          <w:color w:val="000000"/>
          <w:sz w:val="24"/>
          <w:szCs w:val="24"/>
        </w:rPr>
        <w:t xml:space="preserve"> por la adquisición del derecho nombrado en el artículo primero </w:t>
      </w:r>
      <w:r w:rsidR="008E565B">
        <w:rPr>
          <w:rFonts w:ascii="Bookman Old Style" w:hAnsi="Bookman Old Style"/>
          <w:color w:val="000000"/>
          <w:sz w:val="24"/>
          <w:szCs w:val="24"/>
        </w:rPr>
        <w:t>transitorio, una</w:t>
      </w:r>
      <w:r>
        <w:rPr>
          <w:rFonts w:ascii="Bookman Old Style" w:hAnsi="Bookman Old Style"/>
          <w:color w:val="000000"/>
          <w:sz w:val="24"/>
          <w:szCs w:val="24"/>
        </w:rPr>
        <w:t xml:space="preserve"> tasa única de </w:t>
      </w:r>
      <w:r w:rsidRPr="000C6370">
        <w:rPr>
          <w:rFonts w:ascii="Bookman Old Style" w:hAnsi="Bookman Old Style"/>
          <w:color w:val="000000"/>
          <w:sz w:val="24"/>
          <w:szCs w:val="24"/>
        </w:rPr>
        <w:t>1</w:t>
      </w:r>
      <w:r>
        <w:rPr>
          <w:rFonts w:ascii="Bookman Old Style" w:hAnsi="Bookman Old Style"/>
          <w:color w:val="000000"/>
          <w:sz w:val="24"/>
          <w:szCs w:val="24"/>
        </w:rPr>
        <w:t>0.</w:t>
      </w:r>
      <w:r w:rsidRPr="000C6370">
        <w:rPr>
          <w:rFonts w:ascii="Bookman Old Style" w:hAnsi="Bookman Old Style"/>
          <w:color w:val="000000"/>
          <w:sz w:val="24"/>
          <w:szCs w:val="24"/>
        </w:rPr>
        <w:t>000</w:t>
      </w:r>
      <w:r>
        <w:rPr>
          <w:rFonts w:ascii="Bookman Old Style" w:hAnsi="Bookman Old Style"/>
          <w:color w:val="000000"/>
          <w:sz w:val="24"/>
          <w:szCs w:val="24"/>
        </w:rPr>
        <w:t xml:space="preserve"> UTM por </w:t>
      </w:r>
      <w:r w:rsidR="00B354EA">
        <w:rPr>
          <w:rFonts w:ascii="Bookman Old Style" w:hAnsi="Bookman Old Style"/>
          <w:color w:val="000000"/>
          <w:sz w:val="24"/>
          <w:szCs w:val="24"/>
        </w:rPr>
        <w:t>hectárea,</w:t>
      </w:r>
      <w:r>
        <w:rPr>
          <w:rFonts w:ascii="Bookman Old Style" w:hAnsi="Bookman Old Style"/>
          <w:color w:val="000000"/>
          <w:sz w:val="24"/>
          <w:szCs w:val="24"/>
        </w:rPr>
        <w:t xml:space="preserve"> la que deberá enterarse en </w:t>
      </w:r>
      <w:r w:rsidR="008E565B">
        <w:rPr>
          <w:rFonts w:ascii="Bookman Old Style" w:hAnsi="Bookman Old Style"/>
          <w:color w:val="000000"/>
          <w:sz w:val="24"/>
          <w:szCs w:val="24"/>
        </w:rPr>
        <w:t>el término de plazo</w:t>
      </w:r>
      <w:r>
        <w:rPr>
          <w:rFonts w:ascii="Bookman Old Style" w:hAnsi="Bookman Old Style"/>
          <w:color w:val="000000"/>
          <w:sz w:val="24"/>
          <w:szCs w:val="24"/>
        </w:rPr>
        <w:t xml:space="preserve"> de </w:t>
      </w:r>
      <w:r w:rsidR="008E565B">
        <w:rPr>
          <w:rFonts w:ascii="Bookman Old Style" w:hAnsi="Bookman Old Style"/>
          <w:color w:val="000000"/>
          <w:sz w:val="24"/>
          <w:szCs w:val="24"/>
        </w:rPr>
        <w:t>5</w:t>
      </w:r>
      <w:r>
        <w:rPr>
          <w:rFonts w:ascii="Bookman Old Style" w:hAnsi="Bookman Old Style"/>
          <w:color w:val="000000"/>
          <w:sz w:val="24"/>
          <w:szCs w:val="24"/>
        </w:rPr>
        <w:t xml:space="preserve"> años</w:t>
      </w:r>
      <w:r w:rsidR="009A386D">
        <w:rPr>
          <w:rFonts w:ascii="Bookman Old Style" w:hAnsi="Bookman Old Style"/>
          <w:color w:val="000000"/>
          <w:sz w:val="24"/>
          <w:szCs w:val="24"/>
        </w:rPr>
        <w:t>, una vez ejercida la cobranza</w:t>
      </w:r>
      <w:r w:rsidR="00B354EA">
        <w:rPr>
          <w:rFonts w:ascii="Bookman Old Style" w:hAnsi="Bookman Old Style"/>
          <w:color w:val="000000"/>
          <w:sz w:val="24"/>
          <w:szCs w:val="24"/>
        </w:rPr>
        <w:t xml:space="preserve">. </w:t>
      </w:r>
    </w:p>
    <w:p w14:paraId="2D9991E7" w14:textId="77777777" w:rsidR="00C63636" w:rsidRDefault="00C63636" w:rsidP="0008760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22D35C44" w14:textId="175C758B" w:rsidR="008E565B" w:rsidRDefault="00C63636" w:rsidP="0008760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 xml:space="preserve">Artículo tercero transitorio: </w:t>
      </w:r>
      <w:r w:rsidR="00B354EA">
        <w:rPr>
          <w:rFonts w:ascii="Bookman Old Style" w:hAnsi="Bookman Old Style"/>
          <w:color w:val="000000"/>
          <w:sz w:val="24"/>
          <w:szCs w:val="24"/>
        </w:rPr>
        <w:t>De no enterarse</w:t>
      </w:r>
      <w:r w:rsidR="008E565B">
        <w:rPr>
          <w:rFonts w:ascii="Bookman Old Style" w:hAnsi="Bookman Old Style"/>
          <w:color w:val="000000"/>
          <w:sz w:val="24"/>
          <w:szCs w:val="24"/>
        </w:rPr>
        <w:t xml:space="preserve"> a</w:t>
      </w:r>
      <w:r w:rsidR="00B354EA">
        <w:rPr>
          <w:rFonts w:ascii="Bookman Old Style" w:hAnsi="Bookman Old Style"/>
          <w:color w:val="000000"/>
          <w:sz w:val="24"/>
          <w:szCs w:val="24"/>
        </w:rPr>
        <w:t xml:space="preserve"> dicha</w:t>
      </w:r>
      <w:r w:rsidR="008E565B">
        <w:rPr>
          <w:rFonts w:ascii="Bookman Old Style" w:hAnsi="Bookman Old Style"/>
          <w:color w:val="000000"/>
          <w:sz w:val="24"/>
          <w:szCs w:val="24"/>
        </w:rPr>
        <w:t xml:space="preserve"> fecha</w:t>
      </w:r>
      <w:r w:rsidR="00B354EA">
        <w:rPr>
          <w:rFonts w:ascii="Bookman Old Style" w:hAnsi="Bookman Old Style"/>
          <w:color w:val="000000"/>
          <w:sz w:val="24"/>
          <w:szCs w:val="24"/>
        </w:rPr>
        <w:t xml:space="preserve"> la totalidad de la suma </w:t>
      </w:r>
      <w:r w:rsidR="009A386D">
        <w:rPr>
          <w:rFonts w:ascii="Bookman Old Style" w:hAnsi="Bookman Old Style"/>
          <w:color w:val="000000"/>
          <w:sz w:val="24"/>
          <w:szCs w:val="24"/>
        </w:rPr>
        <w:t xml:space="preserve">adeudado </w:t>
      </w:r>
      <w:r w:rsidR="00B354EA">
        <w:rPr>
          <w:rFonts w:ascii="Bookman Old Style" w:hAnsi="Bookman Old Style"/>
          <w:color w:val="000000"/>
          <w:sz w:val="24"/>
          <w:szCs w:val="24"/>
        </w:rPr>
        <w:t>en el plazo establecido</w:t>
      </w:r>
      <w:r>
        <w:rPr>
          <w:rFonts w:ascii="Bookman Old Style" w:hAnsi="Bookman Old Style"/>
          <w:color w:val="000000"/>
          <w:sz w:val="24"/>
          <w:szCs w:val="24"/>
        </w:rPr>
        <w:t xml:space="preserve"> en el artículo segundo transitorio</w:t>
      </w:r>
      <w:r w:rsidR="00B354EA">
        <w:rPr>
          <w:rFonts w:ascii="Bookman Old Style" w:hAnsi="Bookman Old Style"/>
          <w:color w:val="000000"/>
          <w:sz w:val="24"/>
          <w:szCs w:val="24"/>
        </w:rPr>
        <w:t xml:space="preserve">, caduca la totalidad del derecho de </w:t>
      </w:r>
      <w:r w:rsidR="00A127B0">
        <w:rPr>
          <w:rFonts w:ascii="Bookman Old Style" w:hAnsi="Bookman Old Style"/>
          <w:color w:val="000000"/>
          <w:sz w:val="24"/>
          <w:szCs w:val="24"/>
        </w:rPr>
        <w:t xml:space="preserve">exploración y </w:t>
      </w:r>
      <w:r w:rsidR="00B354EA">
        <w:rPr>
          <w:rFonts w:ascii="Bookman Old Style" w:hAnsi="Bookman Old Style"/>
          <w:color w:val="000000"/>
          <w:sz w:val="24"/>
          <w:szCs w:val="24"/>
        </w:rPr>
        <w:t>explotación en el salar que se trate</w:t>
      </w:r>
      <w:r w:rsidR="008E565B">
        <w:rPr>
          <w:rFonts w:ascii="Bookman Old Style" w:hAnsi="Bookman Old Style"/>
          <w:color w:val="000000"/>
          <w:sz w:val="24"/>
          <w:szCs w:val="24"/>
        </w:rPr>
        <w:t xml:space="preserve">. Sin perjuicio de lo anterior, el titular podrá renunciar al derecho </w:t>
      </w:r>
      <w:r w:rsidR="00A127B0">
        <w:rPr>
          <w:rFonts w:ascii="Bookman Old Style" w:hAnsi="Bookman Old Style"/>
          <w:color w:val="000000"/>
          <w:sz w:val="24"/>
          <w:szCs w:val="24"/>
        </w:rPr>
        <w:t>de que se trate</w:t>
      </w:r>
      <w:r w:rsidR="008E565B">
        <w:rPr>
          <w:rFonts w:ascii="Bookman Old Style" w:hAnsi="Bookman Old Style"/>
          <w:color w:val="000000"/>
          <w:sz w:val="24"/>
          <w:szCs w:val="24"/>
        </w:rPr>
        <w:t>, con lo que se extingue también el cobro de la tasa nombrada.</w:t>
      </w:r>
    </w:p>
    <w:p w14:paraId="63B6515B" w14:textId="77777777" w:rsidR="008E565B" w:rsidRDefault="008E565B" w:rsidP="0008760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p>
    <w:p w14:paraId="3677F76C" w14:textId="1F40284C" w:rsidR="008E565B" w:rsidRDefault="008E565B" w:rsidP="008E565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color w:val="000000"/>
          <w:sz w:val="24"/>
          <w:szCs w:val="24"/>
        </w:rPr>
      </w:pPr>
      <w:r>
        <w:rPr>
          <w:rFonts w:ascii="Bookman Old Style" w:hAnsi="Bookman Old Style"/>
          <w:color w:val="000000"/>
          <w:sz w:val="24"/>
          <w:szCs w:val="24"/>
        </w:rPr>
        <w:t xml:space="preserve">Artículo </w:t>
      </w:r>
      <w:r w:rsidR="00C63636">
        <w:rPr>
          <w:rFonts w:ascii="Bookman Old Style" w:hAnsi="Bookman Old Style"/>
          <w:color w:val="000000"/>
          <w:sz w:val="24"/>
          <w:szCs w:val="24"/>
        </w:rPr>
        <w:t xml:space="preserve">cuarto </w:t>
      </w:r>
      <w:r>
        <w:rPr>
          <w:rFonts w:ascii="Bookman Old Style" w:hAnsi="Bookman Old Style"/>
          <w:color w:val="000000"/>
          <w:sz w:val="24"/>
          <w:szCs w:val="24"/>
        </w:rPr>
        <w:t xml:space="preserve">transitorio: Para efectos del artículo segundo transitorio son Salares de Chile los siguiente: Salar </w:t>
      </w:r>
      <w:r w:rsidRPr="008E565B">
        <w:rPr>
          <w:rFonts w:ascii="Bookman Old Style" w:hAnsi="Bookman Old Style"/>
          <w:color w:val="000000"/>
          <w:sz w:val="24"/>
          <w:szCs w:val="24"/>
        </w:rPr>
        <w:t>Laguna Blancan 1</w:t>
      </w:r>
      <w:r w:rsidRPr="008E565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8E565B">
        <w:rPr>
          <w:rFonts w:ascii="Bookman Old Style" w:hAnsi="Bookman Old Style"/>
          <w:color w:val="000000"/>
          <w:sz w:val="24"/>
          <w:szCs w:val="24"/>
        </w:rPr>
        <w:t xml:space="preserve"> Salar de Surire</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Bellavista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Coipasan 2</w:t>
      </w:r>
      <w:r>
        <w:rPr>
          <w:rFonts w:ascii="Bookman Old Style" w:hAnsi="Bookman Old Style"/>
          <w:color w:val="000000"/>
          <w:sz w:val="24"/>
          <w:szCs w:val="24"/>
        </w:rPr>
        <w:t>,</w:t>
      </w:r>
      <w:r w:rsidRPr="008E565B">
        <w:rPr>
          <w:rFonts w:ascii="Times New Roman" w:hAnsi="Times New Roman" w:cs="Times New Roman"/>
          <w:color w:val="000000"/>
          <w:sz w:val="24"/>
          <w:szCs w:val="24"/>
        </w:rPr>
        <w:t>​</w:t>
      </w:r>
      <w:r w:rsidRPr="008E565B">
        <w:rPr>
          <w:rFonts w:ascii="Bookman Old Style" w:hAnsi="Bookman Old Style"/>
          <w:color w:val="000000"/>
          <w:sz w:val="24"/>
          <w:szCs w:val="24"/>
        </w:rPr>
        <w:t xml:space="preserve"> Salar de Coposa Salar Grande</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Huasco Salar de Llamara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Michincha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Pintados</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del Soronal</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del Sur Viejo</w:t>
      </w:r>
      <w:r>
        <w:rPr>
          <w:rFonts w:ascii="Bookman Old Style" w:hAnsi="Bookman Old Style" w:cs="Bookman Old Style"/>
          <w:color w:val="000000"/>
          <w:sz w:val="24"/>
          <w:szCs w:val="24"/>
        </w:rPr>
        <w:t>,</w:t>
      </w:r>
      <w:r w:rsidRPr="008E565B">
        <w:rPr>
          <w:rFonts w:ascii="Bookman Old Style" w:hAnsi="Bookman Old Style"/>
          <w:color w:val="000000"/>
          <w:sz w:val="24"/>
          <w:szCs w:val="24"/>
        </w:rPr>
        <w:t xml:space="preserve"> Salar Aguas Calientes I</w:t>
      </w:r>
      <w:r>
        <w:rPr>
          <w:rFonts w:ascii="Bookman Old Style" w:hAnsi="Bookman Old Style"/>
          <w:color w:val="000000"/>
          <w:sz w:val="24"/>
          <w:szCs w:val="24"/>
        </w:rPr>
        <w:t>,</w:t>
      </w:r>
      <w:r w:rsidRPr="008E565B">
        <w:rPr>
          <w:rFonts w:ascii="Bookman Old Style" w:hAnsi="Bookman Old Style"/>
          <w:color w:val="000000"/>
          <w:sz w:val="24"/>
          <w:szCs w:val="24"/>
        </w:rPr>
        <w:t xml:space="preserve"> Salar Aguas Calientes II</w:t>
      </w:r>
      <w:r>
        <w:rPr>
          <w:rFonts w:ascii="Bookman Old Style" w:hAnsi="Bookman Old Style"/>
          <w:color w:val="000000"/>
          <w:sz w:val="24"/>
          <w:szCs w:val="24"/>
        </w:rPr>
        <w:t>,</w:t>
      </w:r>
      <w:r w:rsidRPr="008E565B">
        <w:rPr>
          <w:rFonts w:ascii="Bookman Old Style" w:hAnsi="Bookman Old Style"/>
          <w:color w:val="000000"/>
          <w:sz w:val="24"/>
          <w:szCs w:val="24"/>
        </w:rPr>
        <w:t xml:space="preserve"> Salar Aguas Calientes III</w:t>
      </w:r>
      <w:r>
        <w:rPr>
          <w:rFonts w:ascii="Bookman Old Style" w:hAnsi="Bookman Old Style"/>
          <w:color w:val="000000"/>
          <w:sz w:val="24"/>
          <w:szCs w:val="24"/>
        </w:rPr>
        <w:t>,</w:t>
      </w:r>
      <w:r w:rsidRPr="008E565B">
        <w:rPr>
          <w:rFonts w:ascii="Bookman Old Style" w:hAnsi="Bookman Old Style" w:cs="Bookman Old Style"/>
          <w:color w:val="000000"/>
          <w:sz w:val="24"/>
          <w:szCs w:val="24"/>
        </w:rPr>
        <w:t> </w:t>
      </w:r>
      <w:r>
        <w:rPr>
          <w:rFonts w:ascii="Bookman Old Style" w:hAnsi="Bookman Old Style"/>
          <w:color w:val="000000"/>
          <w:sz w:val="24"/>
          <w:szCs w:val="24"/>
        </w:rPr>
        <w:t>,</w:t>
      </w:r>
      <w:r w:rsidRPr="008E565B">
        <w:rPr>
          <w:rFonts w:ascii="Bookman Old Style" w:hAnsi="Bookman Old Style"/>
          <w:color w:val="000000"/>
          <w:sz w:val="24"/>
          <w:szCs w:val="24"/>
        </w:rPr>
        <w:t>) Salar Aguas Calientes IV</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Alconcha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Ascot</w:t>
      </w:r>
      <w:r w:rsidRPr="008E565B">
        <w:rPr>
          <w:rFonts w:ascii="Bookman Old Style" w:hAnsi="Bookman Old Style" w:cs="Bookman Old Style"/>
          <w:color w:val="000000"/>
          <w:sz w:val="24"/>
          <w:szCs w:val="24"/>
        </w:rPr>
        <w:t>á</w:t>
      </w:r>
      <w:r w:rsidRPr="008E565B">
        <w:rPr>
          <w:rFonts w:ascii="Bookman Old Style" w:hAnsi="Bookman Old Style"/>
          <w:color w:val="000000"/>
          <w:sz w:val="24"/>
          <w:szCs w:val="24"/>
        </w:rPr>
        <w:t>n</w:t>
      </w:r>
      <w:r w:rsidRPr="008E565B">
        <w:rPr>
          <w:rFonts w:ascii="Bookman Old Style" w:hAnsi="Bookman Old Style" w:cs="Bookman Old Style"/>
          <w:color w:val="000000"/>
          <w:sz w:val="24"/>
          <w:szCs w:val="24"/>
        </w:rPr>
        <w:t> </w:t>
      </w:r>
      <w:r w:rsidRPr="008E565B">
        <w:rPr>
          <w:rFonts w:ascii="Bookman Old Style" w:hAnsi="Bookman Old Style"/>
          <w:color w:val="000000"/>
          <w:sz w:val="24"/>
          <w:szCs w:val="24"/>
        </w:rPr>
        <w:t>o Cebollar</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Atacama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Capur</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Carcote</w:t>
      </w:r>
      <w:r w:rsidRPr="008E565B">
        <w:rPr>
          <w:rFonts w:ascii="Bookman Old Style" w:hAnsi="Bookman Old Style" w:cs="Bookman Old Style"/>
          <w:color w:val="000000"/>
          <w:sz w:val="24"/>
          <w:szCs w:val="24"/>
        </w:rPr>
        <w:t> </w:t>
      </w:r>
      <w:r w:rsidRPr="008E565B">
        <w:rPr>
          <w:rFonts w:ascii="Bookman Old Style" w:hAnsi="Bookman Old Style"/>
          <w:color w:val="000000"/>
          <w:sz w:val="24"/>
          <w:szCs w:val="24"/>
        </w:rPr>
        <w:t>o de San Mart</w:t>
      </w:r>
      <w:r w:rsidRPr="008E565B">
        <w:rPr>
          <w:rFonts w:ascii="Bookman Old Style" w:hAnsi="Bookman Old Style" w:cs="Bookman Old Style"/>
          <w:color w:val="000000"/>
          <w:sz w:val="24"/>
          <w:szCs w:val="24"/>
        </w:rPr>
        <w:t>í</w:t>
      </w:r>
      <w:r w:rsidRPr="008E565B">
        <w:rPr>
          <w:rFonts w:ascii="Bookman Old Style" w:hAnsi="Bookman Old Style"/>
          <w:color w:val="000000"/>
          <w:sz w:val="24"/>
          <w:szCs w:val="24"/>
        </w:rPr>
        <w:t>n</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del Carmen</w:t>
      </w:r>
      <w:r>
        <w:rPr>
          <w:rFonts w:ascii="Bookman Old Style" w:hAnsi="Bookman Old Style"/>
          <w:color w:val="000000"/>
          <w:sz w:val="24"/>
          <w:szCs w:val="24"/>
        </w:rPr>
        <w:t>,</w:t>
      </w:r>
      <w:r w:rsidRPr="008E565B">
        <w:rPr>
          <w:rFonts w:ascii="Bookman Old Style" w:hAnsi="Bookman Old Style"/>
          <w:color w:val="000000"/>
          <w:sz w:val="24"/>
          <w:szCs w:val="24"/>
        </w:rPr>
        <w:t xml:space="preserve"> Salar Elvira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Imilac</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Incahuasin 3</w:t>
      </w:r>
      <w:r w:rsidRPr="008E565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8E565B">
        <w:rPr>
          <w:rFonts w:ascii="Bookman Old Style" w:hAnsi="Bookman Old Style"/>
          <w:color w:val="000000"/>
          <w:sz w:val="24"/>
          <w:szCs w:val="24"/>
        </w:rPr>
        <w:t xml:space="preserve"> Salar del Laco</w:t>
      </w:r>
      <w:r>
        <w:rPr>
          <w:rFonts w:ascii="Bookman Old Style" w:hAnsi="Bookman Old Style"/>
          <w:color w:val="000000"/>
          <w:sz w:val="24"/>
          <w:szCs w:val="24"/>
        </w:rPr>
        <w:t>,</w:t>
      </w:r>
      <w:r w:rsidRPr="008E565B">
        <w:rPr>
          <w:rFonts w:ascii="Bookman Old Style" w:hAnsi="Bookman Old Style"/>
          <w:color w:val="000000"/>
          <w:sz w:val="24"/>
          <w:szCs w:val="24"/>
        </w:rPr>
        <w:t xml:space="preserve"> Salar Morros</w:t>
      </w:r>
      <w:r>
        <w:rPr>
          <w:rFonts w:ascii="Bookman Old Style" w:hAnsi="Bookman Old Style"/>
          <w:color w:val="000000"/>
          <w:sz w:val="24"/>
          <w:szCs w:val="24"/>
        </w:rPr>
        <w:t>,</w:t>
      </w:r>
      <w:r w:rsidRPr="008E565B">
        <w:rPr>
          <w:rFonts w:ascii="Bookman Old Style" w:hAnsi="Bookman Old Style"/>
          <w:color w:val="000000"/>
          <w:sz w:val="24"/>
          <w:szCs w:val="24"/>
        </w:rPr>
        <w:t xml:space="preserve"> Salar Mar Muerto</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del Miraje</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Navidad</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Ollag</w:t>
      </w:r>
      <w:r w:rsidRPr="008E565B">
        <w:rPr>
          <w:rFonts w:ascii="Bookman Old Style" w:hAnsi="Bookman Old Style" w:cs="Bookman Old Style"/>
          <w:color w:val="000000"/>
          <w:sz w:val="24"/>
          <w:szCs w:val="24"/>
        </w:rPr>
        <w:t>ü</w:t>
      </w:r>
      <w:r w:rsidRPr="008E565B">
        <w:rPr>
          <w:rFonts w:ascii="Bookman Old Style" w:hAnsi="Bookman Old Style"/>
          <w:color w:val="000000"/>
          <w:sz w:val="24"/>
          <w:szCs w:val="24"/>
        </w:rPr>
        <w:t>en 2</w:t>
      </w:r>
      <w:r>
        <w:rPr>
          <w:rFonts w:ascii="Bookman Old Style" w:hAnsi="Bookman Old Style"/>
          <w:color w:val="000000"/>
          <w:sz w:val="24"/>
          <w:szCs w:val="24"/>
        </w:rPr>
        <w:t>,</w:t>
      </w:r>
      <w:r w:rsidRPr="008E565B">
        <w:rPr>
          <w:rFonts w:ascii="Times New Roman" w:hAnsi="Times New Roman" w:cs="Times New Roman"/>
          <w:color w:val="000000"/>
          <w:sz w:val="24"/>
          <w:szCs w:val="24"/>
        </w:rPr>
        <w:t>​</w:t>
      </w:r>
      <w:r w:rsidRPr="008E565B">
        <w:rPr>
          <w:rFonts w:ascii="Bookman Old Style" w:hAnsi="Bookman Old Style"/>
          <w:color w:val="000000"/>
          <w:sz w:val="24"/>
          <w:szCs w:val="24"/>
        </w:rPr>
        <w:t xml:space="preserve"> Salar de Pajonales</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Pampa Blanca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Pujsa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Purisunchi</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Pularn 3</w:t>
      </w:r>
      <w:r>
        <w:rPr>
          <w:rFonts w:ascii="Bookman Old Style" w:hAnsi="Bookman Old Style"/>
          <w:color w:val="000000"/>
          <w:sz w:val="24"/>
          <w:szCs w:val="24"/>
        </w:rPr>
        <w:t>,</w:t>
      </w:r>
      <w:r w:rsidRPr="008E565B">
        <w:rPr>
          <w:rFonts w:ascii="Times New Roman" w:hAnsi="Times New Roman" w:cs="Times New Roman"/>
          <w:color w:val="000000"/>
          <w:sz w:val="24"/>
          <w:szCs w:val="24"/>
        </w:rPr>
        <w:t>​</w:t>
      </w:r>
      <w:r w:rsidRPr="008E565B">
        <w:rPr>
          <w:rFonts w:ascii="Bookman Old Style" w:hAnsi="Bookman Old Style"/>
          <w:color w:val="000000"/>
          <w:sz w:val="24"/>
          <w:szCs w:val="24"/>
        </w:rPr>
        <w:t xml:space="preserve"> Salar Punta Negra</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Quisquiro</w:t>
      </w:r>
      <w:r w:rsidRPr="008E565B">
        <w:rPr>
          <w:rFonts w:ascii="Bookman Old Style" w:hAnsi="Bookman Old Style" w:cs="Bookman Old Style"/>
          <w:color w:val="000000"/>
          <w:sz w:val="24"/>
          <w:szCs w:val="24"/>
        </w:rPr>
        <w:t> </w:t>
      </w:r>
      <w:r w:rsidRPr="008E565B">
        <w:rPr>
          <w:rFonts w:ascii="Bookman Old Style" w:hAnsi="Bookman Old Style"/>
          <w:color w:val="000000"/>
          <w:sz w:val="24"/>
          <w:szCs w:val="24"/>
        </w:rPr>
        <w:t>o Loyoques</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Talabre</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Talar</w:t>
      </w:r>
      <w:r>
        <w:rPr>
          <w:rFonts w:ascii="Bookman Old Style" w:hAnsi="Bookman Old Style"/>
          <w:color w:val="000000"/>
          <w:sz w:val="24"/>
          <w:szCs w:val="24"/>
        </w:rPr>
        <w:t>,</w:t>
      </w:r>
      <w:r w:rsidRPr="008E565B">
        <w:rPr>
          <w:rFonts w:ascii="Bookman Old Style" w:hAnsi="Bookman Old Style"/>
          <w:color w:val="000000"/>
          <w:sz w:val="24"/>
          <w:szCs w:val="24"/>
        </w:rPr>
        <w:t xml:space="preserve"> Salar de Tara</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Jaman 3</w:t>
      </w:r>
      <w:r w:rsidR="00E2417B">
        <w:rPr>
          <w:rFonts w:ascii="Bookman Old Style" w:hAnsi="Bookman Old Style"/>
          <w:color w:val="000000"/>
          <w:sz w:val="24"/>
          <w:szCs w:val="24"/>
        </w:rPr>
        <w:t>,</w:t>
      </w:r>
      <w:r w:rsidRPr="008E565B">
        <w:rPr>
          <w:rFonts w:ascii="Times New Roman" w:hAnsi="Times New Roman" w:cs="Times New Roman"/>
          <w:color w:val="000000"/>
          <w:sz w:val="24"/>
          <w:szCs w:val="24"/>
        </w:rPr>
        <w:t>​</w:t>
      </w:r>
      <w:r w:rsidRPr="008E565B">
        <w:rPr>
          <w:rFonts w:ascii="Bookman Old Style" w:hAnsi="Bookman Old Style"/>
          <w:color w:val="000000"/>
          <w:sz w:val="24"/>
          <w:szCs w:val="24"/>
        </w:rPr>
        <w:t xml:space="preserve"> Salar de Agua Amarga</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Aguilar</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Gorbea</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Grande (Andes)</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Ignorado</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Infieles</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La Isla</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Las Parinas</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Maricunga</w:t>
      </w:r>
      <w:r w:rsidR="00E2417B">
        <w:rPr>
          <w:rFonts w:ascii="Bookman Old Style" w:hAnsi="Bookman Old Style"/>
          <w:color w:val="000000"/>
          <w:sz w:val="24"/>
          <w:szCs w:val="24"/>
        </w:rPr>
        <w:t>,</w:t>
      </w:r>
      <w:r w:rsidRPr="008E565B">
        <w:rPr>
          <w:rFonts w:ascii="Bookman Old Style" w:hAnsi="Bookman Old Style"/>
          <w:color w:val="000000"/>
          <w:sz w:val="24"/>
          <w:szCs w:val="24"/>
        </w:rPr>
        <w:t xml:space="preserve"> Salar de Pedernales</w:t>
      </w:r>
      <w:r w:rsidR="00E2417B">
        <w:rPr>
          <w:rFonts w:ascii="Bookman Old Style" w:hAnsi="Bookman Old Style"/>
          <w:color w:val="000000"/>
          <w:sz w:val="24"/>
          <w:szCs w:val="24"/>
        </w:rPr>
        <w:t xml:space="preserve"> y</w:t>
      </w:r>
      <w:r w:rsidRPr="008E565B">
        <w:rPr>
          <w:rFonts w:ascii="Bookman Old Style" w:hAnsi="Bookman Old Style"/>
          <w:color w:val="000000"/>
          <w:sz w:val="24"/>
          <w:szCs w:val="24"/>
        </w:rPr>
        <w:t xml:space="preserve"> Salar Piedra Parada</w:t>
      </w:r>
      <w:r w:rsidR="00C63636">
        <w:rPr>
          <w:rFonts w:ascii="Bookman Old Style" w:hAnsi="Bookman Old Style"/>
          <w:color w:val="000000"/>
          <w:sz w:val="24"/>
          <w:szCs w:val="24"/>
        </w:rPr>
        <w:t>.</w:t>
      </w:r>
    </w:p>
    <w:p w14:paraId="0EC3FD82" w14:textId="77777777" w:rsidR="00627684" w:rsidRDefault="00627684" w:rsidP="007433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sz w:val="24"/>
          <w:szCs w:val="24"/>
        </w:rPr>
      </w:pPr>
    </w:p>
    <w:p w14:paraId="4A4E5AF1" w14:textId="77777777" w:rsidR="00627684" w:rsidRDefault="00627684" w:rsidP="007433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sz w:val="24"/>
          <w:szCs w:val="24"/>
        </w:rPr>
      </w:pPr>
    </w:p>
    <w:p w14:paraId="1516438E" w14:textId="77777777" w:rsidR="00627684" w:rsidRDefault="00627684" w:rsidP="007433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sz w:val="24"/>
          <w:szCs w:val="24"/>
        </w:rPr>
      </w:pPr>
    </w:p>
    <w:p w14:paraId="00D9909A" w14:textId="77777777" w:rsidR="00627684" w:rsidRPr="00A56B31" w:rsidRDefault="00627684" w:rsidP="007433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man Old Style" w:hAnsi="Bookman Old Style"/>
          <w:sz w:val="24"/>
          <w:szCs w:val="24"/>
        </w:rPr>
      </w:pPr>
    </w:p>
    <w:sectPr w:rsidR="00627684" w:rsidRPr="00A56B31">
      <w:pgSz w:w="12250" w:h="1873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4AF06" w14:textId="77777777" w:rsidR="002C369D" w:rsidRDefault="002C369D" w:rsidP="001618BC">
      <w:r>
        <w:separator/>
      </w:r>
    </w:p>
  </w:endnote>
  <w:endnote w:type="continuationSeparator" w:id="0">
    <w:p w14:paraId="3D809745" w14:textId="77777777" w:rsidR="002C369D" w:rsidRDefault="002C369D" w:rsidP="001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5952" w14:textId="77777777" w:rsidR="002C369D" w:rsidRDefault="002C369D" w:rsidP="001618BC">
      <w:r>
        <w:separator/>
      </w:r>
    </w:p>
  </w:footnote>
  <w:footnote w:type="continuationSeparator" w:id="0">
    <w:p w14:paraId="322CC12A" w14:textId="77777777" w:rsidR="002C369D" w:rsidRDefault="002C369D" w:rsidP="001618BC">
      <w:r>
        <w:continuationSeparator/>
      </w:r>
    </w:p>
  </w:footnote>
  <w:footnote w:id="1">
    <w:p w14:paraId="2C40B246" w14:textId="77777777" w:rsidR="005772A1" w:rsidRPr="00984F6A" w:rsidRDefault="005772A1" w:rsidP="00984F6A">
      <w:pPr>
        <w:shd w:val="clear" w:color="auto" w:fill="FFFFFF"/>
        <w:jc w:val="both"/>
        <w:rPr>
          <w:rFonts w:ascii="Bookman Old Style" w:eastAsia="Times New Roman" w:hAnsi="Bookman Old Style" w:cs="Courier New"/>
          <w:i/>
          <w:iCs/>
          <w:color w:val="000000"/>
          <w:sz w:val="20"/>
          <w:szCs w:val="20"/>
          <w:lang w:val="es-CL" w:eastAsia="es-CL"/>
        </w:rPr>
      </w:pPr>
      <w:r w:rsidRPr="00984F6A">
        <w:rPr>
          <w:rStyle w:val="Refdenotaalpie"/>
          <w:rFonts w:ascii="Bookman Old Style" w:hAnsi="Bookman Old Style"/>
          <w:i/>
          <w:iCs/>
          <w:sz w:val="20"/>
          <w:szCs w:val="20"/>
        </w:rPr>
        <w:footnoteRef/>
      </w:r>
      <w:r w:rsidRPr="00984F6A">
        <w:rPr>
          <w:rFonts w:ascii="Bookman Old Style" w:hAnsi="Bookman Old Style"/>
          <w:i/>
          <w:iCs/>
          <w:sz w:val="20"/>
          <w:szCs w:val="20"/>
        </w:rPr>
        <w:t xml:space="preserve">  Artículo 37 letra b) </w:t>
      </w:r>
      <w:r w:rsidRPr="00984F6A">
        <w:rPr>
          <w:rFonts w:ascii="Bookman Old Style" w:eastAsia="Times New Roman" w:hAnsi="Bookman Old Style" w:cs="Courier New"/>
          <w:i/>
          <w:iCs/>
          <w:color w:val="000000"/>
          <w:sz w:val="20"/>
          <w:szCs w:val="20"/>
          <w:lang w:val="es-CL" w:eastAsia="es-CL"/>
        </w:rPr>
        <w:t>Agrégase al artículo 2°, el siguiente inciso tercero, nuevo, a continuación del inciso segundo actual:</w:t>
      </w:r>
    </w:p>
    <w:p w14:paraId="4903EB17" w14:textId="77777777" w:rsidR="005772A1" w:rsidRPr="00984F6A" w:rsidRDefault="005772A1" w:rsidP="00984F6A">
      <w:pPr>
        <w:widowControl/>
        <w:shd w:val="clear" w:color="auto" w:fill="FFFFFF"/>
        <w:autoSpaceDE/>
        <w:autoSpaceDN/>
        <w:jc w:val="both"/>
        <w:rPr>
          <w:rFonts w:ascii="Bookman Old Style" w:eastAsia="Times New Roman" w:hAnsi="Bookman Old Style" w:cs="Courier New"/>
          <w:i/>
          <w:iCs/>
          <w:color w:val="000000"/>
          <w:sz w:val="20"/>
          <w:szCs w:val="20"/>
          <w:lang w:val="es-CL" w:eastAsia="es-CL"/>
        </w:rPr>
      </w:pPr>
      <w:r w:rsidRPr="00984F6A">
        <w:rPr>
          <w:rFonts w:ascii="Bookman Old Style" w:eastAsia="Times New Roman" w:hAnsi="Bookman Old Style" w:cs="Courier New"/>
          <w:i/>
          <w:iCs/>
          <w:color w:val="000000"/>
          <w:sz w:val="20"/>
          <w:szCs w:val="20"/>
          <w:lang w:val="es-CL" w:eastAsia="es-CL"/>
        </w:rPr>
        <w:t>    "Para iguales efectos: a) son materiales atómicos naturales o materiales nucleares naturales, el uranio y el torio, y cualquiera otro que determine la ley, y b) son materiales de interés nuclear: zirconio, niobio, titanio, hafnio, berilio, cadmio, cobalto, litio, agua pesada, helio, uranio y torio, estos dos últimos con los elementos de sus series radiactivos, gadolinio y cualquiera otro que se determine por decreto supremo.</w:t>
      </w:r>
    </w:p>
    <w:p w14:paraId="365EAC05" w14:textId="77777777" w:rsidR="005772A1" w:rsidRPr="00984F6A" w:rsidRDefault="005772A1" w:rsidP="00984F6A">
      <w:pPr>
        <w:pStyle w:val="Textonotapie"/>
        <w:jc w:val="both"/>
        <w:rPr>
          <w:rFonts w:ascii="Bookman Old Style" w:hAnsi="Bookman Old Style"/>
        </w:rPr>
      </w:pPr>
      <w:r w:rsidRPr="00984F6A">
        <w:rPr>
          <w:rFonts w:ascii="Bookman Old Style" w:hAnsi="Bookman Old Style"/>
        </w:rPr>
        <w:t xml:space="preserve"> </w:t>
      </w:r>
    </w:p>
  </w:footnote>
  <w:footnote w:id="2">
    <w:p w14:paraId="390DB40F" w14:textId="77777777" w:rsidR="00AE5EDD" w:rsidRPr="00984F6A" w:rsidRDefault="00AE5EDD"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r w:rsidRPr="00984F6A">
        <w:rPr>
          <w:rFonts w:ascii="Bookman Old Style" w:hAnsi="Bookman Old Style"/>
          <w:color w:val="000000"/>
        </w:rPr>
        <w:t>Artículo 3°: “</w:t>
      </w:r>
      <w:r w:rsidRPr="00984F6A">
        <w:rPr>
          <w:rFonts w:ascii="Bookman Old Style" w:hAnsi="Bookman Old Style"/>
          <w:i/>
          <w:iCs/>
          <w:color w:val="000000"/>
        </w:rPr>
        <w:t xml:space="preserve">Cualquier interesado podrá constituir pertenencia en minas de oro, plata, cobre, estaño, plomo, platino, cadmio, manganeso, fierro, níquel, cerio, iterbio, germanio, cromo, molibdeno, tungsteno, uranio, cobalto, iridio, osmio, paladio, rodio, rutenio, arsénico, antimonio, bismuto, vanadio, niobio, tantalio, estroncio, galio, bario, berilio, zinc, mercurio, </w:t>
      </w:r>
      <w:r w:rsidRPr="00984F6A">
        <w:rPr>
          <w:rFonts w:ascii="Bookman Old Style" w:hAnsi="Bookman Old Style"/>
          <w:b/>
          <w:bCs/>
          <w:i/>
          <w:iCs/>
          <w:color w:val="000000"/>
        </w:rPr>
        <w:t>litio,</w:t>
      </w:r>
      <w:r w:rsidRPr="00984F6A">
        <w:rPr>
          <w:rFonts w:ascii="Bookman Old Style" w:hAnsi="Bookman Old Style"/>
          <w:i/>
          <w:iCs/>
          <w:color w:val="000000"/>
        </w:rPr>
        <w:t xml:space="preserve"> titanio, torio, zirconio, radio y piedras preciosas, y en placeres metalíferos</w:t>
      </w:r>
      <w:r w:rsidRPr="00984F6A">
        <w:rPr>
          <w:rFonts w:ascii="Bookman Old Style" w:hAnsi="Bookman Old Style"/>
          <w:color w:val="000000"/>
        </w:rPr>
        <w:t>.”</w:t>
      </w:r>
      <w:r w:rsidRPr="00984F6A">
        <w:rPr>
          <w:rFonts w:ascii="Bookman Old Style" w:hAnsi="Bookman Old Style"/>
          <w:color w:val="000000"/>
        </w:rPr>
        <w:cr/>
      </w:r>
    </w:p>
  </w:footnote>
  <w:footnote w:id="3">
    <w:p w14:paraId="5AAB5BAC" w14:textId="7D5C985A" w:rsidR="00E2113D" w:rsidRPr="00984F6A" w:rsidRDefault="00E2113D"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Un buen resumen de dichos contratos se pueden incluir en los puntos 19 a 31 de escrito de antecedentes aportados por la Fiscalía Nacional Económica ante el Tribunal de Libre competencia (TDLC) en causa  “Consulta de Compañía Minera Salares del Norte SpA sobre bases de licitación para suscripción de contrato especial de operación para la exploración, explotación y beneficio de yacimientos de litio”, Rol NC-505-2021  </w:t>
      </w:r>
      <w:hyperlink r:id="rId1" w:history="1">
        <w:r w:rsidRPr="00984F6A">
          <w:rPr>
            <w:rStyle w:val="Hipervnculo"/>
            <w:rFonts w:ascii="Bookman Old Style" w:hAnsi="Bookman Old Style"/>
          </w:rPr>
          <w:t>https://www.fne.gob.cl/wp-content/uploads/2022/03/NC-505-2021_FNE_Aporta-antecedentes-Litio-1.pdf</w:t>
        </w:r>
      </w:hyperlink>
      <w:r w:rsidRPr="00984F6A">
        <w:rPr>
          <w:rFonts w:ascii="Bookman Old Style" w:hAnsi="Bookman Old Style"/>
        </w:rPr>
        <w:t xml:space="preserve"> </w:t>
      </w:r>
    </w:p>
  </w:footnote>
  <w:footnote w:id="4">
    <w:p w14:paraId="601E8BDF" w14:textId="6B77FB51" w:rsidR="00E2113D" w:rsidRPr="00984F6A" w:rsidRDefault="00E2113D"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Otro buen resumen de dichos contratos se encuentran en los puntos 48 a 54 de la presentación de Fundación Pivotes a</w:t>
      </w:r>
      <w:r w:rsidR="00D96B04" w:rsidRPr="00984F6A">
        <w:rPr>
          <w:rFonts w:ascii="Bookman Old Style" w:hAnsi="Bookman Old Style"/>
        </w:rPr>
        <w:t xml:space="preserve">nte el TDLC </w:t>
      </w:r>
      <w:hyperlink r:id="rId2" w:history="1">
        <w:r w:rsidR="00D96B04" w:rsidRPr="00984F6A">
          <w:rPr>
            <w:rStyle w:val="Hipervnculo"/>
            <w:rFonts w:ascii="Bookman Old Style" w:hAnsi="Bookman Old Style"/>
          </w:rPr>
          <w:t>https://pivotes.cl/wp-content/uploads/2023/08/Pivotes-Corproa-Solicitud-de-ERN-por-mercado-del-litio.pdf</w:t>
        </w:r>
      </w:hyperlink>
      <w:r w:rsidR="00D96B04" w:rsidRPr="00984F6A">
        <w:rPr>
          <w:rFonts w:ascii="Bookman Old Style" w:hAnsi="Bookman Old Style"/>
        </w:rPr>
        <w:t xml:space="preserve"> </w:t>
      </w:r>
    </w:p>
  </w:footnote>
  <w:footnote w:id="5">
    <w:p w14:paraId="2455C8CE" w14:textId="7DB94D89" w:rsidR="00AE5EDD" w:rsidRPr="00984F6A" w:rsidRDefault="00AE5EDD"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hyperlink r:id="rId3" w:history="1">
        <w:r w:rsidRPr="00984F6A">
          <w:rPr>
            <w:rStyle w:val="Hipervnculo"/>
            <w:rFonts w:ascii="Bookman Old Style" w:hAnsi="Bookman Old Style"/>
          </w:rPr>
          <w:t>https://www.df.cl/empresas/mineria/mineros-del-salar-maricunga-piden-al-gobierno-que-autorice-la</w:t>
        </w:r>
      </w:hyperlink>
      <w:r w:rsidRPr="00984F6A">
        <w:rPr>
          <w:rFonts w:ascii="Bookman Old Style" w:hAnsi="Bookman Old Style"/>
        </w:rPr>
        <w:t xml:space="preserve"> </w:t>
      </w:r>
    </w:p>
  </w:footnote>
  <w:footnote w:id="6">
    <w:p w14:paraId="1765340F" w14:textId="4628DE03" w:rsidR="00D96B04" w:rsidRPr="00984F6A" w:rsidRDefault="00D96B04"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hyperlink r:id="rId4" w:history="1">
        <w:r w:rsidRPr="00984F6A">
          <w:rPr>
            <w:rStyle w:val="Hipervnculo"/>
            <w:rFonts w:ascii="Bookman Old Style" w:hAnsi="Bookman Old Style"/>
          </w:rPr>
          <w:t>https://www.cochilco.cl/Mercado%20de%20Metales/Mercado%20del%20Litio%20-%20Proyecciones%20al%202035%20-06.06.2023I.pdf</w:t>
        </w:r>
      </w:hyperlink>
      <w:r w:rsidRPr="00984F6A">
        <w:rPr>
          <w:rFonts w:ascii="Bookman Old Style" w:hAnsi="Bookman Old Style"/>
        </w:rPr>
        <w:t xml:space="preserve"> </w:t>
      </w:r>
    </w:p>
  </w:footnote>
  <w:footnote w:id="7">
    <w:p w14:paraId="0F03200A" w14:textId="7F2DEF8F" w:rsidR="00A80FD9" w:rsidRPr="00984F6A" w:rsidRDefault="00A80FD9" w:rsidP="00984F6A">
      <w:pPr>
        <w:pStyle w:val="Textonotapie"/>
        <w:jc w:val="both"/>
        <w:rPr>
          <w:rFonts w:ascii="Bookman Old Style" w:hAnsi="Bookman Old Style"/>
        </w:rPr>
      </w:pPr>
      <w:r w:rsidRPr="00984F6A">
        <w:rPr>
          <w:rStyle w:val="Refdenotaalpie"/>
          <w:rFonts w:ascii="Bookman Old Style" w:hAnsi="Bookman Old Style"/>
        </w:rPr>
        <w:footnoteRef/>
      </w:r>
      <w:r w:rsidR="004420D4" w:rsidRPr="00984F6A">
        <w:rPr>
          <w:rFonts w:ascii="Bookman Old Style" w:hAnsi="Bookman Old Style"/>
        </w:rPr>
        <w:t xml:space="preserve"> Cochilco, El Mercado de Litio. Desarrollo reciente y proyecciones al 2035, mayo 2023, </w:t>
      </w:r>
      <w:r w:rsidRPr="00984F6A">
        <w:rPr>
          <w:rFonts w:ascii="Bookman Old Style" w:hAnsi="Bookman Old Style"/>
        </w:rPr>
        <w:t xml:space="preserve"> </w:t>
      </w:r>
      <w:hyperlink r:id="rId5" w:history="1">
        <w:r w:rsidRPr="00984F6A">
          <w:rPr>
            <w:rStyle w:val="Hipervnculo"/>
            <w:rFonts w:ascii="Bookman Old Style" w:hAnsi="Bookman Old Style"/>
          </w:rPr>
          <w:t>https://www.cochilco.cl/Mercado%20de%20Metales/Mercado%20del%20Litio%20-%20Proyecciones%20al%202035%20-06.06.2023I.pdf</w:t>
        </w:r>
      </w:hyperlink>
      <w:r w:rsidRPr="00984F6A">
        <w:rPr>
          <w:rFonts w:ascii="Bookman Old Style" w:hAnsi="Bookman Old Style"/>
        </w:rPr>
        <w:t xml:space="preserve"> </w:t>
      </w:r>
    </w:p>
  </w:footnote>
  <w:footnote w:id="8">
    <w:p w14:paraId="1FD32531" w14:textId="7D714E50" w:rsidR="004420D4" w:rsidRPr="00984F6A" w:rsidRDefault="004420D4"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Cochilco, El Mercado de Litio. Desarrollo reciente y proyecciones al 2035, mayo 2023,  </w:t>
      </w:r>
      <w:hyperlink r:id="rId6" w:history="1">
        <w:r w:rsidRPr="00984F6A">
          <w:rPr>
            <w:rStyle w:val="Hipervnculo"/>
            <w:rFonts w:ascii="Bookman Old Style" w:hAnsi="Bookman Old Style"/>
          </w:rPr>
          <w:t>https://www.cochilco.cl/Mercado%20de%20Metales/Mercado%20del%20Litio%20-%20Proyecciones%20al%202035%20-06.06.2023I.pdf</w:t>
        </w:r>
      </w:hyperlink>
    </w:p>
    <w:p w14:paraId="1B20E370" w14:textId="6F65DB61" w:rsidR="004420D4" w:rsidRPr="00984F6A" w:rsidRDefault="004420D4" w:rsidP="00984F6A">
      <w:pPr>
        <w:pStyle w:val="Textonotapie"/>
        <w:jc w:val="both"/>
        <w:rPr>
          <w:rFonts w:ascii="Bookman Old Style" w:hAnsi="Bookman Old Style"/>
        </w:rPr>
      </w:pPr>
      <w:r w:rsidRPr="00984F6A">
        <w:rPr>
          <w:rFonts w:ascii="Bookman Old Style" w:hAnsi="Bookman Old Style"/>
        </w:rPr>
        <w:t xml:space="preserve">Morales Estay, Pablo, Situación de la industria del litio en Australia, Biblioteca del Congreso Nacional de Chile, enero de 2022, p. 3. Disponible en </w:t>
      </w:r>
      <w:hyperlink r:id="rId7" w:history="1">
        <w:r w:rsidRPr="00984F6A">
          <w:rPr>
            <w:rStyle w:val="Hipervnculo"/>
            <w:rFonts w:ascii="Bookman Old Style" w:hAnsi="Bookman Old Style"/>
          </w:rPr>
          <w:t>https://obtienearchivo.bcn.cl/obtienearchivo?id=repositorio/10221/32857/1/Situacio__n_de_la_indus tria_del_litio_en_Australia.pdf</w:t>
        </w:r>
      </w:hyperlink>
      <w:r w:rsidRPr="00984F6A">
        <w:rPr>
          <w:rFonts w:ascii="Bookman Old Style" w:hAnsi="Bookman Old Style"/>
        </w:rPr>
        <w:t xml:space="preserve"> </w:t>
      </w:r>
    </w:p>
  </w:footnote>
  <w:footnote w:id="9">
    <w:p w14:paraId="145B1A1A" w14:textId="44077FF6" w:rsidR="00030D27" w:rsidRPr="00984F6A" w:rsidRDefault="00030D27"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hyperlink r:id="rId8" w:history="1">
        <w:r w:rsidRPr="00984F6A">
          <w:rPr>
            <w:rStyle w:val="Hipervnculo"/>
            <w:rFonts w:ascii="Bookman Old Style" w:hAnsi="Bookman Old Style"/>
          </w:rPr>
          <w:t>https://www.elmercurio.com/blogs/2023/03/06/105613/liberen-al-litio.aspx</w:t>
        </w:r>
      </w:hyperlink>
      <w:r w:rsidRPr="00984F6A">
        <w:rPr>
          <w:rFonts w:ascii="Bookman Old Style" w:hAnsi="Bookman Old Style"/>
        </w:rPr>
        <w:t xml:space="preserve"> </w:t>
      </w:r>
    </w:p>
  </w:footnote>
  <w:footnote w:id="10">
    <w:p w14:paraId="22B2445A" w14:textId="577B4BD9" w:rsidR="00B21DBA" w:rsidRPr="00984F6A" w:rsidRDefault="00B21DBA"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POVEDA B., Rafael, Estudio de caso sobre la gobernanza del litio en Chile, en serie Recursos Naturales y Desarrollo N° 195, Santiago, Comisión Económica para América Latina y el Caribe (CEPAL), 2020, página </w:t>
      </w:r>
      <w:r w:rsidR="00BF406F" w:rsidRPr="00984F6A">
        <w:rPr>
          <w:rFonts w:ascii="Bookman Old Style" w:hAnsi="Bookman Old Style"/>
        </w:rPr>
        <w:t>54</w:t>
      </w:r>
      <w:r w:rsidRPr="00984F6A">
        <w:rPr>
          <w:rFonts w:ascii="Bookman Old Style" w:hAnsi="Bookman Old Style"/>
        </w:rPr>
        <w:t xml:space="preserve">, disponible en: </w:t>
      </w:r>
      <w:hyperlink r:id="rId9" w:history="1">
        <w:r w:rsidRPr="00984F6A">
          <w:rPr>
            <w:rStyle w:val="Hipervnculo"/>
            <w:rFonts w:ascii="Bookman Old Style" w:hAnsi="Bookman Old Style"/>
          </w:rPr>
          <w:t>https://repositorio.cepal.org/bitstream/handle/11362/45683/S2000204_es.pdf</w:t>
        </w:r>
      </w:hyperlink>
      <w:r w:rsidRPr="00984F6A">
        <w:rPr>
          <w:rFonts w:ascii="Bookman Old Style" w:hAnsi="Bookman Old Style"/>
        </w:rPr>
        <w:t xml:space="preserve"> </w:t>
      </w:r>
    </w:p>
  </w:footnote>
  <w:footnote w:id="11">
    <w:p w14:paraId="2559E6E8" w14:textId="509E9080" w:rsidR="00CA2360" w:rsidRPr="00984F6A" w:rsidRDefault="00CA2360"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hyperlink r:id="rId10" w:history="1">
        <w:r w:rsidRPr="00984F6A">
          <w:rPr>
            <w:rStyle w:val="Hipervnculo"/>
            <w:rFonts w:ascii="Bookman Old Style" w:hAnsi="Bookman Old Style"/>
          </w:rPr>
          <w:t>https://pivotes.cl/wp-content/uploads/2023/08/Pivotes-Corproa-Solicitud-de-ERN-por-mercado-del-litio.pdf</w:t>
        </w:r>
      </w:hyperlink>
      <w:r w:rsidRPr="00984F6A">
        <w:rPr>
          <w:rFonts w:ascii="Bookman Old Style" w:hAnsi="Bookman Old Style"/>
        </w:rPr>
        <w:t xml:space="preserve"> </w:t>
      </w:r>
    </w:p>
  </w:footnote>
  <w:footnote w:id="12">
    <w:p w14:paraId="18513F23" w14:textId="4305EBA8" w:rsidR="001612B6" w:rsidRPr="00984F6A" w:rsidRDefault="001612B6"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Sentencia CS Rol 8507 – 2022 considerando 17.</w:t>
      </w:r>
    </w:p>
  </w:footnote>
  <w:footnote w:id="13">
    <w:p w14:paraId="0341B85C" w14:textId="72794315" w:rsidR="007F4080" w:rsidRPr="00984F6A" w:rsidRDefault="007F4080"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hyperlink r:id="rId11" w:history="1">
        <w:r w:rsidRPr="00984F6A">
          <w:rPr>
            <w:rStyle w:val="Hipervnculo"/>
            <w:rFonts w:ascii="Bookman Old Style" w:hAnsi="Bookman Old Style"/>
          </w:rPr>
          <w:t>https://www.diarioconstitucional.cl/wp-content/uploads/2022/03/Informe_TDLC_Mineria_NC_505-2021-1.pdf</w:t>
        </w:r>
      </w:hyperlink>
      <w:r w:rsidRPr="00984F6A">
        <w:rPr>
          <w:rFonts w:ascii="Bookman Old Style" w:hAnsi="Bookman Old Style"/>
        </w:rPr>
        <w:t xml:space="preserve"> </w:t>
      </w:r>
    </w:p>
  </w:footnote>
  <w:footnote w:id="14">
    <w:p w14:paraId="76EBC151" w14:textId="673588F1" w:rsidR="007F4080" w:rsidRPr="00984F6A" w:rsidRDefault="007F4080" w:rsidP="00984F6A">
      <w:pPr>
        <w:pStyle w:val="Textonotapie"/>
        <w:jc w:val="both"/>
        <w:rPr>
          <w:rFonts w:ascii="Bookman Old Style" w:hAnsi="Bookman Old Style"/>
        </w:rPr>
      </w:pPr>
      <w:r w:rsidRPr="00984F6A">
        <w:rPr>
          <w:rStyle w:val="Refdenotaalpie"/>
          <w:rFonts w:ascii="Bookman Old Style" w:hAnsi="Bookman Old Style"/>
        </w:rPr>
        <w:footnoteRef/>
      </w:r>
      <w:r w:rsidRPr="00984F6A">
        <w:rPr>
          <w:rFonts w:ascii="Bookman Old Style" w:hAnsi="Bookman Old Style"/>
        </w:rPr>
        <w:t xml:space="preserve"> </w:t>
      </w:r>
      <w:hyperlink r:id="rId12" w:history="1">
        <w:r w:rsidRPr="00984F6A">
          <w:rPr>
            <w:rStyle w:val="Hipervnculo"/>
            <w:rFonts w:ascii="Bookman Old Style" w:hAnsi="Bookman Old Style"/>
          </w:rPr>
          <w:t>https://www.latercera.com/opinion/noticia/liberen-al-litio/WKQYHFQ7E5ED3GFAVGQKDQRKX4/</w:t>
        </w:r>
      </w:hyperlink>
      <w:r w:rsidRPr="00984F6A">
        <w:rPr>
          <w:rFonts w:ascii="Bookman Old Style" w:hAnsi="Bookman Old Sty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63EF"/>
    <w:multiLevelType w:val="hybridMultilevel"/>
    <w:tmpl w:val="38CEA760"/>
    <w:lvl w:ilvl="0" w:tplc="B178DB1C">
      <w:start w:val="1"/>
      <w:numFmt w:val="decimal"/>
      <w:lvlText w:val="%1."/>
      <w:lvlJc w:val="left"/>
      <w:pPr>
        <w:ind w:left="720" w:hanging="36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DE130C"/>
    <w:multiLevelType w:val="hybridMultilevel"/>
    <w:tmpl w:val="E834B7D4"/>
    <w:lvl w:ilvl="0" w:tplc="340A0019">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1A654498"/>
    <w:multiLevelType w:val="hybridMultilevel"/>
    <w:tmpl w:val="16DEBA3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997AB3"/>
    <w:multiLevelType w:val="hybridMultilevel"/>
    <w:tmpl w:val="F642CB36"/>
    <w:lvl w:ilvl="0" w:tplc="5936CEEC">
      <w:start w:val="1"/>
      <w:numFmt w:val="decimal"/>
      <w:lvlText w:val="%1."/>
      <w:lvlJc w:val="left"/>
      <w:pPr>
        <w:ind w:left="102" w:hanging="708"/>
      </w:pPr>
      <w:rPr>
        <w:rFonts w:ascii="Arial" w:eastAsia="Arial" w:hAnsi="Arial" w:cs="Arial" w:hint="default"/>
        <w:spacing w:val="-34"/>
        <w:w w:val="99"/>
        <w:sz w:val="24"/>
        <w:szCs w:val="24"/>
        <w:lang w:val="es-ES" w:eastAsia="en-US" w:bidi="ar-SA"/>
      </w:rPr>
    </w:lvl>
    <w:lvl w:ilvl="1" w:tplc="AEBE58AC">
      <w:numFmt w:val="bullet"/>
      <w:lvlText w:val="•"/>
      <w:lvlJc w:val="left"/>
      <w:pPr>
        <w:ind w:left="996" w:hanging="708"/>
      </w:pPr>
      <w:rPr>
        <w:rFonts w:hint="default"/>
        <w:lang w:val="es-ES" w:eastAsia="en-US" w:bidi="ar-SA"/>
      </w:rPr>
    </w:lvl>
    <w:lvl w:ilvl="2" w:tplc="4024F388">
      <w:numFmt w:val="bullet"/>
      <w:lvlText w:val="•"/>
      <w:lvlJc w:val="left"/>
      <w:pPr>
        <w:ind w:left="1892" w:hanging="708"/>
      </w:pPr>
      <w:rPr>
        <w:rFonts w:hint="default"/>
        <w:lang w:val="es-ES" w:eastAsia="en-US" w:bidi="ar-SA"/>
      </w:rPr>
    </w:lvl>
    <w:lvl w:ilvl="3" w:tplc="287C84BA">
      <w:numFmt w:val="bullet"/>
      <w:lvlText w:val="•"/>
      <w:lvlJc w:val="left"/>
      <w:pPr>
        <w:ind w:left="2788" w:hanging="708"/>
      </w:pPr>
      <w:rPr>
        <w:rFonts w:hint="default"/>
        <w:lang w:val="es-ES" w:eastAsia="en-US" w:bidi="ar-SA"/>
      </w:rPr>
    </w:lvl>
    <w:lvl w:ilvl="4" w:tplc="46E880DC">
      <w:numFmt w:val="bullet"/>
      <w:lvlText w:val="•"/>
      <w:lvlJc w:val="left"/>
      <w:pPr>
        <w:ind w:left="3684" w:hanging="708"/>
      </w:pPr>
      <w:rPr>
        <w:rFonts w:hint="default"/>
        <w:lang w:val="es-ES" w:eastAsia="en-US" w:bidi="ar-SA"/>
      </w:rPr>
    </w:lvl>
    <w:lvl w:ilvl="5" w:tplc="DAF8E362">
      <w:numFmt w:val="bullet"/>
      <w:lvlText w:val="•"/>
      <w:lvlJc w:val="left"/>
      <w:pPr>
        <w:ind w:left="4581" w:hanging="708"/>
      </w:pPr>
      <w:rPr>
        <w:rFonts w:hint="default"/>
        <w:lang w:val="es-ES" w:eastAsia="en-US" w:bidi="ar-SA"/>
      </w:rPr>
    </w:lvl>
    <w:lvl w:ilvl="6" w:tplc="E3BEAED4">
      <w:numFmt w:val="bullet"/>
      <w:lvlText w:val="•"/>
      <w:lvlJc w:val="left"/>
      <w:pPr>
        <w:ind w:left="5477" w:hanging="708"/>
      </w:pPr>
      <w:rPr>
        <w:rFonts w:hint="default"/>
        <w:lang w:val="es-ES" w:eastAsia="en-US" w:bidi="ar-SA"/>
      </w:rPr>
    </w:lvl>
    <w:lvl w:ilvl="7" w:tplc="7AACADE4">
      <w:numFmt w:val="bullet"/>
      <w:lvlText w:val="•"/>
      <w:lvlJc w:val="left"/>
      <w:pPr>
        <w:ind w:left="6373" w:hanging="708"/>
      </w:pPr>
      <w:rPr>
        <w:rFonts w:hint="default"/>
        <w:lang w:val="es-ES" w:eastAsia="en-US" w:bidi="ar-SA"/>
      </w:rPr>
    </w:lvl>
    <w:lvl w:ilvl="8" w:tplc="AAECCB24">
      <w:numFmt w:val="bullet"/>
      <w:lvlText w:val="•"/>
      <w:lvlJc w:val="left"/>
      <w:pPr>
        <w:ind w:left="7269" w:hanging="708"/>
      </w:pPr>
      <w:rPr>
        <w:rFonts w:hint="default"/>
        <w:lang w:val="es-ES" w:eastAsia="en-US" w:bidi="ar-SA"/>
      </w:rPr>
    </w:lvl>
  </w:abstractNum>
  <w:abstractNum w:abstractNumId="4" w15:restartNumberingAfterBreak="0">
    <w:nsid w:val="2F60300D"/>
    <w:multiLevelType w:val="hybridMultilevel"/>
    <w:tmpl w:val="17462E66"/>
    <w:lvl w:ilvl="0" w:tplc="539C156C">
      <w:start w:val="1"/>
      <w:numFmt w:val="decimal"/>
      <w:lvlText w:val="%1."/>
      <w:lvlJc w:val="left"/>
      <w:pPr>
        <w:ind w:left="1280" w:hanging="360"/>
      </w:pPr>
      <w:rPr>
        <w:rFonts w:hint="default"/>
        <w:sz w:val="24"/>
      </w:rPr>
    </w:lvl>
    <w:lvl w:ilvl="1" w:tplc="340A0019" w:tentative="1">
      <w:start w:val="1"/>
      <w:numFmt w:val="lowerLetter"/>
      <w:lvlText w:val="%2."/>
      <w:lvlJc w:val="left"/>
      <w:pPr>
        <w:ind w:left="2000" w:hanging="360"/>
      </w:pPr>
    </w:lvl>
    <w:lvl w:ilvl="2" w:tplc="340A001B" w:tentative="1">
      <w:start w:val="1"/>
      <w:numFmt w:val="lowerRoman"/>
      <w:lvlText w:val="%3."/>
      <w:lvlJc w:val="right"/>
      <w:pPr>
        <w:ind w:left="2720" w:hanging="180"/>
      </w:pPr>
    </w:lvl>
    <w:lvl w:ilvl="3" w:tplc="340A000F" w:tentative="1">
      <w:start w:val="1"/>
      <w:numFmt w:val="decimal"/>
      <w:lvlText w:val="%4."/>
      <w:lvlJc w:val="left"/>
      <w:pPr>
        <w:ind w:left="3440" w:hanging="360"/>
      </w:pPr>
    </w:lvl>
    <w:lvl w:ilvl="4" w:tplc="340A0019" w:tentative="1">
      <w:start w:val="1"/>
      <w:numFmt w:val="lowerLetter"/>
      <w:lvlText w:val="%5."/>
      <w:lvlJc w:val="left"/>
      <w:pPr>
        <w:ind w:left="4160" w:hanging="360"/>
      </w:pPr>
    </w:lvl>
    <w:lvl w:ilvl="5" w:tplc="340A001B" w:tentative="1">
      <w:start w:val="1"/>
      <w:numFmt w:val="lowerRoman"/>
      <w:lvlText w:val="%6."/>
      <w:lvlJc w:val="right"/>
      <w:pPr>
        <w:ind w:left="4880" w:hanging="180"/>
      </w:pPr>
    </w:lvl>
    <w:lvl w:ilvl="6" w:tplc="340A000F" w:tentative="1">
      <w:start w:val="1"/>
      <w:numFmt w:val="decimal"/>
      <w:lvlText w:val="%7."/>
      <w:lvlJc w:val="left"/>
      <w:pPr>
        <w:ind w:left="5600" w:hanging="360"/>
      </w:pPr>
    </w:lvl>
    <w:lvl w:ilvl="7" w:tplc="340A0019" w:tentative="1">
      <w:start w:val="1"/>
      <w:numFmt w:val="lowerLetter"/>
      <w:lvlText w:val="%8."/>
      <w:lvlJc w:val="left"/>
      <w:pPr>
        <w:ind w:left="6320" w:hanging="360"/>
      </w:pPr>
    </w:lvl>
    <w:lvl w:ilvl="8" w:tplc="340A001B" w:tentative="1">
      <w:start w:val="1"/>
      <w:numFmt w:val="lowerRoman"/>
      <w:lvlText w:val="%9."/>
      <w:lvlJc w:val="right"/>
      <w:pPr>
        <w:ind w:left="7040" w:hanging="180"/>
      </w:pPr>
    </w:lvl>
  </w:abstractNum>
  <w:abstractNum w:abstractNumId="5" w15:restartNumberingAfterBreak="0">
    <w:nsid w:val="36E76CAB"/>
    <w:multiLevelType w:val="hybridMultilevel"/>
    <w:tmpl w:val="0568B330"/>
    <w:lvl w:ilvl="0" w:tplc="676E4680">
      <w:start w:val="1"/>
      <w:numFmt w:val="decimal"/>
      <w:lvlText w:val="%1."/>
      <w:lvlJc w:val="left"/>
      <w:pPr>
        <w:ind w:left="1280" w:hanging="360"/>
      </w:pPr>
      <w:rPr>
        <w:rFonts w:hint="default"/>
      </w:rPr>
    </w:lvl>
    <w:lvl w:ilvl="1" w:tplc="340A0019" w:tentative="1">
      <w:start w:val="1"/>
      <w:numFmt w:val="lowerLetter"/>
      <w:lvlText w:val="%2."/>
      <w:lvlJc w:val="left"/>
      <w:pPr>
        <w:ind w:left="2000" w:hanging="360"/>
      </w:pPr>
    </w:lvl>
    <w:lvl w:ilvl="2" w:tplc="340A001B" w:tentative="1">
      <w:start w:val="1"/>
      <w:numFmt w:val="lowerRoman"/>
      <w:lvlText w:val="%3."/>
      <w:lvlJc w:val="right"/>
      <w:pPr>
        <w:ind w:left="2720" w:hanging="180"/>
      </w:pPr>
    </w:lvl>
    <w:lvl w:ilvl="3" w:tplc="340A000F" w:tentative="1">
      <w:start w:val="1"/>
      <w:numFmt w:val="decimal"/>
      <w:lvlText w:val="%4."/>
      <w:lvlJc w:val="left"/>
      <w:pPr>
        <w:ind w:left="3440" w:hanging="360"/>
      </w:pPr>
    </w:lvl>
    <w:lvl w:ilvl="4" w:tplc="340A0019" w:tentative="1">
      <w:start w:val="1"/>
      <w:numFmt w:val="lowerLetter"/>
      <w:lvlText w:val="%5."/>
      <w:lvlJc w:val="left"/>
      <w:pPr>
        <w:ind w:left="4160" w:hanging="360"/>
      </w:pPr>
    </w:lvl>
    <w:lvl w:ilvl="5" w:tplc="340A001B" w:tentative="1">
      <w:start w:val="1"/>
      <w:numFmt w:val="lowerRoman"/>
      <w:lvlText w:val="%6."/>
      <w:lvlJc w:val="right"/>
      <w:pPr>
        <w:ind w:left="4880" w:hanging="180"/>
      </w:pPr>
    </w:lvl>
    <w:lvl w:ilvl="6" w:tplc="340A000F" w:tentative="1">
      <w:start w:val="1"/>
      <w:numFmt w:val="decimal"/>
      <w:lvlText w:val="%7."/>
      <w:lvlJc w:val="left"/>
      <w:pPr>
        <w:ind w:left="5600" w:hanging="360"/>
      </w:pPr>
    </w:lvl>
    <w:lvl w:ilvl="7" w:tplc="340A0019" w:tentative="1">
      <w:start w:val="1"/>
      <w:numFmt w:val="lowerLetter"/>
      <w:lvlText w:val="%8."/>
      <w:lvlJc w:val="left"/>
      <w:pPr>
        <w:ind w:left="6320" w:hanging="360"/>
      </w:pPr>
    </w:lvl>
    <w:lvl w:ilvl="8" w:tplc="340A001B" w:tentative="1">
      <w:start w:val="1"/>
      <w:numFmt w:val="lowerRoman"/>
      <w:lvlText w:val="%9."/>
      <w:lvlJc w:val="right"/>
      <w:pPr>
        <w:ind w:left="7040" w:hanging="180"/>
      </w:pPr>
    </w:lvl>
  </w:abstractNum>
  <w:abstractNum w:abstractNumId="6" w15:restartNumberingAfterBreak="0">
    <w:nsid w:val="3BFE47EE"/>
    <w:multiLevelType w:val="hybridMultilevel"/>
    <w:tmpl w:val="4E603C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C08439C"/>
    <w:multiLevelType w:val="hybridMultilevel"/>
    <w:tmpl w:val="A22ABD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F8316DB"/>
    <w:multiLevelType w:val="hybridMultilevel"/>
    <w:tmpl w:val="E834B7D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020350276">
    <w:abstractNumId w:val="3"/>
  </w:num>
  <w:num w:numId="2" w16cid:durableId="1972981739">
    <w:abstractNumId w:val="4"/>
  </w:num>
  <w:num w:numId="3" w16cid:durableId="487862341">
    <w:abstractNumId w:val="2"/>
  </w:num>
  <w:num w:numId="4" w16cid:durableId="1190490774">
    <w:abstractNumId w:val="5"/>
  </w:num>
  <w:num w:numId="5" w16cid:durableId="551580667">
    <w:abstractNumId w:val="6"/>
  </w:num>
  <w:num w:numId="6" w16cid:durableId="544296167">
    <w:abstractNumId w:val="1"/>
  </w:num>
  <w:num w:numId="7" w16cid:durableId="91126209">
    <w:abstractNumId w:val="8"/>
  </w:num>
  <w:num w:numId="8" w16cid:durableId="378019483">
    <w:abstractNumId w:val="7"/>
  </w:num>
  <w:num w:numId="9" w16cid:durableId="22819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52"/>
    <w:rsid w:val="00017CC0"/>
    <w:rsid w:val="00030D27"/>
    <w:rsid w:val="000405C2"/>
    <w:rsid w:val="0008760B"/>
    <w:rsid w:val="000A592B"/>
    <w:rsid w:val="000C27D2"/>
    <w:rsid w:val="000C6370"/>
    <w:rsid w:val="00124027"/>
    <w:rsid w:val="001612B6"/>
    <w:rsid w:val="001618BC"/>
    <w:rsid w:val="00233D97"/>
    <w:rsid w:val="00237B01"/>
    <w:rsid w:val="00280EF8"/>
    <w:rsid w:val="00286996"/>
    <w:rsid w:val="002871F4"/>
    <w:rsid w:val="002A19C7"/>
    <w:rsid w:val="002B0566"/>
    <w:rsid w:val="002B540F"/>
    <w:rsid w:val="002C369D"/>
    <w:rsid w:val="002C5517"/>
    <w:rsid w:val="00302FD5"/>
    <w:rsid w:val="00322AC2"/>
    <w:rsid w:val="00326A89"/>
    <w:rsid w:val="003450D8"/>
    <w:rsid w:val="003D68F2"/>
    <w:rsid w:val="003F1393"/>
    <w:rsid w:val="004229BA"/>
    <w:rsid w:val="00426104"/>
    <w:rsid w:val="0042734F"/>
    <w:rsid w:val="004420D4"/>
    <w:rsid w:val="00465FE9"/>
    <w:rsid w:val="004B10EA"/>
    <w:rsid w:val="00562926"/>
    <w:rsid w:val="005764E5"/>
    <w:rsid w:val="005772A1"/>
    <w:rsid w:val="005E37F6"/>
    <w:rsid w:val="00627684"/>
    <w:rsid w:val="00720AFD"/>
    <w:rsid w:val="0074336C"/>
    <w:rsid w:val="0074744A"/>
    <w:rsid w:val="0076444D"/>
    <w:rsid w:val="00766AA8"/>
    <w:rsid w:val="007732EE"/>
    <w:rsid w:val="007F4080"/>
    <w:rsid w:val="008445A9"/>
    <w:rsid w:val="008C63A5"/>
    <w:rsid w:val="008E565B"/>
    <w:rsid w:val="008F2B8E"/>
    <w:rsid w:val="008F66A6"/>
    <w:rsid w:val="0090305C"/>
    <w:rsid w:val="00984F6A"/>
    <w:rsid w:val="009A386D"/>
    <w:rsid w:val="009B7EFE"/>
    <w:rsid w:val="009C4447"/>
    <w:rsid w:val="009D5C7D"/>
    <w:rsid w:val="00A0158E"/>
    <w:rsid w:val="00A127B0"/>
    <w:rsid w:val="00A56B31"/>
    <w:rsid w:val="00A80FD9"/>
    <w:rsid w:val="00AE5EDD"/>
    <w:rsid w:val="00B21DBA"/>
    <w:rsid w:val="00B354EA"/>
    <w:rsid w:val="00B83054"/>
    <w:rsid w:val="00BA734D"/>
    <w:rsid w:val="00BC3C13"/>
    <w:rsid w:val="00BF406F"/>
    <w:rsid w:val="00C13D48"/>
    <w:rsid w:val="00C220FE"/>
    <w:rsid w:val="00C63636"/>
    <w:rsid w:val="00C64246"/>
    <w:rsid w:val="00CA2360"/>
    <w:rsid w:val="00CD439C"/>
    <w:rsid w:val="00D1066F"/>
    <w:rsid w:val="00D37FB9"/>
    <w:rsid w:val="00D42B8A"/>
    <w:rsid w:val="00D540F6"/>
    <w:rsid w:val="00D96B04"/>
    <w:rsid w:val="00E2113D"/>
    <w:rsid w:val="00E2417B"/>
    <w:rsid w:val="00E40B32"/>
    <w:rsid w:val="00E43952"/>
    <w:rsid w:val="00E57ED4"/>
    <w:rsid w:val="00E660A8"/>
    <w:rsid w:val="00E75C9C"/>
    <w:rsid w:val="00E8111D"/>
    <w:rsid w:val="00EA07D9"/>
    <w:rsid w:val="00EF505B"/>
    <w:rsid w:val="00F172EF"/>
    <w:rsid w:val="00F525AA"/>
    <w:rsid w:val="00F742B0"/>
    <w:rsid w:val="00FB24EF"/>
    <w:rsid w:val="00FD4DB5"/>
    <w:rsid w:val="00FE19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1BD"/>
  <w15:docId w15:val="{25FB30F3-61BC-4279-8117-9171E633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right="11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right="116"/>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618BC"/>
    <w:rPr>
      <w:sz w:val="20"/>
      <w:szCs w:val="20"/>
    </w:rPr>
  </w:style>
  <w:style w:type="character" w:customStyle="1" w:styleId="TextonotapieCar">
    <w:name w:val="Texto nota pie Car"/>
    <w:basedOn w:val="Fuentedeprrafopredeter"/>
    <w:link w:val="Textonotapie"/>
    <w:uiPriority w:val="99"/>
    <w:semiHidden/>
    <w:rsid w:val="001618B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618BC"/>
    <w:rPr>
      <w:vertAlign w:val="superscript"/>
    </w:rPr>
  </w:style>
  <w:style w:type="character" w:styleId="Hipervnculo">
    <w:name w:val="Hyperlink"/>
    <w:basedOn w:val="Fuentedeprrafopredeter"/>
    <w:uiPriority w:val="99"/>
    <w:unhideWhenUsed/>
    <w:rsid w:val="00EA07D9"/>
    <w:rPr>
      <w:color w:val="0000FF" w:themeColor="hyperlink"/>
      <w:u w:val="single"/>
    </w:rPr>
  </w:style>
  <w:style w:type="character" w:styleId="Mencinsinresolver">
    <w:name w:val="Unresolved Mention"/>
    <w:basedOn w:val="Fuentedeprrafopredeter"/>
    <w:uiPriority w:val="99"/>
    <w:semiHidden/>
    <w:unhideWhenUsed/>
    <w:rsid w:val="00EA07D9"/>
    <w:rPr>
      <w:color w:val="605E5C"/>
      <w:shd w:val="clear" w:color="auto" w:fill="E1DFDD"/>
    </w:rPr>
  </w:style>
  <w:style w:type="paragraph" w:styleId="Revisin">
    <w:name w:val="Revision"/>
    <w:hidden/>
    <w:uiPriority w:val="99"/>
    <w:semiHidden/>
    <w:rsid w:val="004B10EA"/>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4B10EA"/>
    <w:rPr>
      <w:sz w:val="16"/>
      <w:szCs w:val="16"/>
    </w:rPr>
  </w:style>
  <w:style w:type="paragraph" w:styleId="Textocomentario">
    <w:name w:val="annotation text"/>
    <w:basedOn w:val="Normal"/>
    <w:link w:val="TextocomentarioCar"/>
    <w:uiPriority w:val="99"/>
    <w:semiHidden/>
    <w:unhideWhenUsed/>
    <w:rsid w:val="004B10EA"/>
    <w:rPr>
      <w:sz w:val="20"/>
      <w:szCs w:val="20"/>
    </w:rPr>
  </w:style>
  <w:style w:type="character" w:customStyle="1" w:styleId="TextocomentarioCar">
    <w:name w:val="Texto comentario Car"/>
    <w:basedOn w:val="Fuentedeprrafopredeter"/>
    <w:link w:val="Textocomentario"/>
    <w:uiPriority w:val="99"/>
    <w:semiHidden/>
    <w:rsid w:val="004B10E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4B10EA"/>
    <w:rPr>
      <w:b/>
      <w:bCs/>
    </w:rPr>
  </w:style>
  <w:style w:type="character" w:customStyle="1" w:styleId="AsuntodelcomentarioCar">
    <w:name w:val="Asunto del comentario Car"/>
    <w:basedOn w:val="TextocomentarioCar"/>
    <w:link w:val="Asuntodelcomentario"/>
    <w:uiPriority w:val="99"/>
    <w:semiHidden/>
    <w:rsid w:val="004B10EA"/>
    <w:rPr>
      <w:rFonts w:ascii="Arial" w:eastAsia="Arial" w:hAnsi="Arial" w:cs="Arial"/>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9350">
      <w:bodyDiv w:val="1"/>
      <w:marLeft w:val="0"/>
      <w:marRight w:val="0"/>
      <w:marTop w:val="0"/>
      <w:marBottom w:val="0"/>
      <w:divBdr>
        <w:top w:val="none" w:sz="0" w:space="0" w:color="auto"/>
        <w:left w:val="none" w:sz="0" w:space="0" w:color="auto"/>
        <w:bottom w:val="none" w:sz="0" w:space="0" w:color="auto"/>
        <w:right w:val="none" w:sz="0" w:space="0" w:color="auto"/>
      </w:divBdr>
    </w:div>
    <w:div w:id="346248132">
      <w:bodyDiv w:val="1"/>
      <w:marLeft w:val="0"/>
      <w:marRight w:val="0"/>
      <w:marTop w:val="0"/>
      <w:marBottom w:val="0"/>
      <w:divBdr>
        <w:top w:val="none" w:sz="0" w:space="0" w:color="auto"/>
        <w:left w:val="none" w:sz="0" w:space="0" w:color="auto"/>
        <w:bottom w:val="none" w:sz="0" w:space="0" w:color="auto"/>
        <w:right w:val="none" w:sz="0" w:space="0" w:color="auto"/>
      </w:divBdr>
    </w:div>
    <w:div w:id="837384028">
      <w:bodyDiv w:val="1"/>
      <w:marLeft w:val="0"/>
      <w:marRight w:val="0"/>
      <w:marTop w:val="0"/>
      <w:marBottom w:val="0"/>
      <w:divBdr>
        <w:top w:val="none" w:sz="0" w:space="0" w:color="auto"/>
        <w:left w:val="none" w:sz="0" w:space="0" w:color="auto"/>
        <w:bottom w:val="none" w:sz="0" w:space="0" w:color="auto"/>
        <w:right w:val="none" w:sz="0" w:space="0" w:color="auto"/>
      </w:divBdr>
    </w:div>
    <w:div w:id="1112893444">
      <w:bodyDiv w:val="1"/>
      <w:marLeft w:val="0"/>
      <w:marRight w:val="0"/>
      <w:marTop w:val="0"/>
      <w:marBottom w:val="0"/>
      <w:divBdr>
        <w:top w:val="none" w:sz="0" w:space="0" w:color="auto"/>
        <w:left w:val="none" w:sz="0" w:space="0" w:color="auto"/>
        <w:bottom w:val="none" w:sz="0" w:space="0" w:color="auto"/>
        <w:right w:val="none" w:sz="0" w:space="0" w:color="auto"/>
      </w:divBdr>
    </w:div>
    <w:div w:id="1552768602">
      <w:bodyDiv w:val="1"/>
      <w:marLeft w:val="0"/>
      <w:marRight w:val="0"/>
      <w:marTop w:val="0"/>
      <w:marBottom w:val="0"/>
      <w:divBdr>
        <w:top w:val="none" w:sz="0" w:space="0" w:color="auto"/>
        <w:left w:val="none" w:sz="0" w:space="0" w:color="auto"/>
        <w:bottom w:val="none" w:sz="0" w:space="0" w:color="auto"/>
        <w:right w:val="none" w:sz="0" w:space="0" w:color="auto"/>
      </w:divBdr>
    </w:div>
    <w:div w:id="2027902665">
      <w:bodyDiv w:val="1"/>
      <w:marLeft w:val="0"/>
      <w:marRight w:val="0"/>
      <w:marTop w:val="0"/>
      <w:marBottom w:val="0"/>
      <w:divBdr>
        <w:top w:val="none" w:sz="0" w:space="0" w:color="auto"/>
        <w:left w:val="none" w:sz="0" w:space="0" w:color="auto"/>
        <w:bottom w:val="none" w:sz="0" w:space="0" w:color="auto"/>
        <w:right w:val="none" w:sz="0" w:space="0" w:color="auto"/>
      </w:divBdr>
    </w:div>
    <w:div w:id="210568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lmercurio.com/blogs/2023/03/06/105613/liberen-al-litio.aspx" TargetMode="External"/><Relationship Id="rId3" Type="http://schemas.openxmlformats.org/officeDocument/2006/relationships/hyperlink" Target="https://www.df.cl/empresas/mineria/mineros-del-salar-maricunga-piden-al-gobierno-que-autorice-la" TargetMode="External"/><Relationship Id="rId7" Type="http://schemas.openxmlformats.org/officeDocument/2006/relationships/hyperlink" Target="https://obtienearchivo.bcn.cl/obtienearchivo?id=repositorio/10221/32857/1/Situacio__n_de_la_indus%20tria_del_litio_en_Australia.pdf" TargetMode="External"/><Relationship Id="rId12" Type="http://schemas.openxmlformats.org/officeDocument/2006/relationships/hyperlink" Target="https://www.latercera.com/opinion/noticia/liberen-al-litio/WKQYHFQ7E5ED3GFAVGQKDQRKX4/" TargetMode="External"/><Relationship Id="rId2" Type="http://schemas.openxmlformats.org/officeDocument/2006/relationships/hyperlink" Target="https://pivotes.cl/wp-content/uploads/2023/08/Pivotes-Corproa-Solicitud-de-ERN-por-mercado-del-litio.pdf" TargetMode="External"/><Relationship Id="rId1" Type="http://schemas.openxmlformats.org/officeDocument/2006/relationships/hyperlink" Target="https://www.fne.gob.cl/wp-content/uploads/2022/03/NC-505-2021_FNE_Aporta-antecedentes-Litio-1.pdf" TargetMode="External"/><Relationship Id="rId6" Type="http://schemas.openxmlformats.org/officeDocument/2006/relationships/hyperlink" Target="https://www.cochilco.cl/Mercado%20de%20Metales/Mercado%20del%20Litio%20-%20Proyecciones%20al%202035%20-06.06.2023I.pdf" TargetMode="External"/><Relationship Id="rId11" Type="http://schemas.openxmlformats.org/officeDocument/2006/relationships/hyperlink" Target="https://www.diarioconstitucional.cl/wp-content/uploads/2022/03/Informe_TDLC_Mineria_NC_505-2021-1.pdf" TargetMode="External"/><Relationship Id="rId5" Type="http://schemas.openxmlformats.org/officeDocument/2006/relationships/hyperlink" Target="https://www.cochilco.cl/Mercado%20de%20Metales/Mercado%20del%20Litio%20-%20Proyecciones%20al%202035%20-06.06.2023I.pdf" TargetMode="External"/><Relationship Id="rId10" Type="http://schemas.openxmlformats.org/officeDocument/2006/relationships/hyperlink" Target="https://pivotes.cl/wp-content/uploads/2023/08/Pivotes-Corproa-Solicitud-de-ERN-por-mercado-del-litio.pdf" TargetMode="External"/><Relationship Id="rId4" Type="http://schemas.openxmlformats.org/officeDocument/2006/relationships/hyperlink" Target="https://www.cochilco.cl/Mercado%20de%20Metales/Mercado%20del%20Litio%20-%20Proyecciones%20al%202035%20-06.06.2023I.pdf" TargetMode="External"/><Relationship Id="rId9" Type="http://schemas.openxmlformats.org/officeDocument/2006/relationships/hyperlink" Target="https://repositorio.cepal.org/bitstream/handle/11362/45683/S2000204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E44D-84AE-469A-B5F4-C3A805D4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3</Pages>
  <Words>3361</Words>
  <Characters>18486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LCONTRERASS</dc:creator>
  <cp:lastModifiedBy>Guillermo Diaz Vallejos</cp:lastModifiedBy>
  <cp:revision>1</cp:revision>
  <cp:lastPrinted>2023-08-25T16:05:00Z</cp:lastPrinted>
  <dcterms:created xsi:type="dcterms:W3CDTF">2023-10-31T23:17:00Z</dcterms:created>
  <dcterms:modified xsi:type="dcterms:W3CDTF">2024-04-24T16:34:00Z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2013</vt:lpwstr>
  </property>
  <property fmtid="{D5CDD505-2E9C-101B-9397-08002B2CF9AE}" pid="4" name="LastSaved">
    <vt:filetime>2023-08-17T00:00:00Z</vt:filetime>
  </property>
</Properties>
</file>