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2A92" w:rsidRDefault="00922A92">
      <w:pPr>
        <w:pStyle w:val="Textoindependiente"/>
        <w:rPr>
          <w:rFonts w:ascii="Times New Roman"/>
          <w:sz w:val="22"/>
        </w:rPr>
      </w:pPr>
    </w:p>
    <w:p w:rsidR="00922A92" w:rsidRDefault="00922A92">
      <w:pPr>
        <w:pStyle w:val="Textoindependiente"/>
        <w:rPr>
          <w:rFonts w:ascii="Times New Roman"/>
          <w:sz w:val="22"/>
        </w:rPr>
      </w:pPr>
    </w:p>
    <w:p w:rsidR="00922A92" w:rsidRDefault="00922A92">
      <w:pPr>
        <w:pStyle w:val="Textoindependiente"/>
        <w:spacing w:before="44"/>
        <w:rPr>
          <w:rFonts w:ascii="Times New Roman"/>
          <w:sz w:val="22"/>
        </w:rPr>
      </w:pPr>
    </w:p>
    <w:p w:rsidR="00922A92" w:rsidRDefault="00000000">
      <w:pPr>
        <w:ind w:right="1054"/>
        <w:jc w:val="center"/>
        <w:rPr>
          <w:rFonts w:ascii="Calibri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3613067</wp:posOffset>
            </wp:positionH>
            <wp:positionV relativeFrom="paragraph">
              <wp:posOffset>-511421</wp:posOffset>
            </wp:positionV>
            <wp:extent cx="594075" cy="600398"/>
            <wp:effectExtent l="0" t="0" r="0" b="0"/>
            <wp:wrapNone/>
            <wp:docPr id="1" name="Image 1" descr="Logo de la Cámara de Diputados de Chi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la Cámara de Diputados de Chil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75" cy="600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0"/>
        </w:rPr>
        <w:t>.</w:t>
      </w:r>
    </w:p>
    <w:p w:rsidR="00922A92" w:rsidRDefault="00000000">
      <w:pPr>
        <w:pStyle w:val="Ttulo1"/>
        <w:spacing w:before="200"/>
      </w:pPr>
      <w:r>
        <w:rPr>
          <w:spacing w:val="-2"/>
        </w:rPr>
        <w:t>MOCIÓN</w:t>
      </w:r>
    </w:p>
    <w:p w:rsidR="00922A92" w:rsidRDefault="00000000">
      <w:pPr>
        <w:pStyle w:val="Textoindependiente"/>
        <w:spacing w:before="200"/>
        <w:ind w:right="29"/>
        <w:jc w:val="center"/>
      </w:pPr>
      <w:r>
        <w:t>MODIFICA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21.545</w:t>
      </w:r>
      <w:r>
        <w:rPr>
          <w:spacing w:val="-8"/>
        </w:rPr>
        <w:t xml:space="preserve"> </w:t>
      </w:r>
      <w:r>
        <w:t>ESTABLECIENDO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OBLIGATORIEDAD</w:t>
      </w:r>
      <w:r>
        <w:rPr>
          <w:spacing w:val="-8"/>
        </w:rPr>
        <w:t xml:space="preserve"> </w:t>
      </w:r>
      <w:r>
        <w:t>DE CONTAR CON PICTOGRAMAS U OTROS APOYOS VISUALES PARA LA ATENCIÓN DE SALUD DE PACIENTES AUTISTAS</w:t>
      </w:r>
    </w:p>
    <w:p w:rsidR="00922A92" w:rsidRDefault="00922A92">
      <w:pPr>
        <w:pStyle w:val="Textoindependiente"/>
      </w:pPr>
    </w:p>
    <w:p w:rsidR="00922A92" w:rsidRDefault="00922A92">
      <w:pPr>
        <w:pStyle w:val="Textoindependiente"/>
        <w:spacing w:before="124"/>
      </w:pPr>
    </w:p>
    <w:p w:rsidR="00922A92" w:rsidRDefault="00000000">
      <w:pPr>
        <w:pStyle w:val="Textoindependiente"/>
        <w:ind w:left="100"/>
      </w:pPr>
      <w:r>
        <w:rPr>
          <w:spacing w:val="-2"/>
        </w:rPr>
        <w:t>Antecedentes:</w:t>
      </w:r>
    </w:p>
    <w:p w:rsidR="00922A92" w:rsidRDefault="00000000">
      <w:pPr>
        <w:pStyle w:val="Prrafodelista"/>
        <w:numPr>
          <w:ilvl w:val="0"/>
          <w:numId w:val="1"/>
        </w:numPr>
        <w:tabs>
          <w:tab w:val="left" w:pos="807"/>
          <w:tab w:val="left" w:pos="821"/>
        </w:tabs>
        <w:spacing w:before="200"/>
        <w:ind w:right="126" w:hanging="361"/>
        <w:jc w:val="both"/>
        <w:rPr>
          <w:sz w:val="24"/>
        </w:rPr>
      </w:pPr>
      <w:r>
        <w:rPr>
          <w:sz w:val="24"/>
        </w:rPr>
        <w:t>El autismo es un trastorno del neurodesarrollo que afecta la comunicación, la interacción social y la conducta de quienes tienen la condición.</w:t>
      </w:r>
    </w:p>
    <w:p w:rsidR="00922A92" w:rsidRDefault="00922A92">
      <w:pPr>
        <w:pStyle w:val="Textoindependiente"/>
        <w:spacing w:before="1"/>
      </w:pPr>
    </w:p>
    <w:p w:rsidR="00922A92" w:rsidRDefault="00000000">
      <w:pPr>
        <w:pStyle w:val="Prrafodelista"/>
        <w:numPr>
          <w:ilvl w:val="0"/>
          <w:numId w:val="1"/>
        </w:numPr>
        <w:tabs>
          <w:tab w:val="left" w:pos="807"/>
          <w:tab w:val="left" w:pos="821"/>
        </w:tabs>
        <w:ind w:right="118" w:hanging="361"/>
        <w:jc w:val="both"/>
        <w:rPr>
          <w:sz w:val="24"/>
        </w:rPr>
      </w:pPr>
      <w:r>
        <w:rPr>
          <w:sz w:val="24"/>
        </w:rPr>
        <w:t xml:space="preserve">En personas autistas, los apoyos visuales resultan del todo necesarios y hasta indispensables para comunicarse, comprender de mejor manera las situaciones, instrucciones o cualquier escenario inmediato o futuro, generando con ello una mayor tranquilidad al anticipar los contextos y </w:t>
      </w:r>
      <w:r>
        <w:rPr>
          <w:spacing w:val="-2"/>
          <w:sz w:val="24"/>
        </w:rPr>
        <w:t>situaciones.</w:t>
      </w:r>
    </w:p>
    <w:p w:rsidR="00922A92" w:rsidRDefault="00922A92">
      <w:pPr>
        <w:pStyle w:val="Textoindependiente"/>
        <w:spacing w:before="2"/>
      </w:pPr>
    </w:p>
    <w:p w:rsidR="00922A92" w:rsidRDefault="00000000">
      <w:pPr>
        <w:pStyle w:val="Prrafodelista"/>
        <w:numPr>
          <w:ilvl w:val="0"/>
          <w:numId w:val="1"/>
        </w:numPr>
        <w:tabs>
          <w:tab w:val="left" w:pos="807"/>
          <w:tab w:val="left" w:pos="821"/>
        </w:tabs>
        <w:spacing w:line="237" w:lineRule="auto"/>
        <w:ind w:hanging="361"/>
        <w:jc w:val="both"/>
        <w:rPr>
          <w:sz w:val="24"/>
        </w:rPr>
      </w:pPr>
      <w:r>
        <w:rPr>
          <w:sz w:val="24"/>
        </w:rPr>
        <w:t>Un apoyo visual se refiere al uso de una imagen u otro símbolo para comunicarse con el niño o adulto que tiene dificultad para comprender o usar el lenguaje. El apoyo visual puede ser una fotografía o un dibujo que logre graficar la situación que se intenta anticipar</w:t>
      </w:r>
      <w:hyperlink w:anchor="_bookmark0" w:history="1">
        <w:r>
          <w:rPr>
            <w:position w:val="8"/>
            <w:sz w:val="16"/>
          </w:rPr>
          <w:t>1</w:t>
        </w:r>
      </w:hyperlink>
      <w:r>
        <w:rPr>
          <w:sz w:val="24"/>
        </w:rPr>
        <w:t>.</w:t>
      </w:r>
    </w:p>
    <w:p w:rsidR="00922A92" w:rsidRDefault="00922A92">
      <w:pPr>
        <w:pStyle w:val="Textoindependiente"/>
        <w:spacing w:before="4"/>
      </w:pPr>
    </w:p>
    <w:p w:rsidR="00922A92" w:rsidRDefault="00000000">
      <w:pPr>
        <w:pStyle w:val="Prrafodelista"/>
        <w:numPr>
          <w:ilvl w:val="0"/>
          <w:numId w:val="1"/>
        </w:numPr>
        <w:tabs>
          <w:tab w:val="left" w:pos="807"/>
          <w:tab w:val="left" w:pos="8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Los apoyos visuales se usan con niños y adultos que tienen el diagnóstico de persona neurodivergente dentro trastorno del espectro autista (TEA) con dos objetivos principales. Ayudando a los padres a comunicarse mejor con sus hijos, así como a los niños y adultos con el diagnostico a comunicarse mejor con los demás. A ello, se suma que permite anticipar situaciones y con ello entregar tranquilidad a la persona autista sobre los hechos o momentos venideros.</w:t>
      </w:r>
    </w:p>
    <w:p w:rsidR="00922A92" w:rsidRDefault="00922A92">
      <w:pPr>
        <w:pStyle w:val="Textoindependiente"/>
      </w:pPr>
    </w:p>
    <w:p w:rsidR="00922A92" w:rsidRDefault="00922A92">
      <w:pPr>
        <w:pStyle w:val="Textoindependiente"/>
        <w:spacing w:before="48"/>
      </w:pPr>
    </w:p>
    <w:p w:rsidR="00922A92" w:rsidRDefault="00000000">
      <w:pPr>
        <w:pStyle w:val="Prrafodelista"/>
        <w:numPr>
          <w:ilvl w:val="0"/>
          <w:numId w:val="1"/>
        </w:numPr>
        <w:tabs>
          <w:tab w:val="left" w:pos="807"/>
          <w:tab w:val="left" w:pos="821"/>
        </w:tabs>
        <w:ind w:right="117" w:hanging="361"/>
        <w:jc w:val="both"/>
        <w:rPr>
          <w:sz w:val="24"/>
        </w:rPr>
      </w:pPr>
      <w:r>
        <w:rPr>
          <w:sz w:val="24"/>
        </w:rPr>
        <w:t>Las personas autistas enfrentan desafíos en áreas clave como el contacto social, el lenguaje y la tendencia a comportamientos repetitivos o intereses limitados. El uso de apoyos visuales puede ser fundamental para abordar estas dificultades. Así como contribuir a comprender las señales sociales durante las interacciones con los demás, ayudar a captar las expectativas sociales, como iniciar una conversación, responder al contacto social iniciado por otros o ajustar su comportamiento según las normas sociales. Los apoyos visuales pueden enseñarles habilidades sociales específicas y entrenarlos para aplicarlas de forma autónoma en situaciones sociales.</w:t>
      </w:r>
    </w:p>
    <w:p w:rsidR="00922A92" w:rsidRDefault="00922A92">
      <w:pPr>
        <w:pStyle w:val="Textoindependiente"/>
        <w:rPr>
          <w:sz w:val="20"/>
        </w:rPr>
      </w:pPr>
    </w:p>
    <w:p w:rsidR="00922A92" w:rsidRDefault="00922A92">
      <w:pPr>
        <w:pStyle w:val="Textoindependiente"/>
        <w:rPr>
          <w:sz w:val="20"/>
        </w:rPr>
      </w:pPr>
    </w:p>
    <w:p w:rsidR="00922A92" w:rsidRDefault="00922A92">
      <w:pPr>
        <w:pStyle w:val="Textoindependiente"/>
        <w:rPr>
          <w:sz w:val="20"/>
        </w:rPr>
      </w:pPr>
    </w:p>
    <w:p w:rsidR="00922A92" w:rsidRDefault="00922A92">
      <w:pPr>
        <w:pStyle w:val="Textoindependiente"/>
        <w:rPr>
          <w:sz w:val="20"/>
        </w:rPr>
      </w:pPr>
    </w:p>
    <w:p w:rsidR="00922A92" w:rsidRDefault="00922A92">
      <w:pPr>
        <w:pStyle w:val="Textoindependiente"/>
        <w:rPr>
          <w:sz w:val="20"/>
        </w:rPr>
      </w:pPr>
    </w:p>
    <w:p w:rsidR="00922A92" w:rsidRDefault="00922A92">
      <w:pPr>
        <w:pStyle w:val="Textoindependiente"/>
        <w:rPr>
          <w:sz w:val="20"/>
        </w:rPr>
      </w:pPr>
    </w:p>
    <w:p w:rsidR="00922A92" w:rsidRDefault="00000000">
      <w:pPr>
        <w:pStyle w:val="Textoindependiente"/>
        <w:spacing w:before="2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299224</wp:posOffset>
                </wp:positionV>
                <wp:extent cx="1829435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051F2" id="Graphic 2" o:spid="_x0000_s1026" style="position:absolute;margin-left:85pt;margin-top:23.55pt;width:144.05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" path="m1829435,l,,,1015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22A92" w:rsidRDefault="00000000">
      <w:pPr>
        <w:spacing w:before="100" w:line="276" w:lineRule="auto"/>
        <w:ind w:left="100" w:right="115"/>
        <w:rPr>
          <w:rFonts w:ascii="Calibri" w:hAnsi="Calibri"/>
          <w:sz w:val="18"/>
        </w:rPr>
      </w:pPr>
      <w:bookmarkStart w:id="0" w:name="_bookmark0"/>
      <w:bookmarkEnd w:id="0"/>
      <w:r>
        <w:rPr>
          <w:rFonts w:ascii="Calibri" w:hAnsi="Calibri"/>
          <w:position w:val="5"/>
          <w:sz w:val="12"/>
        </w:rPr>
        <w:t>1</w:t>
      </w:r>
      <w:r>
        <w:rPr>
          <w:rFonts w:ascii="Calibri" w:hAnsi="Calibri"/>
          <w:spacing w:val="10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Información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disponible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en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el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siguiente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 xml:space="preserve">link: </w:t>
      </w:r>
      <w:hyperlink r:id="rId6">
        <w:r>
          <w:rPr>
            <w:rFonts w:ascii="Calibri" w:hAnsi="Calibri"/>
            <w:color w:val="0462C1"/>
            <w:sz w:val="18"/>
            <w:u w:val="single" w:color="0462C1"/>
          </w:rPr>
          <w:t>https://www.autismspeaks.org/sites/default/files/2018-10/visual-supports-</w:t>
        </w:r>
      </w:hyperlink>
      <w:r>
        <w:rPr>
          <w:rFonts w:ascii="Calibri" w:hAnsi="Calibri"/>
          <w:color w:val="0462C1"/>
          <w:sz w:val="18"/>
        </w:rPr>
        <w:t xml:space="preserve"> </w:t>
      </w:r>
      <w:hyperlink r:id="rId7">
        <w:r>
          <w:rPr>
            <w:rFonts w:ascii="Calibri" w:hAnsi="Calibri"/>
            <w:color w:val="0462C1"/>
            <w:spacing w:val="-2"/>
            <w:sz w:val="18"/>
            <w:u w:val="single" w:color="0462C1"/>
          </w:rPr>
          <w:t>tool-kit-spanish_0.pdf</w:t>
        </w:r>
      </w:hyperlink>
    </w:p>
    <w:p w:rsidR="00922A92" w:rsidRDefault="00922A92">
      <w:pPr>
        <w:spacing w:line="276" w:lineRule="auto"/>
        <w:rPr>
          <w:rFonts w:ascii="Calibri" w:hAnsi="Calibri"/>
          <w:sz w:val="18"/>
        </w:rPr>
        <w:sectPr w:rsidR="00922A92">
          <w:type w:val="continuous"/>
          <w:pgSz w:w="12250" w:h="18720"/>
          <w:pgMar w:top="1720" w:right="1580" w:bottom="280" w:left="1600" w:header="720" w:footer="720" w:gutter="0"/>
          <w:cols w:space="720"/>
        </w:sectPr>
      </w:pPr>
    </w:p>
    <w:p w:rsidR="00922A92" w:rsidRDefault="00000000">
      <w:pPr>
        <w:pStyle w:val="Prrafodelista"/>
        <w:numPr>
          <w:ilvl w:val="0"/>
          <w:numId w:val="1"/>
        </w:numPr>
        <w:tabs>
          <w:tab w:val="left" w:pos="807"/>
          <w:tab w:val="left" w:pos="821"/>
        </w:tabs>
        <w:spacing w:before="67"/>
        <w:ind w:right="122" w:hanging="361"/>
        <w:jc w:val="both"/>
        <w:rPr>
          <w:sz w:val="24"/>
        </w:rPr>
      </w:pPr>
      <w:r>
        <w:rPr>
          <w:sz w:val="24"/>
        </w:rPr>
        <w:lastRenderedPageBreak/>
        <w:t xml:space="preserve">Asimismo, el uso de pictogramas y otros apoyos visuales, permite </w:t>
      </w:r>
      <w:r>
        <w:rPr>
          <w:b/>
          <w:sz w:val="24"/>
        </w:rPr>
        <w:t>reducir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la frustración emocional y los comportamientos problemáticos asociados</w:t>
      </w:r>
      <w:r>
        <w:rPr>
          <w:spacing w:val="40"/>
          <w:sz w:val="24"/>
        </w:rPr>
        <w:t xml:space="preserve"> </w:t>
      </w:r>
      <w:r>
        <w:rPr>
          <w:sz w:val="24"/>
        </w:rPr>
        <w:t>con dificultades de comunicación. Los apoyos visuales fomentan una comunicación efectiva y positiva.</w:t>
      </w:r>
    </w:p>
    <w:p w:rsidR="00922A92" w:rsidRDefault="00922A92">
      <w:pPr>
        <w:pStyle w:val="Textoindependiente"/>
      </w:pPr>
    </w:p>
    <w:p w:rsidR="00922A92" w:rsidRDefault="00922A92">
      <w:pPr>
        <w:pStyle w:val="Textoindependiente"/>
      </w:pPr>
    </w:p>
    <w:p w:rsidR="00922A92" w:rsidRDefault="00922A92">
      <w:pPr>
        <w:pStyle w:val="Textoindependiente"/>
        <w:spacing w:before="9"/>
      </w:pPr>
    </w:p>
    <w:p w:rsidR="00922A92" w:rsidRDefault="00000000">
      <w:pPr>
        <w:pStyle w:val="Prrafodelista"/>
        <w:numPr>
          <w:ilvl w:val="0"/>
          <w:numId w:val="1"/>
        </w:numPr>
        <w:tabs>
          <w:tab w:val="left" w:pos="807"/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Para personas dentro del espectro, el día a día presenta varios desafíos. Así, dentro de ellos se encuentra la atención médica, incluyendo dental, exámenes, procedimientos u otros del área, ya que la incertidumbre de lo que viene, de no saber en qué consiste la atención médica que se trate puede generar angustia y una consecuente desregulación emocional.</w:t>
      </w:r>
    </w:p>
    <w:p w:rsidR="00922A92" w:rsidRDefault="00922A92">
      <w:pPr>
        <w:pStyle w:val="Textoindependiente"/>
      </w:pPr>
    </w:p>
    <w:p w:rsidR="00922A92" w:rsidRDefault="00922A92">
      <w:pPr>
        <w:pStyle w:val="Textoindependiente"/>
      </w:pPr>
    </w:p>
    <w:p w:rsidR="00922A92" w:rsidRDefault="00922A92">
      <w:pPr>
        <w:pStyle w:val="Textoindependiente"/>
        <w:spacing w:before="8"/>
      </w:pPr>
    </w:p>
    <w:p w:rsidR="00922A92" w:rsidRDefault="00000000">
      <w:pPr>
        <w:pStyle w:val="Prrafodelista"/>
        <w:numPr>
          <w:ilvl w:val="0"/>
          <w:numId w:val="1"/>
        </w:numPr>
        <w:tabs>
          <w:tab w:val="left" w:pos="807"/>
          <w:tab w:val="left" w:pos="821"/>
        </w:tabs>
        <w:ind w:right="119" w:hanging="361"/>
        <w:jc w:val="both"/>
        <w:rPr>
          <w:sz w:val="24"/>
        </w:rPr>
      </w:pPr>
      <w:r>
        <w:rPr>
          <w:sz w:val="24"/>
        </w:rPr>
        <w:t>Finalmente, los apoyos visuales para el autismo son fundamentales para proporcionar un medio tangible para interpretar el entorno y mejorar la interacción de individuos neurodivergentes con los demás, así como para adelantar situaciones de todo tipo y evitar desregulaciones emocionales, miedos y angustias.</w:t>
      </w:r>
    </w:p>
    <w:p w:rsidR="00922A92" w:rsidRDefault="00922A92">
      <w:pPr>
        <w:pStyle w:val="Textoindependiente"/>
        <w:spacing w:before="4"/>
      </w:pPr>
    </w:p>
    <w:p w:rsidR="00922A92" w:rsidRDefault="00000000">
      <w:pPr>
        <w:pStyle w:val="Textoindependiente"/>
        <w:spacing w:before="1"/>
        <w:ind w:left="100"/>
      </w:pP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expuesto,</w:t>
      </w:r>
      <w:r>
        <w:rPr>
          <w:spacing w:val="-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que venimos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2"/>
        </w:rPr>
        <w:t>siguiente:</w:t>
      </w:r>
    </w:p>
    <w:p w:rsidR="00922A92" w:rsidRDefault="00922A92">
      <w:pPr>
        <w:pStyle w:val="Textoindependiente"/>
      </w:pPr>
    </w:p>
    <w:p w:rsidR="00922A92" w:rsidRDefault="00922A92">
      <w:pPr>
        <w:pStyle w:val="Textoindependiente"/>
        <w:spacing w:before="208"/>
      </w:pPr>
    </w:p>
    <w:p w:rsidR="00922A92" w:rsidRDefault="00000000">
      <w:pPr>
        <w:pStyle w:val="Ttulo1"/>
        <w:ind w:right="19"/>
      </w:pP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922A92" w:rsidRDefault="00000000">
      <w:pPr>
        <w:spacing w:before="240" w:line="278" w:lineRule="auto"/>
        <w:ind w:left="821" w:right="120"/>
        <w:jc w:val="both"/>
        <w:rPr>
          <w:b/>
          <w:sz w:val="24"/>
        </w:rPr>
      </w:pPr>
      <w:r>
        <w:rPr>
          <w:b/>
          <w:sz w:val="24"/>
        </w:rPr>
        <w:t>Modifica el artículo 10 de la ley 21.545, incluyendo un inciso 2° en el siguiente tenor:</w:t>
      </w:r>
    </w:p>
    <w:p w:rsidR="00922A92" w:rsidRDefault="00922A92">
      <w:pPr>
        <w:pStyle w:val="Textoindependiente"/>
        <w:rPr>
          <w:b/>
        </w:rPr>
      </w:pPr>
    </w:p>
    <w:p w:rsidR="00922A92" w:rsidRDefault="00922A92">
      <w:pPr>
        <w:pStyle w:val="Textoindependiente"/>
        <w:spacing w:before="160"/>
        <w:rPr>
          <w:b/>
        </w:rPr>
      </w:pPr>
    </w:p>
    <w:p w:rsidR="00922A92" w:rsidRDefault="00000000">
      <w:pPr>
        <w:pStyle w:val="Textoindependiente"/>
        <w:spacing w:line="276" w:lineRule="auto"/>
        <w:ind w:left="821" w:right="120"/>
        <w:jc w:val="both"/>
      </w:pPr>
      <w:r>
        <w:t xml:space="preserve">“En consonancia con lo anterior los establecimientos de salud pondrán a disposición de los pacientes con diagnóstico autista los apoyos visuales o pictogramas que permitan explicar la atención médica, dental o el procedimiento que se le realizará al paciente a fin de facilitar su comprensión y generar un espacio de mayor tranquilidad mediante la </w:t>
      </w:r>
      <w:r>
        <w:rPr>
          <w:spacing w:val="-2"/>
        </w:rPr>
        <w:t>anticipación”.</w:t>
      </w:r>
    </w:p>
    <w:p w:rsidR="00922A92" w:rsidRDefault="00000000">
      <w:pPr>
        <w:pStyle w:val="Textoindependiente"/>
        <w:spacing w:before="21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2980076</wp:posOffset>
            </wp:positionH>
            <wp:positionV relativeFrom="paragraph">
              <wp:posOffset>174738</wp:posOffset>
            </wp:positionV>
            <wp:extent cx="2205626" cy="1529714"/>
            <wp:effectExtent l="0" t="0" r="0" b="0"/>
            <wp:wrapTopAndBottom/>
            <wp:docPr id="3" name="Image 3" descr="C:\Users\Rodrigo\Desktop\INFORMATICA 2018\GRAFICAS\FIRMAS_2017\firmas_ftransp\hd_jm-castr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Rodrigo\Desktop\INFORMATICA 2018\GRAFICAS\FIRMAS_2017\firmas_ftransp\hd_jm-castr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626" cy="1529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A92" w:rsidRDefault="00922A92">
      <w:pPr>
        <w:pStyle w:val="Textoindependiente"/>
        <w:spacing w:before="103"/>
      </w:pPr>
    </w:p>
    <w:p w:rsidR="00922A92" w:rsidRDefault="00000000">
      <w:pPr>
        <w:spacing w:line="253" w:lineRule="exact"/>
        <w:ind w:left="2617"/>
        <w:rPr>
          <w:b/>
        </w:rPr>
      </w:pPr>
      <w:r>
        <w:rPr>
          <w:b/>
        </w:rPr>
        <w:t>JOSÉ</w:t>
      </w:r>
      <w:r>
        <w:rPr>
          <w:b/>
          <w:spacing w:val="-5"/>
        </w:rPr>
        <w:t xml:space="preserve"> </w:t>
      </w:r>
      <w:r>
        <w:rPr>
          <w:b/>
        </w:rPr>
        <w:t>MIGUEL</w:t>
      </w:r>
      <w:r>
        <w:rPr>
          <w:b/>
          <w:spacing w:val="-5"/>
        </w:rPr>
        <w:t xml:space="preserve"> </w:t>
      </w:r>
      <w:r>
        <w:rPr>
          <w:b/>
        </w:rPr>
        <w:t>CASTRO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BASCUÑÁN</w:t>
      </w:r>
    </w:p>
    <w:p w:rsidR="00922A92" w:rsidRDefault="00000000">
      <w:pPr>
        <w:ind w:left="2773"/>
        <w:rPr>
          <w:b/>
        </w:rPr>
      </w:pPr>
      <w:r>
        <w:rPr>
          <w:b/>
        </w:rPr>
        <w:t>H.</w:t>
      </w:r>
      <w:r>
        <w:rPr>
          <w:b/>
          <w:spacing w:val="-7"/>
        </w:rPr>
        <w:t xml:space="preserve"> </w:t>
      </w:r>
      <w:r>
        <w:rPr>
          <w:b/>
        </w:rPr>
        <w:t>DIPUTADO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REPÚBLICA</w:t>
      </w:r>
    </w:p>
    <w:sectPr w:rsidR="00922A92">
      <w:pgSz w:w="12250" w:h="1872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466"/>
    <w:multiLevelType w:val="hybridMultilevel"/>
    <w:tmpl w:val="2D1E40D8"/>
    <w:lvl w:ilvl="0" w:tplc="15FA6040">
      <w:start w:val="1"/>
      <w:numFmt w:val="decimal"/>
      <w:lvlText w:val="%1."/>
      <w:lvlJc w:val="left"/>
      <w:pPr>
        <w:ind w:left="821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06F05E2A">
      <w:numFmt w:val="bullet"/>
      <w:lvlText w:val="•"/>
      <w:lvlJc w:val="left"/>
      <w:pPr>
        <w:ind w:left="1644" w:hanging="349"/>
      </w:pPr>
      <w:rPr>
        <w:rFonts w:hint="default"/>
        <w:lang w:val="es-ES" w:eastAsia="en-US" w:bidi="ar-SA"/>
      </w:rPr>
    </w:lvl>
    <w:lvl w:ilvl="2" w:tplc="0BD8BE9C">
      <w:numFmt w:val="bullet"/>
      <w:lvlText w:val="•"/>
      <w:lvlJc w:val="left"/>
      <w:pPr>
        <w:ind w:left="2469" w:hanging="349"/>
      </w:pPr>
      <w:rPr>
        <w:rFonts w:hint="default"/>
        <w:lang w:val="es-ES" w:eastAsia="en-US" w:bidi="ar-SA"/>
      </w:rPr>
    </w:lvl>
    <w:lvl w:ilvl="3" w:tplc="07A0FA96">
      <w:numFmt w:val="bullet"/>
      <w:lvlText w:val="•"/>
      <w:lvlJc w:val="left"/>
      <w:pPr>
        <w:ind w:left="3294" w:hanging="349"/>
      </w:pPr>
      <w:rPr>
        <w:rFonts w:hint="default"/>
        <w:lang w:val="es-ES" w:eastAsia="en-US" w:bidi="ar-SA"/>
      </w:rPr>
    </w:lvl>
    <w:lvl w:ilvl="4" w:tplc="CF462EB6">
      <w:numFmt w:val="bullet"/>
      <w:lvlText w:val="•"/>
      <w:lvlJc w:val="left"/>
      <w:pPr>
        <w:ind w:left="4119" w:hanging="349"/>
      </w:pPr>
      <w:rPr>
        <w:rFonts w:hint="default"/>
        <w:lang w:val="es-ES" w:eastAsia="en-US" w:bidi="ar-SA"/>
      </w:rPr>
    </w:lvl>
    <w:lvl w:ilvl="5" w:tplc="4CB66878">
      <w:numFmt w:val="bullet"/>
      <w:lvlText w:val="•"/>
      <w:lvlJc w:val="left"/>
      <w:pPr>
        <w:ind w:left="4944" w:hanging="349"/>
      </w:pPr>
      <w:rPr>
        <w:rFonts w:hint="default"/>
        <w:lang w:val="es-ES" w:eastAsia="en-US" w:bidi="ar-SA"/>
      </w:rPr>
    </w:lvl>
    <w:lvl w:ilvl="6" w:tplc="4CBC2A32">
      <w:numFmt w:val="bullet"/>
      <w:lvlText w:val="•"/>
      <w:lvlJc w:val="left"/>
      <w:pPr>
        <w:ind w:left="5768" w:hanging="349"/>
      </w:pPr>
      <w:rPr>
        <w:rFonts w:hint="default"/>
        <w:lang w:val="es-ES" w:eastAsia="en-US" w:bidi="ar-SA"/>
      </w:rPr>
    </w:lvl>
    <w:lvl w:ilvl="7" w:tplc="3B2EE0B6">
      <w:numFmt w:val="bullet"/>
      <w:lvlText w:val="•"/>
      <w:lvlJc w:val="left"/>
      <w:pPr>
        <w:ind w:left="6593" w:hanging="349"/>
      </w:pPr>
      <w:rPr>
        <w:rFonts w:hint="default"/>
        <w:lang w:val="es-ES" w:eastAsia="en-US" w:bidi="ar-SA"/>
      </w:rPr>
    </w:lvl>
    <w:lvl w:ilvl="8" w:tplc="3E48CC22">
      <w:numFmt w:val="bullet"/>
      <w:lvlText w:val="•"/>
      <w:lvlJc w:val="left"/>
      <w:pPr>
        <w:ind w:left="7418" w:hanging="349"/>
      </w:pPr>
      <w:rPr>
        <w:rFonts w:hint="default"/>
        <w:lang w:val="es-ES" w:eastAsia="en-US" w:bidi="ar-SA"/>
      </w:rPr>
    </w:lvl>
  </w:abstractNum>
  <w:num w:numId="1" w16cid:durableId="19053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2"/>
    <w:rsid w:val="00252297"/>
    <w:rsid w:val="00922A92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47249-666E-4BB3-81C2-9445A4C8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right="1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2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autismspeaks.org/sites/default/files/2018-10/visual-supports-tool-kit-spanish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tismspeaks.org/sites/default/files/2018-10/visual-supports-tool-kit-spanish_0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Bernardita</dc:creator>
  <cp:lastModifiedBy>Guillermo Diaz Vallejos</cp:lastModifiedBy>
  <cp:revision>1</cp:revision>
  <dcterms:created xsi:type="dcterms:W3CDTF">2024-04-24T20:33:00Z</dcterms:created>
  <dcterms:modified xsi:type="dcterms:W3CDTF">2024-05-15T00:45:00Z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para Microsoft 365</vt:lpwstr>
  </property>
</Properties>
</file>