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9B3EC" w14:textId="77777777" w:rsidR="00021A4E" w:rsidRPr="00021A4E" w:rsidRDefault="00021A4E" w:rsidP="00021A4E">
      <w:pPr>
        <w:spacing w:line="360" w:lineRule="auto"/>
        <w:jc w:val="both"/>
        <w:rPr>
          <w:rFonts w:ascii="Bookman Old Style" w:hAnsi="Bookman Old Style" w:cs="Arial"/>
        </w:rPr>
      </w:pPr>
    </w:p>
    <w:p w14:paraId="5099A9CD" w14:textId="3BC6989E" w:rsidR="00614642" w:rsidRPr="00021A4E" w:rsidRDefault="00021A4E" w:rsidP="00021A4E">
      <w:pPr>
        <w:spacing w:line="360" w:lineRule="auto"/>
        <w:jc w:val="center"/>
        <w:rPr>
          <w:rFonts w:ascii="Bookman Old Style" w:hAnsi="Bookman Old Style" w:cs="Arial"/>
          <w:b/>
          <w:bCs/>
        </w:rPr>
      </w:pPr>
      <w:r w:rsidRPr="00021A4E">
        <w:rPr>
          <w:rFonts w:ascii="Bookman Old Style" w:hAnsi="Bookman Old Style" w:cs="Arial"/>
          <w:b/>
          <w:bCs/>
        </w:rPr>
        <w:t>PROYECTO DE LEY QUE ESTABLECE LA OBLIGACIÓN DE LOS BANCOS DE DAR PROTECCIÓN A SUS CLIENTES AL MOMENTO DE REALIZAR RETIROS DE DINERO.</w:t>
      </w:r>
    </w:p>
    <w:p w14:paraId="4F4BF1C8" w14:textId="77777777" w:rsidR="00021A4E" w:rsidRPr="00021A4E" w:rsidRDefault="00021A4E" w:rsidP="00021A4E">
      <w:pPr>
        <w:spacing w:line="360" w:lineRule="auto"/>
        <w:jc w:val="both"/>
        <w:rPr>
          <w:rFonts w:ascii="Bookman Old Style" w:hAnsi="Bookman Old Style" w:cs="Arial"/>
        </w:rPr>
      </w:pPr>
    </w:p>
    <w:p w14:paraId="75EBEDE0" w14:textId="06ACFFE7" w:rsidR="00021A4E" w:rsidRPr="00021A4E" w:rsidRDefault="00021A4E" w:rsidP="00021A4E">
      <w:pPr>
        <w:pStyle w:val="Prrafodelista"/>
        <w:numPr>
          <w:ilvl w:val="0"/>
          <w:numId w:val="1"/>
        </w:numPr>
        <w:spacing w:line="360" w:lineRule="auto"/>
        <w:jc w:val="both"/>
        <w:rPr>
          <w:rFonts w:ascii="Bookman Old Style" w:hAnsi="Bookman Old Style" w:cs="Arial"/>
        </w:rPr>
      </w:pPr>
      <w:r w:rsidRPr="00021A4E">
        <w:rPr>
          <w:rFonts w:ascii="Bookman Old Style" w:hAnsi="Bookman Old Style" w:cs="Arial"/>
        </w:rPr>
        <w:t>Fundamentos</w:t>
      </w:r>
    </w:p>
    <w:p w14:paraId="485D9042" w14:textId="6AE441B7" w:rsidR="00021A4E" w:rsidRDefault="00021A4E" w:rsidP="00021A4E">
      <w:pPr>
        <w:spacing w:line="360" w:lineRule="auto"/>
        <w:jc w:val="both"/>
        <w:rPr>
          <w:rFonts w:ascii="Bookman Old Style" w:hAnsi="Bookman Old Style" w:cs="Arial"/>
        </w:rPr>
      </w:pPr>
      <w:r w:rsidRPr="00021A4E">
        <w:rPr>
          <w:rFonts w:ascii="Bookman Old Style" w:hAnsi="Bookman Old Style" w:cs="Arial"/>
        </w:rPr>
        <w:t xml:space="preserve">Una de las actividades más común que las personas realizan en las instituciones financieras y bancos es el retiro de dinero por caja, </w:t>
      </w:r>
      <w:r w:rsidR="005250EE">
        <w:rPr>
          <w:rFonts w:ascii="Bookman Old Style" w:hAnsi="Bookman Old Style" w:cs="Arial"/>
        </w:rPr>
        <w:t xml:space="preserve">la cual generalmente se fundamenta en la seguridad del cliente, la prevención ante fraudes—tanto telefónicos como cibernéticos—educación financiera, entre otros.  </w:t>
      </w:r>
    </w:p>
    <w:p w14:paraId="689F557E" w14:textId="0509E745" w:rsidR="005250EE" w:rsidRDefault="005250EE" w:rsidP="00021A4E">
      <w:pPr>
        <w:spacing w:line="360" w:lineRule="auto"/>
        <w:jc w:val="both"/>
        <w:rPr>
          <w:rFonts w:ascii="Bookman Old Style" w:hAnsi="Bookman Old Style" w:cs="Arial"/>
        </w:rPr>
      </w:pPr>
      <w:r>
        <w:rPr>
          <w:rFonts w:ascii="Bookman Old Style" w:hAnsi="Bookman Old Style" w:cs="Arial"/>
        </w:rPr>
        <w:t>Sin embargo, este también es uno de los principales métodos utilizados por los delincuentes. Los asaltos a personas que realizan retiros en caja es un delito cada vez más común, lo cual se relaciona con el poco resguardo que tienen los clientes por parte de las instituciones financieras cuando salen de</w:t>
      </w:r>
      <w:r w:rsidR="007A6434">
        <w:rPr>
          <w:rFonts w:ascii="Bookman Old Style" w:hAnsi="Bookman Old Style" w:cs="Arial"/>
        </w:rPr>
        <w:t xml:space="preserve"> su esfera de resguardo.</w:t>
      </w:r>
    </w:p>
    <w:p w14:paraId="491D3560" w14:textId="258F92DA" w:rsidR="007A6434" w:rsidRDefault="007A6434" w:rsidP="00021A4E">
      <w:pPr>
        <w:spacing w:line="360" w:lineRule="auto"/>
        <w:jc w:val="both"/>
        <w:rPr>
          <w:rFonts w:ascii="Bookman Old Style" w:hAnsi="Bookman Old Style" w:cs="Arial"/>
        </w:rPr>
      </w:pPr>
      <w:r>
        <w:rPr>
          <w:rFonts w:ascii="Bookman Old Style" w:hAnsi="Bookman Old Style" w:cs="Arial"/>
        </w:rPr>
        <w:t xml:space="preserve">En 2022, la Fiscalía señaló que se registraron </w:t>
      </w:r>
      <w:r w:rsidR="005271E7">
        <w:rPr>
          <w:rFonts w:ascii="Bookman Old Style" w:hAnsi="Bookman Old Style" w:cs="Arial"/>
        </w:rPr>
        <w:t>502</w:t>
      </w:r>
      <w:r>
        <w:rPr>
          <w:rFonts w:ascii="Bookman Old Style" w:hAnsi="Bookman Old Style" w:cs="Arial"/>
        </w:rPr>
        <w:t xml:space="preserve"> delitos contra clientes que retiraron dinero desde el banco utilizando el método de “marcaje”</w:t>
      </w:r>
      <w:r w:rsidR="00F01051">
        <w:rPr>
          <w:rStyle w:val="Refdenotaalpie"/>
          <w:rFonts w:ascii="Bookman Old Style" w:hAnsi="Bookman Old Style" w:cs="Arial"/>
        </w:rPr>
        <w:footnoteReference w:id="1"/>
      </w:r>
      <w:r>
        <w:rPr>
          <w:rFonts w:ascii="Bookman Old Style" w:hAnsi="Bookman Old Style" w:cs="Arial"/>
        </w:rPr>
        <w:t>. Estos robos ocurren a la salida de los bancos y, en su mayoría, se constituyen como delitos violentos</w:t>
      </w:r>
      <w:r w:rsidR="00B078D0">
        <w:rPr>
          <w:rFonts w:ascii="Bookman Old Style" w:hAnsi="Bookman Old Style" w:cs="Arial"/>
        </w:rPr>
        <w:t xml:space="preserve"> </w:t>
      </w:r>
      <w:r>
        <w:rPr>
          <w:rFonts w:ascii="Bookman Old Style" w:hAnsi="Bookman Old Style" w:cs="Arial"/>
        </w:rPr>
        <w:t>con lesiones graves, robo con intimidación, robos con retención, entre otros. Los datos entregados señalan que los delitos violentos a la salida de bancos alcanzaron un 82,01% de los casos, siendo el robo con intimidación la estrategia más utilizada por los delincuentes</w:t>
      </w:r>
      <w:r w:rsidR="00F01051">
        <w:rPr>
          <w:rFonts w:ascii="Bookman Old Style" w:hAnsi="Bookman Old Style" w:cs="Arial"/>
        </w:rPr>
        <w:t>.</w:t>
      </w:r>
    </w:p>
    <w:p w14:paraId="2AF63C25" w14:textId="034D741C" w:rsidR="007A6434" w:rsidRDefault="007A6434" w:rsidP="00021A4E">
      <w:pPr>
        <w:spacing w:line="360" w:lineRule="auto"/>
        <w:jc w:val="both"/>
        <w:rPr>
          <w:rFonts w:ascii="Bookman Old Style" w:hAnsi="Bookman Old Style" w:cs="Arial"/>
        </w:rPr>
      </w:pPr>
      <w:r>
        <w:rPr>
          <w:rFonts w:ascii="Bookman Old Style" w:hAnsi="Bookman Old Style" w:cs="Arial"/>
        </w:rPr>
        <w:t xml:space="preserve">Sin duda, los bancos deben establecer medidas que entreguen una adecuada protección a sus clientes para así evitar que se cometan este tipo de delitos. No es </w:t>
      </w:r>
      <w:r>
        <w:rPr>
          <w:rFonts w:ascii="Bookman Old Style" w:hAnsi="Bookman Old Style" w:cs="Arial"/>
        </w:rPr>
        <w:lastRenderedPageBreak/>
        <w:t xml:space="preserve">posible que, una vez los usuarios salgan de la institución, queden a merced de los antisociales. </w:t>
      </w:r>
    </w:p>
    <w:p w14:paraId="43B299DF" w14:textId="4029CDED" w:rsidR="007A6434" w:rsidRDefault="007A6434" w:rsidP="00021A4E">
      <w:pPr>
        <w:spacing w:line="360" w:lineRule="auto"/>
        <w:jc w:val="both"/>
        <w:rPr>
          <w:rFonts w:ascii="Bookman Old Style" w:hAnsi="Bookman Old Style" w:cs="Arial"/>
        </w:rPr>
      </w:pPr>
      <w:r>
        <w:rPr>
          <w:rFonts w:ascii="Bookman Old Style" w:hAnsi="Bookman Old Style" w:cs="Arial"/>
        </w:rPr>
        <w:t>Que los bancos e instituciones financieras ofrezcan resguardo a sus clientes cuando estos realicen retiros por caja no solo fortalece la seguridad y la confianza, sino que también contribuye a una experiencia bancaria completa y personalizada.</w:t>
      </w:r>
    </w:p>
    <w:p w14:paraId="5A092976" w14:textId="57BA6249" w:rsidR="00021A4E" w:rsidRDefault="00021A4E" w:rsidP="00021A4E">
      <w:pPr>
        <w:pStyle w:val="Prrafodelista"/>
        <w:numPr>
          <w:ilvl w:val="0"/>
          <w:numId w:val="1"/>
        </w:numPr>
        <w:spacing w:line="360" w:lineRule="auto"/>
        <w:jc w:val="both"/>
        <w:rPr>
          <w:rFonts w:ascii="Bookman Old Style" w:hAnsi="Bookman Old Style" w:cs="Arial"/>
        </w:rPr>
      </w:pPr>
      <w:r>
        <w:rPr>
          <w:rFonts w:ascii="Bookman Old Style" w:hAnsi="Bookman Old Style" w:cs="Arial"/>
        </w:rPr>
        <w:t>Idea matriz</w:t>
      </w:r>
    </w:p>
    <w:p w14:paraId="17CA484C" w14:textId="05BF53D4" w:rsidR="00021A4E" w:rsidRDefault="00021A4E" w:rsidP="00021A4E">
      <w:pPr>
        <w:spacing w:line="360" w:lineRule="auto"/>
        <w:jc w:val="both"/>
        <w:rPr>
          <w:rFonts w:ascii="Bookman Old Style" w:hAnsi="Bookman Old Style" w:cs="Arial"/>
        </w:rPr>
      </w:pPr>
      <w:r>
        <w:rPr>
          <w:rFonts w:ascii="Bookman Old Style" w:hAnsi="Bookman Old Style" w:cs="Arial"/>
        </w:rPr>
        <w:t xml:space="preserve">El presente proyecto tiene como objetivo incorporar una nueva operación bancaria a las establecidas en el Título VIII Operaciones de los Bancos, artículo 69° del DFL que Fija el Texto Refundido, Sistematizado y Concordado de la Ley General de Bancos y de Otros cuerpos Legales que se indican. </w:t>
      </w:r>
    </w:p>
    <w:p w14:paraId="42437137" w14:textId="5A748A02" w:rsidR="00021A4E" w:rsidRDefault="00021A4E" w:rsidP="00021A4E">
      <w:pPr>
        <w:spacing w:line="360" w:lineRule="auto"/>
        <w:jc w:val="both"/>
        <w:rPr>
          <w:rFonts w:ascii="Bookman Old Style" w:hAnsi="Bookman Old Style" w:cs="Arial"/>
        </w:rPr>
      </w:pPr>
      <w:r>
        <w:rPr>
          <w:rFonts w:ascii="Bookman Old Style" w:hAnsi="Bookman Old Style" w:cs="Arial"/>
        </w:rPr>
        <w:t>En virtud de lo expuesto precedentemente, se pone a disposición el siguiente</w:t>
      </w:r>
    </w:p>
    <w:p w14:paraId="67ECD47A" w14:textId="748DF6AB" w:rsidR="00021A4E" w:rsidRPr="00021A4E" w:rsidRDefault="00021A4E" w:rsidP="00021A4E">
      <w:pPr>
        <w:spacing w:line="360" w:lineRule="auto"/>
        <w:jc w:val="center"/>
        <w:rPr>
          <w:rFonts w:ascii="Bookman Old Style" w:hAnsi="Bookman Old Style" w:cs="Arial"/>
          <w:u w:val="single"/>
        </w:rPr>
      </w:pPr>
      <w:r w:rsidRPr="00021A4E">
        <w:rPr>
          <w:rFonts w:ascii="Bookman Old Style" w:hAnsi="Bookman Old Style" w:cs="Arial"/>
          <w:u w:val="single"/>
        </w:rPr>
        <w:t>Proyecto de Ley</w:t>
      </w:r>
    </w:p>
    <w:p w14:paraId="2CD5C2A3" w14:textId="14B03E29" w:rsidR="00021A4E" w:rsidRDefault="00021A4E" w:rsidP="00021A4E">
      <w:pPr>
        <w:spacing w:line="360" w:lineRule="auto"/>
        <w:jc w:val="both"/>
        <w:rPr>
          <w:rFonts w:ascii="Bookman Old Style" w:hAnsi="Bookman Old Style" w:cs="Arial"/>
        </w:rPr>
      </w:pPr>
      <w:r w:rsidRPr="00021A4E">
        <w:rPr>
          <w:rFonts w:ascii="Bookman Old Style" w:hAnsi="Bookman Old Style" w:cs="Arial"/>
          <w:b/>
          <w:bCs/>
        </w:rPr>
        <w:t>Artículo único.-</w:t>
      </w:r>
      <w:r>
        <w:rPr>
          <w:rFonts w:ascii="Bookman Old Style" w:hAnsi="Bookman Old Style" w:cs="Arial"/>
        </w:rPr>
        <w:t xml:space="preserve"> Agréguese un nuevo numeral 28 al artículo 69° del DFL 3, de 1997, que Fija Texto Refundido, Sistematizado y Concordado de la Ley General de Bancos y de Otros Cuerpos Legales que se Indican, de acuerdo al siguiente tenor:</w:t>
      </w:r>
    </w:p>
    <w:p w14:paraId="5DE4B4C2" w14:textId="31446257" w:rsidR="00021A4E" w:rsidRDefault="00021A4E" w:rsidP="00021A4E">
      <w:pPr>
        <w:spacing w:line="360" w:lineRule="auto"/>
        <w:jc w:val="both"/>
        <w:rPr>
          <w:rFonts w:ascii="Bookman Old Style" w:hAnsi="Bookman Old Style" w:cs="Arial"/>
        </w:rPr>
      </w:pPr>
      <w:r>
        <w:rPr>
          <w:rFonts w:ascii="Bookman Old Style" w:hAnsi="Bookman Old Style" w:cs="Arial"/>
        </w:rPr>
        <w:t>“Prestar el debido resguardo a los clientes que retiren por caja sumas de dinero superior a 30 unidades de fomento, adoptando para ello los debidos protocolos de seguridad”.</w:t>
      </w:r>
    </w:p>
    <w:p w14:paraId="123FC73D" w14:textId="12D6D661" w:rsidR="00021A4E" w:rsidRDefault="00021A4E" w:rsidP="00021A4E">
      <w:pPr>
        <w:spacing w:line="360" w:lineRule="auto"/>
        <w:jc w:val="both"/>
        <w:rPr>
          <w:rFonts w:ascii="Bookman Old Style" w:hAnsi="Bookman Old Style" w:cs="Arial"/>
        </w:rPr>
      </w:pPr>
      <w:r w:rsidRPr="00021A4E">
        <w:rPr>
          <w:rFonts w:ascii="Bookman Old Style" w:hAnsi="Bookman Old Style" w:cs="Arial"/>
          <w:b/>
          <w:bCs/>
        </w:rPr>
        <w:t>Artículo transitorio.-</w:t>
      </w:r>
      <w:r>
        <w:rPr>
          <w:rFonts w:ascii="Bookman Old Style" w:hAnsi="Bookman Old Style" w:cs="Arial"/>
        </w:rPr>
        <w:t xml:space="preserve"> Los protocolos de seguridad que los bancos e instituciones financieras reguladas por esta ley deben establecer para el resguardo de sus clientes deberán ser dictados 90 días hábiles posteriores a la publicación de esta ley. </w:t>
      </w:r>
    </w:p>
    <w:p w14:paraId="114D5CE3" w14:textId="77777777" w:rsidR="00021A4E" w:rsidRDefault="00021A4E" w:rsidP="00021A4E">
      <w:pPr>
        <w:spacing w:line="360" w:lineRule="auto"/>
        <w:jc w:val="both"/>
        <w:rPr>
          <w:rFonts w:ascii="Bookman Old Style" w:hAnsi="Bookman Old Style" w:cs="Arial"/>
        </w:rPr>
      </w:pPr>
    </w:p>
    <w:p w14:paraId="40E2C763" w14:textId="4123CECD" w:rsidR="00021A4E" w:rsidRPr="00021A4E" w:rsidRDefault="00021A4E" w:rsidP="00021A4E">
      <w:pPr>
        <w:spacing w:after="0" w:line="360" w:lineRule="auto"/>
        <w:jc w:val="center"/>
        <w:rPr>
          <w:rFonts w:ascii="Bookman Old Style" w:hAnsi="Bookman Old Style" w:cs="Arial"/>
          <w:b/>
          <w:bCs/>
        </w:rPr>
      </w:pPr>
      <w:r w:rsidRPr="00021A4E">
        <w:rPr>
          <w:rFonts w:ascii="Bookman Old Style" w:hAnsi="Bookman Old Style" w:cs="Arial"/>
          <w:b/>
          <w:bCs/>
        </w:rPr>
        <w:t>H.D. RICARDO CIFUENTES LILLO</w:t>
      </w:r>
    </w:p>
    <w:p w14:paraId="36811112" w14:textId="5911FDA5" w:rsidR="00021A4E" w:rsidRPr="00021A4E" w:rsidRDefault="00021A4E" w:rsidP="00021A4E">
      <w:pPr>
        <w:spacing w:after="0" w:line="360" w:lineRule="auto"/>
        <w:jc w:val="center"/>
        <w:rPr>
          <w:rFonts w:ascii="Bookman Old Style" w:hAnsi="Bookman Old Style" w:cs="Arial"/>
          <w:b/>
          <w:bCs/>
        </w:rPr>
      </w:pPr>
      <w:r w:rsidRPr="00021A4E">
        <w:rPr>
          <w:rFonts w:ascii="Bookman Old Style" w:hAnsi="Bookman Old Style" w:cs="Arial"/>
          <w:b/>
          <w:bCs/>
        </w:rPr>
        <w:t>DISTRITO 5</w:t>
      </w:r>
    </w:p>
    <w:p w14:paraId="0F462FDE" w14:textId="77777777" w:rsidR="00021A4E" w:rsidRPr="00021A4E" w:rsidRDefault="00021A4E" w:rsidP="00021A4E">
      <w:pPr>
        <w:spacing w:line="360" w:lineRule="auto"/>
        <w:jc w:val="both"/>
        <w:rPr>
          <w:rFonts w:ascii="Bookman Old Style" w:hAnsi="Bookman Old Style" w:cs="Arial"/>
        </w:rPr>
      </w:pPr>
    </w:p>
    <w:sectPr w:rsidR="00021A4E" w:rsidRPr="00021A4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8E087" w14:textId="77777777" w:rsidR="001D316B" w:rsidRDefault="001D316B" w:rsidP="00021A4E">
      <w:pPr>
        <w:spacing w:after="0" w:line="240" w:lineRule="auto"/>
      </w:pPr>
      <w:r>
        <w:separator/>
      </w:r>
    </w:p>
  </w:endnote>
  <w:endnote w:type="continuationSeparator" w:id="0">
    <w:p w14:paraId="09E1690B" w14:textId="77777777" w:rsidR="001D316B" w:rsidRDefault="001D316B" w:rsidP="00021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99932" w14:textId="77777777" w:rsidR="001D316B" w:rsidRDefault="001D316B" w:rsidP="00021A4E">
      <w:pPr>
        <w:spacing w:after="0" w:line="240" w:lineRule="auto"/>
      </w:pPr>
      <w:r>
        <w:separator/>
      </w:r>
    </w:p>
  </w:footnote>
  <w:footnote w:type="continuationSeparator" w:id="0">
    <w:p w14:paraId="73A310EB" w14:textId="77777777" w:rsidR="001D316B" w:rsidRDefault="001D316B" w:rsidP="00021A4E">
      <w:pPr>
        <w:spacing w:after="0" w:line="240" w:lineRule="auto"/>
      </w:pPr>
      <w:r>
        <w:continuationSeparator/>
      </w:r>
    </w:p>
  </w:footnote>
  <w:footnote w:id="1">
    <w:p w14:paraId="3E9048E1" w14:textId="4CD97D02" w:rsidR="00F01051" w:rsidRDefault="00F01051" w:rsidP="00C15E20">
      <w:pPr>
        <w:pStyle w:val="Textonotapie"/>
        <w:jc w:val="both"/>
      </w:pPr>
      <w:r>
        <w:rPr>
          <w:rStyle w:val="Refdenotaalpie"/>
        </w:rPr>
        <w:footnoteRef/>
      </w:r>
      <w:r>
        <w:t xml:space="preserve"> Espinoza, Nicolás (11 de octubre de 2022). Aumenta delito de “salidas de banco” en la capital: Santiago, Ñuñoa</w:t>
      </w:r>
      <w:r w:rsidR="00A60A7B">
        <w:t xml:space="preserve"> y Conchalí lideran la lista. Recuperado de:</w:t>
      </w:r>
      <w:r w:rsidR="00C15E20" w:rsidRPr="00C15E20">
        <w:t xml:space="preserve"> https://www.biobiochile.cl/noticias/nacional/region-metropolitana/2022/10/11/aumenta-delito-de-salidas-de-banco-en-la-capital-santiago-nunoa-y-conchali-lideran-la-lista.shtml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1971" w14:textId="05B5E287" w:rsidR="00021A4E" w:rsidRPr="00021A4E" w:rsidRDefault="00021A4E" w:rsidP="00021A4E">
    <w:pPr>
      <w:pStyle w:val="Encabezado"/>
      <w:jc w:val="center"/>
    </w:pPr>
    <w:r>
      <w:rPr>
        <w:noProof/>
      </w:rPr>
      <w:drawing>
        <wp:inline distT="0" distB="0" distL="0" distR="0" wp14:anchorId="2DC01303" wp14:editId="3CA615E2">
          <wp:extent cx="1026942" cy="1026942"/>
          <wp:effectExtent l="0" t="0" r="1905" b="1905"/>
          <wp:docPr id="1367055486"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095782" name="Imagen 2" descr="Logotip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1530" cy="10515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F6120"/>
    <w:multiLevelType w:val="hybridMultilevel"/>
    <w:tmpl w:val="276CA228"/>
    <w:lvl w:ilvl="0" w:tplc="7C68259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793211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4E"/>
    <w:rsid w:val="00021A4E"/>
    <w:rsid w:val="00120D4B"/>
    <w:rsid w:val="00146A6A"/>
    <w:rsid w:val="001D316B"/>
    <w:rsid w:val="002173C0"/>
    <w:rsid w:val="0033044A"/>
    <w:rsid w:val="00347AFE"/>
    <w:rsid w:val="0052222F"/>
    <w:rsid w:val="005250EE"/>
    <w:rsid w:val="005271E7"/>
    <w:rsid w:val="00614642"/>
    <w:rsid w:val="007A6434"/>
    <w:rsid w:val="007B1676"/>
    <w:rsid w:val="008E44D9"/>
    <w:rsid w:val="00A60A7B"/>
    <w:rsid w:val="00B078D0"/>
    <w:rsid w:val="00B4520C"/>
    <w:rsid w:val="00C15E20"/>
    <w:rsid w:val="00E409B5"/>
    <w:rsid w:val="00F01051"/>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735D"/>
  <w15:chartTrackingRefBased/>
  <w15:docId w15:val="{016D5AA5-5BCD-4C6B-ACA7-F1D11510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21A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21A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21A4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21A4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21A4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21A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21A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21A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21A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21A4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021A4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021A4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021A4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021A4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021A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21A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21A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21A4E"/>
    <w:rPr>
      <w:rFonts w:eastAsiaTheme="majorEastAsia" w:cstheme="majorBidi"/>
      <w:color w:val="272727" w:themeColor="text1" w:themeTint="D8"/>
    </w:rPr>
  </w:style>
  <w:style w:type="paragraph" w:styleId="Ttulo">
    <w:name w:val="Title"/>
    <w:basedOn w:val="Normal"/>
    <w:next w:val="Normal"/>
    <w:link w:val="TtuloCar"/>
    <w:uiPriority w:val="10"/>
    <w:qFormat/>
    <w:rsid w:val="00021A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21A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21A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21A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21A4E"/>
    <w:pPr>
      <w:spacing w:before="160"/>
      <w:jc w:val="center"/>
    </w:pPr>
    <w:rPr>
      <w:i/>
      <w:iCs/>
      <w:color w:val="404040" w:themeColor="text1" w:themeTint="BF"/>
    </w:rPr>
  </w:style>
  <w:style w:type="character" w:customStyle="1" w:styleId="CitaCar">
    <w:name w:val="Cita Car"/>
    <w:basedOn w:val="Fuentedeprrafopredeter"/>
    <w:link w:val="Cita"/>
    <w:uiPriority w:val="29"/>
    <w:rsid w:val="00021A4E"/>
    <w:rPr>
      <w:i/>
      <w:iCs/>
      <w:color w:val="404040" w:themeColor="text1" w:themeTint="BF"/>
    </w:rPr>
  </w:style>
  <w:style w:type="paragraph" w:styleId="Prrafodelista">
    <w:name w:val="List Paragraph"/>
    <w:basedOn w:val="Normal"/>
    <w:uiPriority w:val="34"/>
    <w:qFormat/>
    <w:rsid w:val="00021A4E"/>
    <w:pPr>
      <w:ind w:left="720"/>
      <w:contextualSpacing/>
    </w:pPr>
  </w:style>
  <w:style w:type="character" w:styleId="nfasisintenso">
    <w:name w:val="Intense Emphasis"/>
    <w:basedOn w:val="Fuentedeprrafopredeter"/>
    <w:uiPriority w:val="21"/>
    <w:qFormat/>
    <w:rsid w:val="00021A4E"/>
    <w:rPr>
      <w:i/>
      <w:iCs/>
      <w:color w:val="2F5496" w:themeColor="accent1" w:themeShade="BF"/>
    </w:rPr>
  </w:style>
  <w:style w:type="paragraph" w:styleId="Citadestacada">
    <w:name w:val="Intense Quote"/>
    <w:basedOn w:val="Normal"/>
    <w:next w:val="Normal"/>
    <w:link w:val="CitadestacadaCar"/>
    <w:uiPriority w:val="30"/>
    <w:qFormat/>
    <w:rsid w:val="00021A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21A4E"/>
    <w:rPr>
      <w:i/>
      <w:iCs/>
      <w:color w:val="2F5496" w:themeColor="accent1" w:themeShade="BF"/>
    </w:rPr>
  </w:style>
  <w:style w:type="character" w:styleId="Referenciaintensa">
    <w:name w:val="Intense Reference"/>
    <w:basedOn w:val="Fuentedeprrafopredeter"/>
    <w:uiPriority w:val="32"/>
    <w:qFormat/>
    <w:rsid w:val="00021A4E"/>
    <w:rPr>
      <w:b/>
      <w:bCs/>
      <w:smallCaps/>
      <w:color w:val="2F5496" w:themeColor="accent1" w:themeShade="BF"/>
      <w:spacing w:val="5"/>
    </w:rPr>
  </w:style>
  <w:style w:type="paragraph" w:styleId="Encabezado">
    <w:name w:val="header"/>
    <w:basedOn w:val="Normal"/>
    <w:link w:val="EncabezadoCar"/>
    <w:uiPriority w:val="99"/>
    <w:unhideWhenUsed/>
    <w:rsid w:val="00021A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1A4E"/>
  </w:style>
  <w:style w:type="paragraph" w:styleId="Piedepgina">
    <w:name w:val="footer"/>
    <w:basedOn w:val="Normal"/>
    <w:link w:val="PiedepginaCar"/>
    <w:uiPriority w:val="99"/>
    <w:unhideWhenUsed/>
    <w:rsid w:val="00021A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1A4E"/>
  </w:style>
  <w:style w:type="paragraph" w:styleId="Textonotapie">
    <w:name w:val="footnote text"/>
    <w:basedOn w:val="Normal"/>
    <w:link w:val="TextonotapieCar"/>
    <w:uiPriority w:val="99"/>
    <w:semiHidden/>
    <w:unhideWhenUsed/>
    <w:rsid w:val="007B167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1676"/>
    <w:rPr>
      <w:sz w:val="20"/>
      <w:szCs w:val="20"/>
    </w:rPr>
  </w:style>
  <w:style w:type="character" w:styleId="Refdenotaalpie">
    <w:name w:val="footnote reference"/>
    <w:basedOn w:val="Fuentedeprrafopredeter"/>
    <w:uiPriority w:val="99"/>
    <w:semiHidden/>
    <w:unhideWhenUsed/>
    <w:rsid w:val="007B1676"/>
    <w:rPr>
      <w:vertAlign w:val="superscript"/>
    </w:rPr>
  </w:style>
  <w:style w:type="character" w:styleId="Hipervnculo">
    <w:name w:val="Hyperlink"/>
    <w:basedOn w:val="Fuentedeprrafopredeter"/>
    <w:uiPriority w:val="99"/>
    <w:unhideWhenUsed/>
    <w:rsid w:val="00146A6A"/>
    <w:rPr>
      <w:color w:val="0563C1" w:themeColor="hyperlink"/>
      <w:u w:val="single"/>
    </w:rPr>
  </w:style>
  <w:style w:type="character" w:styleId="Mencinsinresolver">
    <w:name w:val="Unresolved Mention"/>
    <w:basedOn w:val="Fuentedeprrafopredeter"/>
    <w:uiPriority w:val="99"/>
    <w:semiHidden/>
    <w:unhideWhenUsed/>
    <w:rsid w:val="00146A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BD51-CCD1-4680-A0D5-21B5F82B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445</Words>
  <Characters>2450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Farías</dc:creator>
  <cp:keywords/>
  <dc:description/>
  <cp:lastModifiedBy>Guillermo Diaz Vallejos</cp:lastModifiedBy>
  <cp:revision>1</cp:revision>
  <dcterms:created xsi:type="dcterms:W3CDTF">2024-05-14T00:46:00Z</dcterms:created>
  <dcterms:modified xsi:type="dcterms:W3CDTF">2024-05-29T23:38:00Z</dcterms:modified>
</cp:coreProperties>
</file>