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6184" w:rsidRDefault="00000000">
      <w:pPr>
        <w:pStyle w:val="Textoindependiente"/>
        <w:ind w:left="10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91708" cy="85953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708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184" w:rsidRDefault="002B6184">
      <w:pPr>
        <w:pStyle w:val="Textoindependiente"/>
        <w:rPr>
          <w:sz w:val="23"/>
        </w:rPr>
      </w:pPr>
    </w:p>
    <w:p w:rsidR="002B6184" w:rsidRDefault="002B6184">
      <w:pPr>
        <w:pStyle w:val="Textoindependiente"/>
        <w:rPr>
          <w:sz w:val="23"/>
        </w:rPr>
      </w:pPr>
    </w:p>
    <w:p w:rsidR="002B6184" w:rsidRDefault="002B6184">
      <w:pPr>
        <w:pStyle w:val="Textoindependiente"/>
        <w:spacing w:before="58"/>
        <w:rPr>
          <w:sz w:val="23"/>
        </w:rPr>
      </w:pPr>
    </w:p>
    <w:p w:rsidR="002B6184" w:rsidRDefault="00000000">
      <w:pPr>
        <w:spacing w:line="309" w:lineRule="auto"/>
        <w:ind w:left="1332" w:hanging="1023"/>
        <w:rPr>
          <w:b/>
          <w:sz w:val="23"/>
        </w:rPr>
      </w:pPr>
      <w:r>
        <w:rPr>
          <w:b/>
          <w:sz w:val="23"/>
        </w:rPr>
        <w:t>PROYECTO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LEY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QUE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REBAJA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CUARENTA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CINCO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AÑOS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LA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EDAD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DE JUBILACIÓN PARA PERSONAS CON SÍNDROME DE DOWN</w:t>
      </w:r>
    </w:p>
    <w:p w:rsidR="002B6184" w:rsidRDefault="002B6184">
      <w:pPr>
        <w:pStyle w:val="Textoindependiente"/>
        <w:rPr>
          <w:b/>
          <w:sz w:val="23"/>
        </w:rPr>
      </w:pPr>
    </w:p>
    <w:p w:rsidR="002B6184" w:rsidRDefault="002B6184">
      <w:pPr>
        <w:pStyle w:val="Textoindependiente"/>
        <w:spacing w:before="190"/>
        <w:rPr>
          <w:b/>
          <w:sz w:val="23"/>
        </w:rPr>
      </w:pPr>
    </w:p>
    <w:p w:rsidR="002B6184" w:rsidRDefault="00000000">
      <w:pPr>
        <w:pStyle w:val="Prrafodelista"/>
        <w:numPr>
          <w:ilvl w:val="0"/>
          <w:numId w:val="1"/>
        </w:numPr>
        <w:tabs>
          <w:tab w:val="left" w:pos="766"/>
        </w:tabs>
        <w:spacing w:before="1"/>
        <w:rPr>
          <w:b/>
          <w:sz w:val="23"/>
        </w:rPr>
      </w:pPr>
      <w:r>
        <w:rPr>
          <w:b/>
          <w:spacing w:val="-2"/>
          <w:sz w:val="23"/>
        </w:rPr>
        <w:t>ANTECEDENTES</w:t>
      </w:r>
    </w:p>
    <w:p w:rsidR="002B6184" w:rsidRDefault="002B6184">
      <w:pPr>
        <w:pStyle w:val="Textoindependiente"/>
        <w:rPr>
          <w:b/>
          <w:sz w:val="23"/>
        </w:rPr>
      </w:pPr>
    </w:p>
    <w:p w:rsidR="002B6184" w:rsidRDefault="002B6184">
      <w:pPr>
        <w:pStyle w:val="Textoindependiente"/>
        <w:spacing w:before="209"/>
        <w:rPr>
          <w:b/>
          <w:sz w:val="23"/>
        </w:rPr>
      </w:pPr>
    </w:p>
    <w:p w:rsidR="002B6184" w:rsidRDefault="00000000">
      <w:pPr>
        <w:pStyle w:val="Textoindependiente"/>
        <w:spacing w:before="1" w:line="312" w:lineRule="auto"/>
        <w:ind w:left="159" w:right="100"/>
        <w:jc w:val="both"/>
      </w:pPr>
      <w:r>
        <w:t>Según cifras del Programa Chile Crece Contigo, del Ministerio de Desarrollo Social y Familia, nuestro país posee la mayor tasa de niños que nacen anualmente con Síndrome de Down en la región latinoamericana, con una proporción de 2,5 por mil nacidos vivos, mientras que a nivel continental esa cifra es de 1,4</w:t>
      </w:r>
      <w:r>
        <w:rPr>
          <w:vertAlign w:val="superscript"/>
        </w:rPr>
        <w:t>1</w:t>
      </w:r>
      <w:r>
        <w:t>. Del mismo modo, el Estudio Nacional de la Discapacidad 2022 arrojó que el 1,3% de niños y jóvenes con discapacidad tienen Síndrome de Down en Chile, lo que equivale a 7.802 menores</w:t>
      </w:r>
      <w:r>
        <w:rPr>
          <w:vertAlign w:val="superscript"/>
        </w:rPr>
        <w:t>2</w:t>
      </w:r>
      <w:r>
        <w:t>.</w:t>
      </w:r>
    </w:p>
    <w:p w:rsidR="002B6184" w:rsidRDefault="002B6184">
      <w:pPr>
        <w:pStyle w:val="Textoindependiente"/>
        <w:spacing w:before="81"/>
      </w:pPr>
    </w:p>
    <w:p w:rsidR="002B6184" w:rsidRDefault="00000000">
      <w:pPr>
        <w:pStyle w:val="Textoindependiente"/>
        <w:spacing w:line="312" w:lineRule="auto"/>
        <w:ind w:left="159" w:right="100"/>
        <w:jc w:val="both"/>
      </w:pPr>
      <w:r>
        <w:t>La prevalencia de dicha condición da cuenta de la necesidad de abordar, desde el ámbito de las políticas públicas y con un enfoque de largo plazo, las principales inquietudes de este importante</w:t>
      </w:r>
      <w:r>
        <w:rPr>
          <w:spacing w:val="-4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población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promover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alcanzar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integral</w:t>
      </w:r>
      <w:r>
        <w:rPr>
          <w:spacing w:val="-4"/>
        </w:rPr>
        <w:t xml:space="preserve"> </w:t>
      </w:r>
      <w:r>
        <w:t>en diferentes áreas de la vida cotidiana.</w:t>
      </w:r>
    </w:p>
    <w:p w:rsidR="002B6184" w:rsidRDefault="002B6184">
      <w:pPr>
        <w:pStyle w:val="Textoindependiente"/>
        <w:spacing w:before="84"/>
      </w:pPr>
    </w:p>
    <w:p w:rsidR="002B6184" w:rsidRDefault="00000000">
      <w:pPr>
        <w:pStyle w:val="Textoindependiente"/>
        <w:spacing w:before="1" w:line="312" w:lineRule="auto"/>
        <w:ind w:left="159" w:right="100"/>
        <w:jc w:val="both"/>
      </w:pPr>
      <w:r>
        <w:t>Como resultado, la legislación ha avanzado en la línea de disminuir las brechas que existen respecto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quienes</w:t>
      </w:r>
      <w:r>
        <w:rPr>
          <w:spacing w:val="-8"/>
        </w:rPr>
        <w:t xml:space="preserve"> </w:t>
      </w:r>
      <w:r>
        <w:t>presentan</w:t>
      </w:r>
      <w:r>
        <w:rPr>
          <w:spacing w:val="-8"/>
        </w:rPr>
        <w:t xml:space="preserve"> </w:t>
      </w:r>
      <w:r>
        <w:t>mayores</w:t>
      </w:r>
      <w:r>
        <w:rPr>
          <w:spacing w:val="-8"/>
        </w:rPr>
        <w:t xml:space="preserve"> </w:t>
      </w:r>
      <w:r>
        <w:t>dificultades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plena</w:t>
      </w:r>
      <w:r>
        <w:rPr>
          <w:spacing w:val="-8"/>
        </w:rPr>
        <w:t xml:space="preserve"> </w:t>
      </w:r>
      <w:r>
        <w:t>realización,</w:t>
      </w:r>
      <w:r>
        <w:rPr>
          <w:spacing w:val="-8"/>
        </w:rPr>
        <w:t xml:space="preserve"> </w:t>
      </w:r>
      <w:r>
        <w:t>destacando,</w:t>
      </w:r>
      <w:r>
        <w:rPr>
          <w:spacing w:val="-8"/>
        </w:rPr>
        <w:t xml:space="preserve"> </w:t>
      </w:r>
      <w:r>
        <w:t>en este sentido, la implementación de la ley Nº20.422, que establece normas sobre igualdad de oportunidades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inclusión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discapacidad,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cuyas</w:t>
      </w:r>
      <w:r>
        <w:rPr>
          <w:spacing w:val="-3"/>
        </w:rPr>
        <w:t xml:space="preserve"> </w:t>
      </w:r>
      <w:r>
        <w:t>disposiciones</w:t>
      </w:r>
      <w:r>
        <w:rPr>
          <w:spacing w:val="-3"/>
        </w:rPr>
        <w:t xml:space="preserve"> </w:t>
      </w:r>
      <w:r>
        <w:t xml:space="preserve">tienen </w:t>
      </w:r>
      <w:r>
        <w:rPr>
          <w:spacing w:val="-2"/>
        </w:rPr>
        <w:t>por</w:t>
      </w:r>
      <w:r>
        <w:rPr>
          <w:spacing w:val="-6"/>
        </w:rPr>
        <w:t xml:space="preserve"> </w:t>
      </w:r>
      <w:r>
        <w:rPr>
          <w:spacing w:val="-2"/>
        </w:rPr>
        <w:t>finalidad</w:t>
      </w:r>
      <w:r>
        <w:rPr>
          <w:spacing w:val="-6"/>
        </w:rPr>
        <w:t xml:space="preserve"> </w:t>
      </w:r>
      <w:r>
        <w:rPr>
          <w:spacing w:val="-2"/>
        </w:rPr>
        <w:t>proteger</w:t>
      </w:r>
      <w:r>
        <w:rPr>
          <w:spacing w:val="-6"/>
        </w:rPr>
        <w:t xml:space="preserve"> </w:t>
      </w:r>
      <w:r>
        <w:rPr>
          <w:spacing w:val="-2"/>
        </w:rPr>
        <w:t>su</w:t>
      </w:r>
      <w:r>
        <w:rPr>
          <w:spacing w:val="-6"/>
        </w:rPr>
        <w:t xml:space="preserve"> </w:t>
      </w:r>
      <w:r>
        <w:rPr>
          <w:spacing w:val="-2"/>
        </w:rPr>
        <w:t>integridad</w:t>
      </w:r>
      <w:r>
        <w:rPr>
          <w:spacing w:val="-6"/>
        </w:rPr>
        <w:t xml:space="preserve"> </w:t>
      </w:r>
      <w:r>
        <w:rPr>
          <w:spacing w:val="-2"/>
        </w:rPr>
        <w:t>y</w:t>
      </w:r>
      <w:r>
        <w:rPr>
          <w:spacing w:val="-6"/>
        </w:rPr>
        <w:t xml:space="preserve"> </w:t>
      </w:r>
      <w:r>
        <w:rPr>
          <w:spacing w:val="-2"/>
        </w:rPr>
        <w:t>asegurar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observancia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sus</w:t>
      </w:r>
      <w:r>
        <w:rPr>
          <w:spacing w:val="-6"/>
        </w:rPr>
        <w:t xml:space="preserve"> </w:t>
      </w:r>
      <w:r>
        <w:rPr>
          <w:spacing w:val="-2"/>
        </w:rPr>
        <w:t>derechos,</w:t>
      </w:r>
      <w:r>
        <w:rPr>
          <w:spacing w:val="-6"/>
        </w:rPr>
        <w:t xml:space="preserve"> </w:t>
      </w:r>
      <w:r>
        <w:rPr>
          <w:spacing w:val="-2"/>
        </w:rPr>
        <w:t>así</w:t>
      </w:r>
      <w:r>
        <w:rPr>
          <w:spacing w:val="-6"/>
        </w:rPr>
        <w:t xml:space="preserve"> </w:t>
      </w:r>
      <w:r>
        <w:rPr>
          <w:spacing w:val="-2"/>
        </w:rPr>
        <w:t>como</w:t>
      </w:r>
      <w:r>
        <w:rPr>
          <w:spacing w:val="-6"/>
        </w:rPr>
        <w:t xml:space="preserve"> </w:t>
      </w:r>
      <w:r>
        <w:rPr>
          <w:spacing w:val="-2"/>
        </w:rPr>
        <w:t xml:space="preserve">evitar </w:t>
      </w:r>
      <w:r>
        <w:t>actos discriminatorios.</w:t>
      </w:r>
    </w:p>
    <w:p w:rsidR="002B6184" w:rsidRDefault="002B6184">
      <w:pPr>
        <w:pStyle w:val="Textoindependiente"/>
        <w:rPr>
          <w:sz w:val="20"/>
        </w:rPr>
      </w:pPr>
    </w:p>
    <w:p w:rsidR="002B6184" w:rsidRDefault="002B6184">
      <w:pPr>
        <w:pStyle w:val="Textoindependiente"/>
        <w:rPr>
          <w:sz w:val="20"/>
        </w:rPr>
      </w:pPr>
    </w:p>
    <w:p w:rsidR="002B6184" w:rsidRDefault="00000000">
      <w:pPr>
        <w:pStyle w:val="Textoindependiente"/>
        <w:spacing w:before="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217551</wp:posOffset>
                </wp:positionV>
                <wp:extent cx="18288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014B6" id="Graphic 2" o:spid="_x0000_s1026" style="position:absolute;margin-left:84.95pt;margin-top:17.15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B6184" w:rsidRDefault="00000000">
      <w:pPr>
        <w:spacing w:before="114" w:line="237" w:lineRule="auto"/>
        <w:ind w:left="159" w:right="100"/>
        <w:jc w:val="both"/>
        <w:rPr>
          <w:sz w:val="19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 xml:space="preserve">Portal </w:t>
      </w:r>
      <w:r>
        <w:rPr>
          <w:sz w:val="19"/>
        </w:rPr>
        <w:t>Chile Crece Contigo. Ministerio de Desarrollo Social y Familia. Subsecretaría de la Niñez. Síndrome de Down. Disponible en: https://</w:t>
      </w:r>
      <w:hyperlink r:id="rId6">
        <w:r>
          <w:rPr>
            <w:sz w:val="19"/>
          </w:rPr>
          <w:t>www.crececontigo.gob.cl/tema/desarrollo-del-nino-y-la-nina/sindrome-de-down-</w:t>
        </w:r>
      </w:hyperlink>
      <w:r>
        <w:rPr>
          <w:sz w:val="19"/>
        </w:rPr>
        <w:t xml:space="preserve"> </w:t>
      </w:r>
      <w:r>
        <w:rPr>
          <w:spacing w:val="-2"/>
          <w:sz w:val="19"/>
        </w:rPr>
        <w:t>2/#:~:text=Detecci%C3%B3n&amp;text=Chile%20es%20el%20pa%C3%ADs%20latinoamericano,5%20por%201000</w:t>
      </w:r>
    </w:p>
    <w:p w:rsidR="002B6184" w:rsidRDefault="00000000">
      <w:pPr>
        <w:spacing w:before="4"/>
        <w:ind w:left="159"/>
        <w:rPr>
          <w:sz w:val="19"/>
        </w:rPr>
      </w:pPr>
      <w:r>
        <w:rPr>
          <w:spacing w:val="-2"/>
          <w:sz w:val="19"/>
        </w:rPr>
        <w:t>%20nacidos%20vivos.</w:t>
      </w:r>
    </w:p>
    <w:p w:rsidR="002B6184" w:rsidRDefault="00000000">
      <w:pPr>
        <w:spacing w:before="13"/>
        <w:ind w:left="159"/>
        <w:rPr>
          <w:sz w:val="19"/>
        </w:rPr>
      </w:pPr>
      <w:r>
        <w:rPr>
          <w:rFonts w:ascii="Calibri" w:hAnsi="Calibri"/>
          <w:sz w:val="19"/>
          <w:vertAlign w:val="superscript"/>
        </w:rPr>
        <w:t>2</w:t>
      </w:r>
      <w:r>
        <w:rPr>
          <w:rFonts w:ascii="Calibri" w:hAnsi="Calibri"/>
          <w:spacing w:val="1"/>
          <w:sz w:val="19"/>
        </w:rPr>
        <w:t xml:space="preserve"> </w:t>
      </w:r>
      <w:r>
        <w:rPr>
          <w:sz w:val="19"/>
        </w:rPr>
        <w:t>III</w:t>
      </w:r>
      <w:r>
        <w:rPr>
          <w:spacing w:val="-3"/>
          <w:sz w:val="19"/>
        </w:rPr>
        <w:t xml:space="preserve"> </w:t>
      </w:r>
      <w:r>
        <w:rPr>
          <w:sz w:val="19"/>
        </w:rPr>
        <w:t>Estudio</w:t>
      </w:r>
      <w:r>
        <w:rPr>
          <w:spacing w:val="-3"/>
          <w:sz w:val="19"/>
        </w:rPr>
        <w:t xml:space="preserve"> </w:t>
      </w:r>
      <w:r>
        <w:rPr>
          <w:sz w:val="19"/>
        </w:rPr>
        <w:t>Nacional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Discapacidad.</w:t>
      </w:r>
      <w:r>
        <w:rPr>
          <w:spacing w:val="-2"/>
          <w:sz w:val="19"/>
        </w:rPr>
        <w:t xml:space="preserve"> </w:t>
      </w:r>
      <w:r>
        <w:rPr>
          <w:sz w:val="19"/>
        </w:rPr>
        <w:t>Servicio</w:t>
      </w:r>
      <w:r>
        <w:rPr>
          <w:spacing w:val="-4"/>
          <w:sz w:val="19"/>
        </w:rPr>
        <w:t xml:space="preserve"> </w:t>
      </w:r>
      <w:r>
        <w:rPr>
          <w:sz w:val="19"/>
        </w:rPr>
        <w:t>Nacional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2"/>
          <w:sz w:val="19"/>
        </w:rPr>
        <w:t xml:space="preserve"> </w:t>
      </w:r>
      <w:r>
        <w:rPr>
          <w:sz w:val="19"/>
        </w:rPr>
        <w:t>Discapacidad,</w:t>
      </w:r>
      <w:r>
        <w:rPr>
          <w:spacing w:val="-3"/>
          <w:sz w:val="19"/>
        </w:rPr>
        <w:t xml:space="preserve"> </w:t>
      </w:r>
      <w:r>
        <w:rPr>
          <w:sz w:val="19"/>
        </w:rPr>
        <w:t>pág.</w:t>
      </w:r>
      <w:r>
        <w:rPr>
          <w:spacing w:val="-3"/>
          <w:sz w:val="19"/>
        </w:rPr>
        <w:t xml:space="preserve"> </w:t>
      </w:r>
      <w:r>
        <w:rPr>
          <w:spacing w:val="-5"/>
          <w:sz w:val="19"/>
        </w:rPr>
        <w:t>75.</w:t>
      </w:r>
    </w:p>
    <w:p w:rsidR="002B6184" w:rsidRDefault="002B6184">
      <w:pPr>
        <w:rPr>
          <w:sz w:val="19"/>
        </w:rPr>
        <w:sectPr w:rsidR="002B6184">
          <w:type w:val="continuous"/>
          <w:pgSz w:w="12240" w:h="15840"/>
          <w:pgMar w:top="1280" w:right="1600" w:bottom="280" w:left="1540" w:header="720" w:footer="720" w:gutter="0"/>
          <w:cols w:space="720"/>
        </w:sectPr>
      </w:pPr>
    </w:p>
    <w:p w:rsidR="002B6184" w:rsidRDefault="00000000">
      <w:pPr>
        <w:pStyle w:val="Textoindependiente"/>
        <w:spacing w:before="77" w:line="312" w:lineRule="auto"/>
        <w:ind w:left="159" w:right="100"/>
        <w:jc w:val="both"/>
      </w:pPr>
      <w:r>
        <w:lastRenderedPageBreak/>
        <w:t>Si</w:t>
      </w:r>
      <w:r>
        <w:rPr>
          <w:spacing w:val="-14"/>
        </w:rPr>
        <w:t xml:space="preserve"> </w:t>
      </w:r>
      <w:r>
        <w:t>bien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existe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marco</w:t>
      </w:r>
      <w:r>
        <w:rPr>
          <w:spacing w:val="-14"/>
        </w:rPr>
        <w:t xml:space="preserve"> </w:t>
      </w:r>
      <w:r>
        <w:t>normativo</w:t>
      </w:r>
      <w:r>
        <w:rPr>
          <w:spacing w:val="-14"/>
        </w:rPr>
        <w:t xml:space="preserve"> </w:t>
      </w:r>
      <w:r>
        <w:t>especializado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situación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personas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 xml:space="preserve">Síndrome de Down, lo cierto es que la protección de ellas -desde el Estado- es posible en el marco de las políticas públicas que han sido elaboradas en beneficio de grupos que presentan algún grado de discapacidad física o intelectual, precisamente por las dificultades que pueden experimentar aquellas con motivo de tal condición. Así, por ejemplo, en materia formativa, pueden acceder al Programa de Integración Escolar (PIE) o a la modalidad de educativa </w:t>
      </w:r>
      <w:r>
        <w:rPr>
          <w:spacing w:val="-2"/>
        </w:rPr>
        <w:t>especial.</w:t>
      </w:r>
    </w:p>
    <w:p w:rsidR="002B6184" w:rsidRDefault="002B6184">
      <w:pPr>
        <w:pStyle w:val="Textoindependiente"/>
        <w:spacing w:before="83"/>
      </w:pPr>
    </w:p>
    <w:p w:rsidR="002B6184" w:rsidRDefault="00000000">
      <w:pPr>
        <w:spacing w:line="312" w:lineRule="auto"/>
        <w:ind w:left="159" w:right="100"/>
        <w:jc w:val="both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ámbito</w:t>
      </w:r>
      <w:r>
        <w:rPr>
          <w:spacing w:val="-2"/>
          <w:sz w:val="24"/>
        </w:rPr>
        <w:t xml:space="preserve"> </w:t>
      </w:r>
      <w:r>
        <w:rPr>
          <w:sz w:val="24"/>
        </w:rPr>
        <w:t>laboral,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Código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Trabajo,</w:t>
      </w:r>
      <w:r>
        <w:rPr>
          <w:spacing w:val="-3"/>
          <w:sz w:val="24"/>
        </w:rPr>
        <w:t xml:space="preserve"> </w:t>
      </w:r>
      <w:r>
        <w:rPr>
          <w:sz w:val="24"/>
        </w:rPr>
        <w:t>luego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modificaciones</w:t>
      </w:r>
      <w:r>
        <w:rPr>
          <w:spacing w:val="-2"/>
          <w:sz w:val="24"/>
        </w:rPr>
        <w:t xml:space="preserve"> </w:t>
      </w:r>
      <w:r>
        <w:rPr>
          <w:sz w:val="24"/>
        </w:rPr>
        <w:t>introducidas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la ley Nº21.015, que incentiva la inclusión de personas con discapacidad al mundo laboral, en su artículo 157 bis, inciso primero, dispone que </w:t>
      </w:r>
      <w:r>
        <w:rPr>
          <w:i/>
          <w:sz w:val="24"/>
        </w:rPr>
        <w:t>“las empresas de 100 o más trabajadores deberán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contratar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mantener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contratados,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según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corresponda,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menos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1%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personas con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discapacidad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asignatarias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pensión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invalidez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cualquier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régimen previsional,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relación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total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trabajadores”,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lo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otorga</w:t>
      </w:r>
      <w:r>
        <w:rPr>
          <w:spacing w:val="-6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valiosa</w:t>
      </w:r>
      <w:r>
        <w:rPr>
          <w:spacing w:val="-6"/>
          <w:sz w:val="24"/>
        </w:rPr>
        <w:t xml:space="preserve"> </w:t>
      </w:r>
      <w:r>
        <w:rPr>
          <w:sz w:val="24"/>
        </w:rPr>
        <w:t>oportunidad a</w:t>
      </w:r>
      <w:r>
        <w:rPr>
          <w:spacing w:val="-7"/>
          <w:sz w:val="24"/>
        </w:rPr>
        <w:t xml:space="preserve"> </w:t>
      </w:r>
      <w:r>
        <w:rPr>
          <w:sz w:val="24"/>
        </w:rPr>
        <w:t>jóvenes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adultos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su</w:t>
      </w:r>
      <w:r>
        <w:rPr>
          <w:spacing w:val="-7"/>
          <w:sz w:val="24"/>
        </w:rPr>
        <w:t xml:space="preserve"> </w:t>
      </w:r>
      <w:r>
        <w:rPr>
          <w:sz w:val="24"/>
        </w:rPr>
        <w:t>desempeño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puesto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trabajo</w:t>
      </w:r>
      <w:r>
        <w:rPr>
          <w:spacing w:val="-7"/>
          <w:sz w:val="24"/>
        </w:rPr>
        <w:t xml:space="preserve"> </w:t>
      </w:r>
      <w:r>
        <w:rPr>
          <w:sz w:val="24"/>
        </w:rPr>
        <w:t>formal</w:t>
      </w:r>
      <w:r>
        <w:rPr>
          <w:spacing w:val="-7"/>
          <w:sz w:val="24"/>
        </w:rPr>
        <w:t xml:space="preserve"> </w:t>
      </w:r>
      <w:r>
        <w:rPr>
          <w:sz w:val="24"/>
        </w:rPr>
        <w:t>dentro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contexto</w:t>
      </w:r>
      <w:r>
        <w:rPr>
          <w:spacing w:val="-7"/>
          <w:sz w:val="24"/>
        </w:rPr>
        <w:t xml:space="preserve"> </w:t>
      </w:r>
      <w:r>
        <w:rPr>
          <w:sz w:val="24"/>
        </w:rPr>
        <w:t>de integración social que deriva de este tipo de actividades.</w:t>
      </w:r>
    </w:p>
    <w:p w:rsidR="002B6184" w:rsidRDefault="002B6184">
      <w:pPr>
        <w:pStyle w:val="Textoindependiente"/>
        <w:spacing w:before="84"/>
      </w:pPr>
    </w:p>
    <w:p w:rsidR="002B6184" w:rsidRDefault="00000000">
      <w:pPr>
        <w:pStyle w:val="Textoindependiente"/>
        <w:spacing w:before="1" w:line="312" w:lineRule="auto"/>
        <w:ind w:left="159" w:right="100"/>
        <w:jc w:val="both"/>
      </w:pPr>
      <w:r>
        <w:t>El aumento sostenido de la participación de personas con Síndrome de Down en el mundo laboral</w:t>
      </w:r>
      <w:r>
        <w:rPr>
          <w:spacing w:val="-1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cuenta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conveniencia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revisar,</w:t>
      </w:r>
      <w:r>
        <w:rPr>
          <w:spacing w:val="-15"/>
        </w:rPr>
        <w:t xml:space="preserve"> </w:t>
      </w:r>
      <w:r>
        <w:t>perfeccionar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actualizar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normativa</w:t>
      </w:r>
      <w:r>
        <w:rPr>
          <w:spacing w:val="-15"/>
        </w:rPr>
        <w:t xml:space="preserve"> </w:t>
      </w:r>
      <w:r>
        <w:t>vigente 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luz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circunstancias</w:t>
      </w:r>
      <w:r>
        <w:rPr>
          <w:spacing w:val="-10"/>
        </w:rPr>
        <w:t xml:space="preserve"> </w:t>
      </w:r>
      <w:r>
        <w:t>propias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dicha</w:t>
      </w:r>
      <w:r>
        <w:rPr>
          <w:spacing w:val="-10"/>
        </w:rPr>
        <w:t xml:space="preserve"> </w:t>
      </w:r>
      <w:r>
        <w:t>condición</w:t>
      </w:r>
      <w:r>
        <w:rPr>
          <w:spacing w:val="-10"/>
        </w:rPr>
        <w:t xml:space="preserve"> </w:t>
      </w:r>
      <w:r>
        <w:t>donde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expectativa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vida</w:t>
      </w:r>
      <w:r>
        <w:rPr>
          <w:spacing w:val="-10"/>
        </w:rPr>
        <w:t xml:space="preserve"> </w:t>
      </w:r>
      <w:r>
        <w:t>alcanza los 60 años, por lo que la edad de jubilación necesariamente debe adecuarse a esa realidad, ya</w:t>
      </w:r>
      <w:r>
        <w:rPr>
          <w:spacing w:val="-9"/>
        </w:rPr>
        <w:t xml:space="preserve"> </w:t>
      </w:r>
      <w:r>
        <w:t>que,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acuerdo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regla</w:t>
      </w:r>
      <w:r>
        <w:rPr>
          <w:spacing w:val="-9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rige</w:t>
      </w:r>
      <w:r>
        <w:rPr>
          <w:spacing w:val="-9"/>
        </w:rPr>
        <w:t xml:space="preserve"> </w:t>
      </w:r>
      <w:r>
        <w:t>actualmente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encuentra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 3º del decreto ley Nº3.500, correspondiente a que la pensión de vejez procede a los 60 y 65 años, tratándose de mujeres y hombres, respectivamente, impide su acceso oportuno a los montos acumulados por concepto de jubilación durante el tiempo en que ejercieron como trabajadores de una empresa.</w:t>
      </w:r>
    </w:p>
    <w:p w:rsidR="002B6184" w:rsidRDefault="002B6184">
      <w:pPr>
        <w:pStyle w:val="Textoindependiente"/>
      </w:pPr>
    </w:p>
    <w:p w:rsidR="002B6184" w:rsidRDefault="002B6184">
      <w:pPr>
        <w:pStyle w:val="Textoindependiente"/>
        <w:spacing w:before="164"/>
      </w:pPr>
    </w:p>
    <w:p w:rsidR="002B6184" w:rsidRDefault="00000000">
      <w:pPr>
        <w:pStyle w:val="Prrafodelista"/>
        <w:numPr>
          <w:ilvl w:val="0"/>
          <w:numId w:val="1"/>
        </w:numPr>
        <w:tabs>
          <w:tab w:val="left" w:pos="798"/>
        </w:tabs>
        <w:ind w:left="798" w:hanging="639"/>
        <w:rPr>
          <w:b/>
          <w:sz w:val="23"/>
        </w:rPr>
      </w:pPr>
      <w:r>
        <w:rPr>
          <w:b/>
          <w:sz w:val="23"/>
        </w:rPr>
        <w:t>OBJETIVO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DEL</w:t>
      </w:r>
      <w:r>
        <w:rPr>
          <w:b/>
          <w:spacing w:val="-5"/>
          <w:sz w:val="23"/>
        </w:rPr>
        <w:t xml:space="preserve"> </w:t>
      </w:r>
      <w:r>
        <w:rPr>
          <w:b/>
          <w:spacing w:val="-2"/>
          <w:sz w:val="23"/>
        </w:rPr>
        <w:t>PROYECTO</w:t>
      </w:r>
    </w:p>
    <w:p w:rsidR="002B6184" w:rsidRDefault="002B6184">
      <w:pPr>
        <w:pStyle w:val="Textoindependiente"/>
        <w:spacing w:before="172"/>
        <w:rPr>
          <w:b/>
          <w:sz w:val="23"/>
        </w:rPr>
      </w:pPr>
    </w:p>
    <w:p w:rsidR="002B6184" w:rsidRDefault="00000000">
      <w:pPr>
        <w:pStyle w:val="Textoindependiente"/>
        <w:spacing w:line="312" w:lineRule="auto"/>
        <w:ind w:left="159" w:right="100"/>
        <w:jc w:val="both"/>
      </w:pP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modifica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Nº3.500,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1980,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establece</w:t>
      </w:r>
      <w:r>
        <w:rPr>
          <w:spacing w:val="-1"/>
        </w:rPr>
        <w:t xml:space="preserve"> </w:t>
      </w:r>
      <w:r>
        <w:t>nuevo</w:t>
      </w:r>
      <w:r>
        <w:rPr>
          <w:spacing w:val="-1"/>
        </w:rPr>
        <w:t xml:space="preserve"> </w:t>
      </w:r>
      <w:r>
        <w:t>sistema de pensiones, con el objeto de rebajar, excepcionalmente, a 45 años, la edad de jubilación aplicable a personas con Síndrome de Down, de manera de adecuar dicha variable a su expectativa de vida -que actualmente se encuentra en 60 años- y, en definitiva, permitir el acceso oportuno de este importante sector de la población a la pensión de vejez regulada en nuestra legislación laboral.</w:t>
      </w:r>
    </w:p>
    <w:p w:rsidR="002B6184" w:rsidRDefault="002B6184">
      <w:pPr>
        <w:spacing w:line="312" w:lineRule="auto"/>
        <w:jc w:val="both"/>
        <w:sectPr w:rsidR="002B6184">
          <w:pgSz w:w="12240" w:h="15840"/>
          <w:pgMar w:top="1340" w:right="1600" w:bottom="280" w:left="1540" w:header="720" w:footer="720" w:gutter="0"/>
          <w:cols w:space="720"/>
        </w:sectPr>
      </w:pPr>
    </w:p>
    <w:p w:rsidR="002B6184" w:rsidRDefault="00000000">
      <w:pPr>
        <w:pStyle w:val="Prrafodelista"/>
        <w:numPr>
          <w:ilvl w:val="0"/>
          <w:numId w:val="1"/>
        </w:numPr>
        <w:tabs>
          <w:tab w:val="left" w:pos="887"/>
        </w:tabs>
        <w:spacing w:before="77"/>
        <w:ind w:left="887" w:hanging="728"/>
        <w:rPr>
          <w:b/>
          <w:sz w:val="23"/>
        </w:rPr>
      </w:pPr>
      <w:r>
        <w:rPr>
          <w:b/>
          <w:sz w:val="23"/>
        </w:rPr>
        <w:lastRenderedPageBreak/>
        <w:t>PROYECTO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5"/>
          <w:sz w:val="23"/>
        </w:rPr>
        <w:t xml:space="preserve"> LEY</w:t>
      </w:r>
    </w:p>
    <w:p w:rsidR="002B6184" w:rsidRDefault="002B6184">
      <w:pPr>
        <w:pStyle w:val="Textoindependiente"/>
        <w:spacing w:before="177"/>
        <w:rPr>
          <w:b/>
          <w:sz w:val="23"/>
        </w:rPr>
      </w:pPr>
    </w:p>
    <w:p w:rsidR="002B6184" w:rsidRDefault="00000000">
      <w:pPr>
        <w:pStyle w:val="Textoindependiente"/>
        <w:spacing w:line="309" w:lineRule="auto"/>
        <w:ind w:left="159"/>
      </w:pPr>
      <w:r>
        <w:rPr>
          <w:b/>
        </w:rPr>
        <w:t xml:space="preserve">Artículo Único: </w:t>
      </w:r>
      <w:r>
        <w:t>Agrégase en el artículo 3º del decreto ley Nº3.500, de 1980, que establece nuevo sistema de pensiones, un inciso final, nuevo, del siguiente tenor:</w:t>
      </w:r>
    </w:p>
    <w:p w:rsidR="002B6184" w:rsidRDefault="002B6184">
      <w:pPr>
        <w:pStyle w:val="Textoindependiente"/>
        <w:spacing w:before="87"/>
      </w:pPr>
    </w:p>
    <w:p w:rsidR="002B6184" w:rsidRDefault="00000000">
      <w:pPr>
        <w:spacing w:line="312" w:lineRule="auto"/>
        <w:ind w:left="159"/>
        <w:rPr>
          <w:i/>
          <w:sz w:val="24"/>
        </w:rPr>
      </w:pPr>
      <w:r>
        <w:rPr>
          <w:i/>
          <w:sz w:val="24"/>
        </w:rPr>
        <w:t>“Tratándose de personas con Síndrome de Down, la edad señalada en el inciso primero de este artículo será de cuarenta y cinco años.”.</w:t>
      </w:r>
    </w:p>
    <w:sectPr w:rsidR="002B6184">
      <w:pgSz w:w="12240" w:h="15840"/>
      <w:pgMar w:top="1340" w:right="16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141F5"/>
    <w:multiLevelType w:val="hybridMultilevel"/>
    <w:tmpl w:val="273EED62"/>
    <w:lvl w:ilvl="0" w:tplc="8BF6E76E">
      <w:start w:val="1"/>
      <w:numFmt w:val="upperRoman"/>
      <w:lvlText w:val="%1."/>
      <w:lvlJc w:val="left"/>
      <w:pPr>
        <w:ind w:left="766" w:hanging="6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3"/>
        <w:szCs w:val="23"/>
        <w:lang w:val="es-ES" w:eastAsia="en-US" w:bidi="ar-SA"/>
      </w:rPr>
    </w:lvl>
    <w:lvl w:ilvl="1" w:tplc="0EA42190">
      <w:numFmt w:val="bullet"/>
      <w:lvlText w:val="•"/>
      <w:lvlJc w:val="left"/>
      <w:pPr>
        <w:ind w:left="1594" w:hanging="607"/>
      </w:pPr>
      <w:rPr>
        <w:rFonts w:hint="default"/>
        <w:lang w:val="es-ES" w:eastAsia="en-US" w:bidi="ar-SA"/>
      </w:rPr>
    </w:lvl>
    <w:lvl w:ilvl="2" w:tplc="D98C7050">
      <w:numFmt w:val="bullet"/>
      <w:lvlText w:val="•"/>
      <w:lvlJc w:val="left"/>
      <w:pPr>
        <w:ind w:left="2428" w:hanging="607"/>
      </w:pPr>
      <w:rPr>
        <w:rFonts w:hint="default"/>
        <w:lang w:val="es-ES" w:eastAsia="en-US" w:bidi="ar-SA"/>
      </w:rPr>
    </w:lvl>
    <w:lvl w:ilvl="3" w:tplc="47AE4478">
      <w:numFmt w:val="bullet"/>
      <w:lvlText w:val="•"/>
      <w:lvlJc w:val="left"/>
      <w:pPr>
        <w:ind w:left="3262" w:hanging="607"/>
      </w:pPr>
      <w:rPr>
        <w:rFonts w:hint="default"/>
        <w:lang w:val="es-ES" w:eastAsia="en-US" w:bidi="ar-SA"/>
      </w:rPr>
    </w:lvl>
    <w:lvl w:ilvl="4" w:tplc="158C152E">
      <w:numFmt w:val="bullet"/>
      <w:lvlText w:val="•"/>
      <w:lvlJc w:val="left"/>
      <w:pPr>
        <w:ind w:left="4096" w:hanging="607"/>
      </w:pPr>
      <w:rPr>
        <w:rFonts w:hint="default"/>
        <w:lang w:val="es-ES" w:eastAsia="en-US" w:bidi="ar-SA"/>
      </w:rPr>
    </w:lvl>
    <w:lvl w:ilvl="5" w:tplc="FF449092">
      <w:numFmt w:val="bullet"/>
      <w:lvlText w:val="•"/>
      <w:lvlJc w:val="left"/>
      <w:pPr>
        <w:ind w:left="4930" w:hanging="607"/>
      </w:pPr>
      <w:rPr>
        <w:rFonts w:hint="default"/>
        <w:lang w:val="es-ES" w:eastAsia="en-US" w:bidi="ar-SA"/>
      </w:rPr>
    </w:lvl>
    <w:lvl w:ilvl="6" w:tplc="9438AF58">
      <w:numFmt w:val="bullet"/>
      <w:lvlText w:val="•"/>
      <w:lvlJc w:val="left"/>
      <w:pPr>
        <w:ind w:left="5764" w:hanging="607"/>
      </w:pPr>
      <w:rPr>
        <w:rFonts w:hint="default"/>
        <w:lang w:val="es-ES" w:eastAsia="en-US" w:bidi="ar-SA"/>
      </w:rPr>
    </w:lvl>
    <w:lvl w:ilvl="7" w:tplc="3670F6FC">
      <w:numFmt w:val="bullet"/>
      <w:lvlText w:val="•"/>
      <w:lvlJc w:val="left"/>
      <w:pPr>
        <w:ind w:left="6598" w:hanging="607"/>
      </w:pPr>
      <w:rPr>
        <w:rFonts w:hint="default"/>
        <w:lang w:val="es-ES" w:eastAsia="en-US" w:bidi="ar-SA"/>
      </w:rPr>
    </w:lvl>
    <w:lvl w:ilvl="8" w:tplc="D5803BCE">
      <w:numFmt w:val="bullet"/>
      <w:lvlText w:val="•"/>
      <w:lvlJc w:val="left"/>
      <w:pPr>
        <w:ind w:left="7432" w:hanging="607"/>
      </w:pPr>
      <w:rPr>
        <w:rFonts w:hint="default"/>
        <w:lang w:val="es-ES" w:eastAsia="en-US" w:bidi="ar-SA"/>
      </w:rPr>
    </w:lvl>
  </w:abstractNum>
  <w:num w:numId="1" w16cid:durableId="78920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84"/>
    <w:rsid w:val="002B6184"/>
    <w:rsid w:val="005E0B7C"/>
    <w:rsid w:val="0093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1CD5A-7056-4BFB-8C88-350DE0D2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66" w:hanging="7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ececontigo.gob.cl/tema/desarrollo-del-nino-y-la-nina/sindrome-de-down-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2024-04-02T21:00:00Z</dcterms:created>
  <dcterms:modified xsi:type="dcterms:W3CDTF">2024-05-31T00:34:00Z</dcterms:modified>
</cp:coreProperties>
</file>