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D09E05" w14:textId="61AAB5B8" w:rsidR="001566F8" w:rsidRPr="00860E6F" w:rsidRDefault="001566F8" w:rsidP="001566F8">
      <w:pPr>
        <w:spacing w:before="240" w:after="240"/>
        <w:ind w:left="1580" w:hanging="720"/>
        <w:jc w:val="both"/>
        <w:rPr>
          <w:rFonts w:eastAsia="Century Gothic"/>
          <w:sz w:val="24"/>
          <w:szCs w:val="24"/>
        </w:rPr>
      </w:pPr>
      <w:r w:rsidRPr="00860E6F">
        <w:rPr>
          <w:rFonts w:eastAsia="Century Gothic"/>
          <w:sz w:val="24"/>
          <w:szCs w:val="24"/>
        </w:rPr>
        <w:t xml:space="preserve">          PROYECTO DE LEY QUE ESTABLECE PENA ACCESORIA DE DEGRADACIÓN A MILITARES O EX MILITARES CONDENADOS POR CRÍMENES DE LESA HUMANIDAD.   </w:t>
      </w:r>
    </w:p>
    <w:p w14:paraId="04A3316B" w14:textId="7B81FBBA" w:rsidR="007F6A5D" w:rsidRPr="00860E6F" w:rsidRDefault="001566F8" w:rsidP="001566F8">
      <w:pPr>
        <w:spacing w:before="240" w:after="240"/>
        <w:ind w:left="1580" w:hanging="720"/>
        <w:jc w:val="both"/>
        <w:rPr>
          <w:rFonts w:eastAsia="Century Gothic"/>
          <w:sz w:val="24"/>
          <w:szCs w:val="24"/>
        </w:rPr>
      </w:pPr>
      <w:r w:rsidRPr="00860E6F">
        <w:rPr>
          <w:rFonts w:eastAsia="Century Gothic"/>
          <w:sz w:val="24"/>
          <w:szCs w:val="24"/>
        </w:rPr>
        <w:t xml:space="preserve"> </w:t>
      </w:r>
    </w:p>
    <w:p w14:paraId="0914B76B" w14:textId="77777777" w:rsidR="009F509F" w:rsidRPr="00860E6F" w:rsidRDefault="009F509F">
      <w:pPr>
        <w:spacing w:before="240" w:after="240"/>
        <w:ind w:left="1580" w:hanging="720"/>
        <w:jc w:val="both"/>
        <w:rPr>
          <w:rFonts w:eastAsia="Century Gothic"/>
          <w:sz w:val="24"/>
          <w:szCs w:val="24"/>
        </w:rPr>
      </w:pPr>
    </w:p>
    <w:p w14:paraId="406015AE" w14:textId="541551C5" w:rsidR="00E27F2E" w:rsidRPr="00860E6F" w:rsidRDefault="00860E6F">
      <w:pPr>
        <w:spacing w:before="240" w:after="240"/>
        <w:jc w:val="both"/>
        <w:rPr>
          <w:rFonts w:eastAsia="Century Gothic"/>
          <w:b/>
          <w:sz w:val="24"/>
          <w:szCs w:val="24"/>
        </w:rPr>
      </w:pPr>
      <w:r w:rsidRPr="00860E6F">
        <w:rPr>
          <w:rFonts w:eastAsia="Century Gothic"/>
          <w:b/>
          <w:sz w:val="24"/>
          <w:szCs w:val="24"/>
        </w:rPr>
        <w:t xml:space="preserve">I. </w:t>
      </w:r>
      <w:r w:rsidR="00E27F2E" w:rsidRPr="00860E6F">
        <w:rPr>
          <w:rFonts w:eastAsia="Century Gothic"/>
          <w:b/>
          <w:sz w:val="24"/>
          <w:szCs w:val="24"/>
        </w:rPr>
        <w:t>CONSIDERANDO:</w:t>
      </w:r>
    </w:p>
    <w:p w14:paraId="50E8DDF3" w14:textId="5EFBFB7B" w:rsidR="002F4785" w:rsidRDefault="00E27F2E" w:rsidP="00287BBF">
      <w:pPr>
        <w:spacing w:before="240" w:after="240"/>
        <w:ind w:firstLine="720"/>
        <w:jc w:val="both"/>
        <w:rPr>
          <w:i/>
          <w:iCs/>
          <w:sz w:val="24"/>
          <w:szCs w:val="24"/>
        </w:rPr>
      </w:pPr>
      <w:r w:rsidRPr="00860E6F">
        <w:rPr>
          <w:rFonts w:eastAsia="Century Gothic"/>
          <w:bCs/>
          <w:sz w:val="24"/>
          <w:szCs w:val="24"/>
        </w:rPr>
        <w:t>1.-</w:t>
      </w:r>
      <w:r w:rsidR="00860E6F" w:rsidRPr="00860E6F">
        <w:rPr>
          <w:rFonts w:eastAsia="Century Gothic"/>
          <w:bCs/>
          <w:sz w:val="24"/>
          <w:szCs w:val="24"/>
        </w:rPr>
        <w:t xml:space="preserve"> </w:t>
      </w:r>
      <w:r w:rsidR="00287BBF">
        <w:rPr>
          <w:rFonts w:eastAsia="Century Gothic"/>
          <w:bCs/>
          <w:sz w:val="24"/>
          <w:szCs w:val="24"/>
        </w:rPr>
        <w:t>Las penas contempladas en el Código de Justicia Militar reconocen, entre otras, la degradación como pena accesoria regulada en el</w:t>
      </w:r>
      <w:r w:rsidR="002F4785">
        <w:rPr>
          <w:rFonts w:eastAsia="Century Gothic"/>
          <w:bCs/>
          <w:sz w:val="24"/>
          <w:szCs w:val="24"/>
        </w:rPr>
        <w:t xml:space="preserve"> artículo </w:t>
      </w:r>
      <w:r w:rsidR="00287BBF">
        <w:rPr>
          <w:rFonts w:eastAsia="Century Gothic"/>
          <w:bCs/>
          <w:sz w:val="24"/>
          <w:szCs w:val="24"/>
        </w:rPr>
        <w:t>228 del citado código</w:t>
      </w:r>
      <w:r w:rsidR="002F4785">
        <w:rPr>
          <w:rFonts w:eastAsia="Century Gothic"/>
          <w:bCs/>
          <w:sz w:val="24"/>
          <w:szCs w:val="24"/>
        </w:rPr>
        <w:t xml:space="preserve">. El </w:t>
      </w:r>
      <w:r w:rsidR="002F4785" w:rsidRPr="002F4785">
        <w:rPr>
          <w:rFonts w:eastAsia="Century Gothic"/>
          <w:bCs/>
          <w:sz w:val="24"/>
          <w:szCs w:val="24"/>
        </w:rPr>
        <w:t xml:space="preserve">citado artículo reza: </w:t>
      </w:r>
      <w:r w:rsidR="002F4785" w:rsidRPr="002F4785">
        <w:rPr>
          <w:rFonts w:eastAsia="Century Gothic"/>
          <w:bCs/>
          <w:i/>
          <w:iCs/>
          <w:sz w:val="24"/>
          <w:szCs w:val="24"/>
        </w:rPr>
        <w:t>“</w:t>
      </w:r>
      <w:r w:rsidR="002F4785" w:rsidRPr="002F4785">
        <w:rPr>
          <w:i/>
          <w:iCs/>
          <w:sz w:val="24"/>
          <w:szCs w:val="24"/>
        </w:rPr>
        <w:t>la pena de degradación producirá la, privación del grado y del derecho a usar uniforme, insignias, distintivos, condecoraciones o medallas militares; el retiro absoluto de la institución; la incapacidad absoluta y perpetua para servir en el Ejército, Armada, Fuerza Aérea y Carabineros; la pérdida a perpetuidad de todos los derechos políticos activos y pasivos; y la incapacidad para desempeñar, a perpetuidad, cargos, empleos y oficios públicos”.</w:t>
      </w:r>
    </w:p>
    <w:p w14:paraId="3FCE4E2C" w14:textId="07D0D1F6" w:rsidR="002F4785" w:rsidRDefault="002F4785">
      <w:pPr>
        <w:spacing w:before="240" w:after="240"/>
        <w:jc w:val="both"/>
        <w:rPr>
          <w:sz w:val="24"/>
          <w:szCs w:val="24"/>
        </w:rPr>
      </w:pPr>
      <w:r>
        <w:rPr>
          <w:i/>
          <w:iCs/>
          <w:sz w:val="24"/>
          <w:szCs w:val="24"/>
        </w:rPr>
        <w:tab/>
      </w:r>
      <w:r>
        <w:rPr>
          <w:sz w:val="24"/>
          <w:szCs w:val="24"/>
        </w:rPr>
        <w:t>Sin embargo, dada la construcción legal del citado artículo como también su ubicación en el código de justicia castrense, su aplicación sólo se enmarca en el catálogo de delitos militares</w:t>
      </w:r>
      <w:r w:rsidR="00287BBF">
        <w:rPr>
          <w:sz w:val="24"/>
          <w:szCs w:val="24"/>
        </w:rPr>
        <w:t xml:space="preserve"> y reservado para aquellos cuya sanción comprendan la pena de muerte y las presidio y de reclusión perpetuas, de conformidad al artículo 222 del ya referido cuerpo normativo.</w:t>
      </w:r>
    </w:p>
    <w:p w14:paraId="2190E00B" w14:textId="47949F93" w:rsidR="002F4785" w:rsidRDefault="002F4785">
      <w:pPr>
        <w:spacing w:before="240" w:after="240"/>
        <w:jc w:val="both"/>
        <w:rPr>
          <w:sz w:val="24"/>
          <w:szCs w:val="24"/>
        </w:rPr>
      </w:pPr>
    </w:p>
    <w:p w14:paraId="2BAB0579" w14:textId="77777777" w:rsidR="00287BBF" w:rsidRDefault="002F4785" w:rsidP="00287BBF">
      <w:pPr>
        <w:spacing w:before="240" w:after="240"/>
        <w:ind w:firstLine="720"/>
        <w:jc w:val="both"/>
        <w:rPr>
          <w:sz w:val="24"/>
          <w:szCs w:val="24"/>
        </w:rPr>
      </w:pPr>
      <w:r>
        <w:rPr>
          <w:sz w:val="24"/>
          <w:szCs w:val="24"/>
        </w:rPr>
        <w:t xml:space="preserve">2.- Ahora bien, </w:t>
      </w:r>
      <w:r w:rsidR="00BC4764">
        <w:rPr>
          <w:sz w:val="24"/>
          <w:szCs w:val="24"/>
        </w:rPr>
        <w:t>¿qué ocurre cuando, en el ejercicio de sus funciones militares, los funcionarios cometen delitos</w:t>
      </w:r>
      <w:r w:rsidR="00287BBF">
        <w:rPr>
          <w:sz w:val="24"/>
          <w:szCs w:val="24"/>
        </w:rPr>
        <w:t xml:space="preserve"> contra derechos fundamentales o</w:t>
      </w:r>
      <w:r w:rsidR="00BC4764">
        <w:rPr>
          <w:sz w:val="24"/>
          <w:szCs w:val="24"/>
        </w:rPr>
        <w:t xml:space="preserve"> </w:t>
      </w:r>
      <w:r w:rsidR="00287BBF">
        <w:rPr>
          <w:sz w:val="24"/>
          <w:szCs w:val="24"/>
        </w:rPr>
        <w:t xml:space="preserve">delitos </w:t>
      </w:r>
      <w:r w:rsidR="00BC4764">
        <w:rPr>
          <w:sz w:val="24"/>
          <w:szCs w:val="24"/>
        </w:rPr>
        <w:t>comunes</w:t>
      </w:r>
      <w:r w:rsidR="00287BBF">
        <w:rPr>
          <w:sz w:val="24"/>
          <w:szCs w:val="24"/>
        </w:rPr>
        <w:t xml:space="preserve"> tan graves como la malversación de caudales públicos o fraude al fisco</w:t>
      </w:r>
      <w:r w:rsidR="00BC4764">
        <w:rPr>
          <w:sz w:val="24"/>
          <w:szCs w:val="24"/>
        </w:rPr>
        <w:t xml:space="preserve"> y son juzgados por tribunales comunes y por delitos de la misma naturaleza?</w:t>
      </w:r>
    </w:p>
    <w:p w14:paraId="49CB6C50" w14:textId="55229B42" w:rsidR="00D524B4" w:rsidRDefault="00BC4764" w:rsidP="00287BBF">
      <w:pPr>
        <w:spacing w:before="240" w:after="240"/>
        <w:ind w:firstLine="720"/>
        <w:jc w:val="both"/>
        <w:rPr>
          <w:rFonts w:eastAsia="Century Gothic"/>
          <w:bCs/>
          <w:sz w:val="24"/>
          <w:szCs w:val="24"/>
        </w:rPr>
      </w:pPr>
      <w:r>
        <w:rPr>
          <w:sz w:val="24"/>
          <w:szCs w:val="24"/>
        </w:rPr>
        <w:t xml:space="preserve">Lamentablemente, </w:t>
      </w:r>
      <w:r w:rsidR="00D524B4">
        <w:rPr>
          <w:sz w:val="24"/>
          <w:szCs w:val="24"/>
        </w:rPr>
        <w:t>a la fecha, no se aplica la pena accesoria de degradación</w:t>
      </w:r>
      <w:r w:rsidR="00287BBF">
        <w:rPr>
          <w:sz w:val="24"/>
          <w:szCs w:val="24"/>
        </w:rPr>
        <w:t>.</w:t>
      </w:r>
      <w:r w:rsidR="00D524B4">
        <w:rPr>
          <w:sz w:val="24"/>
          <w:szCs w:val="24"/>
        </w:rPr>
        <w:t xml:space="preserve"> Aquello lo podemos observar en las cientos de sentencias definitivas por violaciones sistemáticas de los Derechos Humanos durante la dictadura civil militar pero también, en la actualidad, cuando militares son condenados por delitos funcionarios como malversación de caudales públicos o fraude al fisco.</w:t>
      </w:r>
    </w:p>
    <w:p w14:paraId="544AD229" w14:textId="77777777" w:rsidR="00D524B4" w:rsidRDefault="00D524B4">
      <w:pPr>
        <w:spacing w:before="240" w:after="240"/>
        <w:jc w:val="both"/>
        <w:rPr>
          <w:rFonts w:eastAsia="Century Gothic"/>
          <w:bCs/>
          <w:sz w:val="24"/>
          <w:szCs w:val="24"/>
        </w:rPr>
      </w:pPr>
    </w:p>
    <w:p w14:paraId="3E381175" w14:textId="59E1324C" w:rsidR="00D524B4" w:rsidRDefault="00D524B4" w:rsidP="00287BBF">
      <w:pPr>
        <w:spacing w:before="240" w:after="240"/>
        <w:ind w:firstLine="720"/>
        <w:jc w:val="both"/>
        <w:rPr>
          <w:rFonts w:eastAsia="Century Gothic"/>
          <w:bCs/>
          <w:sz w:val="24"/>
          <w:szCs w:val="24"/>
        </w:rPr>
      </w:pPr>
      <w:r>
        <w:rPr>
          <w:rFonts w:eastAsia="Century Gothic"/>
          <w:bCs/>
          <w:sz w:val="24"/>
          <w:szCs w:val="24"/>
        </w:rPr>
        <w:t>3.- En ese contexto, es un</w:t>
      </w:r>
      <w:r w:rsidR="00E27F2E" w:rsidRPr="002F4785">
        <w:rPr>
          <w:rFonts w:eastAsia="Century Gothic"/>
          <w:bCs/>
          <w:sz w:val="24"/>
          <w:szCs w:val="24"/>
        </w:rPr>
        <w:t xml:space="preserve"> imperativo</w:t>
      </w:r>
      <w:r w:rsidR="00E27F2E" w:rsidRPr="00860E6F">
        <w:rPr>
          <w:rFonts w:eastAsia="Century Gothic"/>
          <w:bCs/>
          <w:sz w:val="24"/>
          <w:szCs w:val="24"/>
        </w:rPr>
        <w:t xml:space="preserve"> de justicia, actualizar la legislación nacional para adecuar las normas referentes a crímenes de lesa humanidad, genocidio y derechos humanos al Derecho Internacional y los tratados suscritos y ratificados por Chile</w:t>
      </w:r>
      <w:r w:rsidR="00287BBF">
        <w:rPr>
          <w:rFonts w:eastAsia="Century Gothic"/>
          <w:bCs/>
          <w:sz w:val="24"/>
          <w:szCs w:val="24"/>
        </w:rPr>
        <w:t>, pero también aquellos delitos funcionarios que generan un grave detrimento al patrimonio del fisco.</w:t>
      </w:r>
    </w:p>
    <w:p w14:paraId="086D902F" w14:textId="7709636C" w:rsidR="00E27F2E" w:rsidRPr="00D524B4" w:rsidRDefault="00E27F2E">
      <w:pPr>
        <w:spacing w:before="240" w:after="240"/>
        <w:jc w:val="both"/>
        <w:rPr>
          <w:rFonts w:eastAsia="Century Gothic"/>
          <w:bCs/>
          <w:sz w:val="24"/>
          <w:szCs w:val="24"/>
        </w:rPr>
      </w:pPr>
      <w:r w:rsidRPr="00860E6F">
        <w:rPr>
          <w:rFonts w:eastAsia="Century Gothic"/>
          <w:b/>
          <w:sz w:val="24"/>
          <w:szCs w:val="24"/>
        </w:rPr>
        <w:lastRenderedPageBreak/>
        <w:t xml:space="preserve"> </w:t>
      </w:r>
    </w:p>
    <w:p w14:paraId="4A702BA0" w14:textId="4D038105" w:rsidR="00E27F2E" w:rsidRDefault="00D524B4" w:rsidP="00287BBF">
      <w:pPr>
        <w:spacing w:before="240" w:after="240"/>
        <w:ind w:firstLine="720"/>
        <w:jc w:val="both"/>
        <w:rPr>
          <w:rFonts w:eastAsia="Century Gothic"/>
          <w:bCs/>
          <w:sz w:val="24"/>
          <w:szCs w:val="24"/>
        </w:rPr>
      </w:pPr>
      <w:r>
        <w:rPr>
          <w:rFonts w:eastAsia="Century Gothic"/>
          <w:bCs/>
          <w:sz w:val="24"/>
          <w:szCs w:val="24"/>
        </w:rPr>
        <w:t>4</w:t>
      </w:r>
      <w:r w:rsidR="00F50BC6" w:rsidRPr="00860E6F">
        <w:rPr>
          <w:rFonts w:eastAsia="Century Gothic"/>
          <w:bCs/>
          <w:sz w:val="24"/>
          <w:szCs w:val="24"/>
        </w:rPr>
        <w:t xml:space="preserve">.- </w:t>
      </w:r>
      <w:r w:rsidR="00657BBF" w:rsidRPr="00860E6F">
        <w:rPr>
          <w:rFonts w:eastAsia="Century Gothic"/>
          <w:bCs/>
          <w:sz w:val="24"/>
          <w:szCs w:val="24"/>
        </w:rPr>
        <w:t>Que,</w:t>
      </w:r>
      <w:r w:rsidR="00E27F2E" w:rsidRPr="00860E6F">
        <w:rPr>
          <w:rFonts w:eastAsia="Century Gothic"/>
          <w:bCs/>
          <w:sz w:val="24"/>
          <w:szCs w:val="24"/>
        </w:rPr>
        <w:t xml:space="preserve"> sobre la base del reconocimiento y sanción de los crímenes de lesa humanidad cometidos durante la dictadura militar en Chile, </w:t>
      </w:r>
      <w:r w:rsidR="00F50BC6" w:rsidRPr="00860E6F">
        <w:rPr>
          <w:rFonts w:eastAsia="Century Gothic"/>
          <w:bCs/>
          <w:sz w:val="24"/>
          <w:szCs w:val="24"/>
        </w:rPr>
        <w:t>se robustece una institucionalidad</w:t>
      </w:r>
      <w:r w:rsidR="00E27F2E" w:rsidRPr="00860E6F">
        <w:rPr>
          <w:rFonts w:eastAsia="Century Gothic"/>
          <w:bCs/>
          <w:sz w:val="24"/>
          <w:szCs w:val="24"/>
        </w:rPr>
        <w:t xml:space="preserve"> </w:t>
      </w:r>
      <w:r w:rsidR="00F50BC6" w:rsidRPr="00860E6F">
        <w:rPr>
          <w:rFonts w:eastAsia="Century Gothic"/>
          <w:bCs/>
          <w:sz w:val="24"/>
          <w:szCs w:val="24"/>
        </w:rPr>
        <w:t xml:space="preserve">sólida </w:t>
      </w:r>
      <w:r w:rsidR="00E27F2E" w:rsidRPr="00860E6F">
        <w:rPr>
          <w:rFonts w:eastAsia="Century Gothic"/>
          <w:bCs/>
          <w:sz w:val="24"/>
          <w:szCs w:val="24"/>
        </w:rPr>
        <w:t>en materia de no repetición y reparación a las víctimas y sus familias</w:t>
      </w:r>
      <w:r w:rsidR="00F50BC6" w:rsidRPr="00860E6F">
        <w:rPr>
          <w:rFonts w:eastAsia="Century Gothic"/>
          <w:bCs/>
          <w:sz w:val="24"/>
          <w:szCs w:val="24"/>
        </w:rPr>
        <w:t xml:space="preserve"> como política de estado. </w:t>
      </w:r>
    </w:p>
    <w:p w14:paraId="2EC2C34C" w14:textId="77777777" w:rsidR="00287BBF" w:rsidRPr="00860E6F" w:rsidRDefault="00287BBF" w:rsidP="00287BBF">
      <w:pPr>
        <w:spacing w:before="240" w:after="240"/>
        <w:ind w:firstLine="720"/>
        <w:jc w:val="both"/>
        <w:rPr>
          <w:rFonts w:eastAsia="Century Gothic"/>
          <w:bCs/>
          <w:sz w:val="24"/>
          <w:szCs w:val="24"/>
        </w:rPr>
      </w:pPr>
    </w:p>
    <w:p w14:paraId="7AE9F09A" w14:textId="069635DC" w:rsidR="00F50BC6" w:rsidRPr="00860E6F" w:rsidRDefault="00D524B4" w:rsidP="00287BBF">
      <w:pPr>
        <w:spacing w:before="240" w:after="240"/>
        <w:ind w:firstLine="720"/>
        <w:jc w:val="both"/>
        <w:rPr>
          <w:rFonts w:eastAsia="Century Gothic"/>
          <w:bCs/>
          <w:sz w:val="24"/>
          <w:szCs w:val="24"/>
        </w:rPr>
      </w:pPr>
      <w:r>
        <w:rPr>
          <w:rFonts w:eastAsia="Century Gothic"/>
          <w:bCs/>
          <w:sz w:val="24"/>
          <w:szCs w:val="24"/>
        </w:rPr>
        <w:t>5</w:t>
      </w:r>
      <w:r w:rsidR="00F50BC6" w:rsidRPr="00860E6F">
        <w:rPr>
          <w:rFonts w:eastAsia="Century Gothic"/>
          <w:bCs/>
          <w:sz w:val="24"/>
          <w:szCs w:val="24"/>
        </w:rPr>
        <w:t xml:space="preserve">.- Que la legislación vigente contenida en el código </w:t>
      </w:r>
      <w:r w:rsidR="00287BBF" w:rsidRPr="00860E6F">
        <w:rPr>
          <w:rFonts w:eastAsia="Century Gothic"/>
          <w:bCs/>
          <w:sz w:val="24"/>
          <w:szCs w:val="24"/>
        </w:rPr>
        <w:t>militar</w:t>
      </w:r>
      <w:r w:rsidR="00F50BC6" w:rsidRPr="00860E6F">
        <w:rPr>
          <w:rFonts w:eastAsia="Century Gothic"/>
          <w:bCs/>
          <w:sz w:val="24"/>
          <w:szCs w:val="24"/>
        </w:rPr>
        <w:t xml:space="preserve"> no contempla el crimen de lesa humanidad como causal de degradación de los uniformados. Dicho crimen está reconocido </w:t>
      </w:r>
      <w:r w:rsidR="00657BBF" w:rsidRPr="00860E6F">
        <w:rPr>
          <w:rFonts w:eastAsia="Century Gothic"/>
          <w:bCs/>
          <w:sz w:val="24"/>
          <w:szCs w:val="24"/>
        </w:rPr>
        <w:t>entre otros por</w:t>
      </w:r>
      <w:r w:rsidR="00F50BC6" w:rsidRPr="00860E6F">
        <w:rPr>
          <w:rFonts w:eastAsia="Century Gothic"/>
          <w:bCs/>
          <w:sz w:val="24"/>
          <w:szCs w:val="24"/>
        </w:rPr>
        <w:t xml:space="preserve"> el Estatuto de Roma de la Corte Penal Internacional</w:t>
      </w:r>
      <w:r w:rsidR="00B74A08" w:rsidRPr="00860E6F">
        <w:rPr>
          <w:rFonts w:eastAsia="Century Gothic"/>
          <w:bCs/>
          <w:sz w:val="24"/>
          <w:szCs w:val="24"/>
        </w:rPr>
        <w:t xml:space="preserve">, </w:t>
      </w:r>
      <w:r w:rsidR="00657BBF" w:rsidRPr="00860E6F">
        <w:rPr>
          <w:rFonts w:eastAsia="Century Gothic"/>
          <w:bCs/>
          <w:sz w:val="24"/>
          <w:szCs w:val="24"/>
        </w:rPr>
        <w:t>en el decreto 808</w:t>
      </w:r>
      <w:r w:rsidR="00B74A08" w:rsidRPr="00860E6F">
        <w:rPr>
          <w:rFonts w:eastAsia="Century Gothic"/>
          <w:bCs/>
          <w:sz w:val="24"/>
          <w:szCs w:val="24"/>
        </w:rPr>
        <w:t xml:space="preserve"> que promulga la Convención Contra la Tortura y Otros Tratos o Penas Crueles, Inhumanos o Degradantes y en la Ley 20357 que tipifica crímenes de lesa humanidad y genocidio y los crímenes y delitos de guerra. </w:t>
      </w:r>
    </w:p>
    <w:p w14:paraId="770A2215" w14:textId="77777777" w:rsidR="00860E6F" w:rsidRPr="00860E6F" w:rsidRDefault="00860E6F">
      <w:pPr>
        <w:spacing w:before="240" w:after="240"/>
        <w:jc w:val="both"/>
        <w:rPr>
          <w:rFonts w:eastAsia="Century Gothic"/>
          <w:b/>
          <w:sz w:val="24"/>
          <w:szCs w:val="24"/>
        </w:rPr>
      </w:pPr>
    </w:p>
    <w:p w14:paraId="1C7E9BCB" w14:textId="06C332F2" w:rsidR="009F509F" w:rsidRPr="00860E6F" w:rsidRDefault="00860E6F">
      <w:pPr>
        <w:spacing w:before="240" w:after="240"/>
        <w:jc w:val="both"/>
        <w:rPr>
          <w:rFonts w:eastAsia="Century Gothic"/>
          <w:b/>
          <w:sz w:val="24"/>
          <w:szCs w:val="24"/>
        </w:rPr>
      </w:pPr>
      <w:r w:rsidRPr="00860E6F">
        <w:rPr>
          <w:rFonts w:eastAsia="Century Gothic"/>
          <w:b/>
          <w:sz w:val="24"/>
          <w:szCs w:val="24"/>
        </w:rPr>
        <w:t xml:space="preserve">II. </w:t>
      </w:r>
      <w:r w:rsidR="00942603" w:rsidRPr="00860E6F">
        <w:rPr>
          <w:rFonts w:eastAsia="Century Gothic"/>
          <w:b/>
          <w:sz w:val="24"/>
          <w:szCs w:val="24"/>
        </w:rPr>
        <w:t xml:space="preserve">Idea Matriz. </w:t>
      </w:r>
    </w:p>
    <w:p w14:paraId="2263D7D3" w14:textId="47EB2C17" w:rsidR="009F509F" w:rsidRPr="00860E6F" w:rsidRDefault="009F509F">
      <w:pPr>
        <w:spacing w:before="240" w:after="240"/>
        <w:jc w:val="both"/>
        <w:rPr>
          <w:rFonts w:eastAsia="Century Gothic"/>
          <w:bCs/>
          <w:sz w:val="24"/>
          <w:szCs w:val="24"/>
        </w:rPr>
      </w:pPr>
      <w:r w:rsidRPr="00860E6F">
        <w:rPr>
          <w:rFonts w:eastAsia="Century Gothic"/>
          <w:bCs/>
          <w:sz w:val="24"/>
          <w:szCs w:val="24"/>
        </w:rPr>
        <w:t>Modificar el código de Justicia militar, en aras de establecer la pena accesoria de degradación en todos los casos en donde militares activos o en retiro sean condenados por crímenes de lesa humanidad</w:t>
      </w:r>
      <w:r w:rsidR="00287BBF">
        <w:rPr>
          <w:rFonts w:eastAsia="Century Gothic"/>
          <w:bCs/>
          <w:sz w:val="24"/>
          <w:szCs w:val="24"/>
        </w:rPr>
        <w:t xml:space="preserve"> y/o delitos de malversación de caudales públicos o fraude al fisco.</w:t>
      </w:r>
    </w:p>
    <w:p w14:paraId="79C74A7B" w14:textId="77777777" w:rsidR="00860E6F" w:rsidRPr="00860E6F" w:rsidRDefault="00860E6F" w:rsidP="00605DA2">
      <w:pPr>
        <w:pStyle w:val="Textosinformato"/>
        <w:rPr>
          <w:rFonts w:ascii="Arial" w:hAnsi="Arial" w:cs="Arial"/>
          <w:b/>
          <w:sz w:val="24"/>
          <w:szCs w:val="24"/>
        </w:rPr>
      </w:pPr>
    </w:p>
    <w:p w14:paraId="71A1D0FC" w14:textId="71F578A8" w:rsidR="00605DA2" w:rsidRPr="00860E6F" w:rsidRDefault="00860E6F" w:rsidP="00605DA2">
      <w:pPr>
        <w:pStyle w:val="Textosinformato"/>
        <w:rPr>
          <w:rFonts w:ascii="Arial" w:hAnsi="Arial" w:cs="Arial"/>
          <w:b/>
          <w:sz w:val="24"/>
          <w:szCs w:val="24"/>
        </w:rPr>
      </w:pPr>
      <w:r w:rsidRPr="00860E6F">
        <w:rPr>
          <w:rFonts w:ascii="Arial" w:hAnsi="Arial" w:cs="Arial"/>
          <w:b/>
          <w:sz w:val="24"/>
          <w:szCs w:val="24"/>
        </w:rPr>
        <w:t xml:space="preserve">III. </w:t>
      </w:r>
      <w:r w:rsidR="00605DA2" w:rsidRPr="00860E6F">
        <w:rPr>
          <w:rFonts w:ascii="Arial" w:hAnsi="Arial" w:cs="Arial"/>
          <w:b/>
          <w:sz w:val="24"/>
          <w:szCs w:val="24"/>
        </w:rPr>
        <w:t>PROYECTO DE LEY:</w:t>
      </w:r>
    </w:p>
    <w:p w14:paraId="67DB34E0" w14:textId="77777777" w:rsidR="00605DA2" w:rsidRPr="00860E6F" w:rsidRDefault="00605DA2" w:rsidP="00605DA2">
      <w:pPr>
        <w:pStyle w:val="Textosinformato"/>
        <w:rPr>
          <w:rFonts w:ascii="Arial" w:hAnsi="Arial" w:cs="Arial"/>
          <w:b/>
          <w:sz w:val="24"/>
          <w:szCs w:val="24"/>
        </w:rPr>
      </w:pPr>
    </w:p>
    <w:p w14:paraId="3B76AD7B" w14:textId="77777777" w:rsidR="009875A8" w:rsidRPr="009875A8" w:rsidRDefault="009875A8" w:rsidP="009875A8">
      <w:pPr>
        <w:spacing w:line="240" w:lineRule="auto"/>
        <w:jc w:val="both"/>
        <w:rPr>
          <w:rFonts w:ascii="Times New Roman" w:eastAsia="Times New Roman" w:hAnsi="Times New Roman" w:cs="Times New Roman"/>
          <w:sz w:val="24"/>
          <w:szCs w:val="24"/>
          <w:lang w:val="es-ES" w:eastAsia="en-US"/>
        </w:rPr>
      </w:pPr>
      <w:r w:rsidRPr="009875A8">
        <w:rPr>
          <w:rFonts w:eastAsia="Times New Roman"/>
          <w:color w:val="000000"/>
          <w:sz w:val="24"/>
          <w:szCs w:val="24"/>
          <w:lang w:val="es-ES" w:eastAsia="en-US"/>
        </w:rPr>
        <w:t>Artículo primero: Modifícase el Código de Justicia Militar, en los siguientes términos:</w:t>
      </w:r>
      <w:r w:rsidRPr="009875A8">
        <w:rPr>
          <w:rFonts w:eastAsia="Times New Roman"/>
          <w:color w:val="000000"/>
          <w:sz w:val="24"/>
          <w:szCs w:val="24"/>
          <w:lang w:val="es-ES" w:eastAsia="en-US"/>
        </w:rPr>
        <w:br/>
      </w:r>
      <w:r w:rsidRPr="009875A8">
        <w:rPr>
          <w:rFonts w:eastAsia="Times New Roman"/>
          <w:color w:val="000000"/>
          <w:sz w:val="24"/>
          <w:szCs w:val="24"/>
          <w:lang w:val="es-ES" w:eastAsia="en-US"/>
        </w:rPr>
        <w:br/>
      </w:r>
    </w:p>
    <w:p w14:paraId="52EA12FC" w14:textId="77777777" w:rsidR="009875A8" w:rsidRPr="009875A8" w:rsidRDefault="009875A8" w:rsidP="009875A8">
      <w:pPr>
        <w:numPr>
          <w:ilvl w:val="0"/>
          <w:numId w:val="5"/>
        </w:numPr>
        <w:spacing w:line="240" w:lineRule="auto"/>
        <w:jc w:val="both"/>
        <w:textAlignment w:val="baseline"/>
        <w:rPr>
          <w:rFonts w:eastAsia="Times New Roman"/>
          <w:color w:val="000000"/>
          <w:sz w:val="24"/>
          <w:szCs w:val="24"/>
          <w:lang w:val="es-ES" w:eastAsia="en-US"/>
        </w:rPr>
      </w:pPr>
      <w:r w:rsidRPr="009875A8">
        <w:rPr>
          <w:rFonts w:eastAsia="Times New Roman"/>
          <w:color w:val="000000"/>
          <w:sz w:val="24"/>
          <w:szCs w:val="24"/>
          <w:lang w:val="es-ES" w:eastAsia="en-US"/>
        </w:rPr>
        <w:t>Intercálase en el inciso 1º del artículo 222, después de la palabra “perpetuas”, una coma seguida de la siguiente frase:</w:t>
      </w:r>
    </w:p>
    <w:p w14:paraId="78E73C70" w14:textId="77777777" w:rsidR="009875A8" w:rsidRPr="009875A8" w:rsidRDefault="009875A8" w:rsidP="009875A8">
      <w:pPr>
        <w:spacing w:line="240" w:lineRule="auto"/>
        <w:rPr>
          <w:rFonts w:ascii="Times New Roman" w:eastAsia="Times New Roman" w:hAnsi="Times New Roman" w:cs="Times New Roman"/>
          <w:sz w:val="24"/>
          <w:szCs w:val="24"/>
          <w:lang w:val="es-ES" w:eastAsia="en-US"/>
        </w:rPr>
      </w:pPr>
    </w:p>
    <w:p w14:paraId="5A068E4B" w14:textId="77777777" w:rsidR="009875A8" w:rsidRPr="009875A8" w:rsidRDefault="009875A8" w:rsidP="009875A8">
      <w:pPr>
        <w:spacing w:line="240" w:lineRule="auto"/>
        <w:ind w:left="720"/>
        <w:jc w:val="both"/>
        <w:rPr>
          <w:rFonts w:ascii="Times New Roman" w:eastAsia="Times New Roman" w:hAnsi="Times New Roman" w:cs="Times New Roman"/>
          <w:sz w:val="24"/>
          <w:szCs w:val="24"/>
          <w:lang w:val="es-ES" w:eastAsia="en-US"/>
        </w:rPr>
      </w:pPr>
      <w:r w:rsidRPr="009875A8">
        <w:rPr>
          <w:rFonts w:eastAsia="Times New Roman"/>
          <w:b/>
          <w:bCs/>
          <w:color w:val="000000"/>
          <w:sz w:val="24"/>
          <w:szCs w:val="24"/>
          <w:lang w:val="es-ES" w:eastAsia="en-US"/>
        </w:rPr>
        <w:t>“así como también las penas por crímenes de lesa humanidad, desaparición forzada y por los delitos contemplados en los artículos 233 numeral 3° y 239 del Código Penal”</w:t>
      </w:r>
    </w:p>
    <w:p w14:paraId="488DCBF5" w14:textId="77777777" w:rsidR="009875A8" w:rsidRPr="009875A8" w:rsidRDefault="009875A8" w:rsidP="009875A8">
      <w:pPr>
        <w:spacing w:line="240" w:lineRule="auto"/>
        <w:rPr>
          <w:rFonts w:ascii="Times New Roman" w:eastAsia="Times New Roman" w:hAnsi="Times New Roman" w:cs="Times New Roman"/>
          <w:sz w:val="24"/>
          <w:szCs w:val="24"/>
          <w:lang w:val="es-ES" w:eastAsia="en-US"/>
        </w:rPr>
      </w:pPr>
      <w:r w:rsidRPr="009875A8">
        <w:rPr>
          <w:rFonts w:ascii="Times New Roman" w:eastAsia="Times New Roman" w:hAnsi="Times New Roman" w:cs="Times New Roman"/>
          <w:sz w:val="24"/>
          <w:szCs w:val="24"/>
          <w:lang w:val="es-ES" w:eastAsia="en-US"/>
        </w:rPr>
        <w:br/>
      </w:r>
    </w:p>
    <w:p w14:paraId="02D64163" w14:textId="77777777" w:rsidR="009875A8" w:rsidRPr="009875A8" w:rsidRDefault="009875A8" w:rsidP="009875A8">
      <w:pPr>
        <w:numPr>
          <w:ilvl w:val="0"/>
          <w:numId w:val="6"/>
        </w:numPr>
        <w:spacing w:line="240" w:lineRule="auto"/>
        <w:jc w:val="both"/>
        <w:textAlignment w:val="baseline"/>
        <w:rPr>
          <w:rFonts w:eastAsia="Times New Roman"/>
          <w:color w:val="000000"/>
          <w:sz w:val="24"/>
          <w:szCs w:val="24"/>
          <w:lang w:val="es-ES" w:eastAsia="en-US"/>
        </w:rPr>
      </w:pPr>
      <w:r w:rsidRPr="009875A8">
        <w:rPr>
          <w:rFonts w:eastAsia="Times New Roman"/>
          <w:color w:val="000000"/>
          <w:sz w:val="24"/>
          <w:szCs w:val="24"/>
          <w:lang w:val="es-ES" w:eastAsia="en-US"/>
        </w:rPr>
        <w:t>Agrégase un artículo 223 bis nuevo, del siguiente tenor:</w:t>
      </w:r>
    </w:p>
    <w:p w14:paraId="70971C19" w14:textId="77777777" w:rsidR="009875A8" w:rsidRPr="009875A8" w:rsidRDefault="009875A8" w:rsidP="009875A8">
      <w:pPr>
        <w:spacing w:line="240" w:lineRule="auto"/>
        <w:rPr>
          <w:rFonts w:ascii="Times New Roman" w:eastAsia="Times New Roman" w:hAnsi="Times New Roman" w:cs="Times New Roman"/>
          <w:sz w:val="24"/>
          <w:szCs w:val="24"/>
          <w:lang w:val="es-ES" w:eastAsia="en-US"/>
        </w:rPr>
      </w:pPr>
    </w:p>
    <w:p w14:paraId="701DE092" w14:textId="77777777" w:rsidR="009875A8" w:rsidRPr="009875A8" w:rsidRDefault="009875A8" w:rsidP="009875A8">
      <w:pPr>
        <w:spacing w:line="240" w:lineRule="auto"/>
        <w:ind w:left="720"/>
        <w:jc w:val="both"/>
        <w:rPr>
          <w:rFonts w:ascii="Times New Roman" w:eastAsia="Times New Roman" w:hAnsi="Times New Roman" w:cs="Times New Roman"/>
          <w:sz w:val="24"/>
          <w:szCs w:val="24"/>
          <w:lang w:val="es-ES" w:eastAsia="en-US"/>
        </w:rPr>
      </w:pPr>
      <w:r w:rsidRPr="009875A8">
        <w:rPr>
          <w:rFonts w:eastAsia="Times New Roman"/>
          <w:b/>
          <w:bCs/>
          <w:color w:val="000000"/>
          <w:sz w:val="24"/>
          <w:szCs w:val="24"/>
          <w:lang w:val="es-ES" w:eastAsia="en-US"/>
        </w:rPr>
        <w:t>“Art. 223 bis. El militar en servicio activo o en retiro que, por sentencia ejecutoriada, sea condenado por delitos de lesa humanidad o por los crímenes de guerra previstos y sancionados en la Ley 20.357, llevan consigo la degradación, la que no podrá ser sustituida ni remitida.”.</w:t>
      </w:r>
    </w:p>
    <w:p w14:paraId="453D2AC3" w14:textId="77777777" w:rsidR="009875A8" w:rsidRPr="009875A8" w:rsidRDefault="009875A8" w:rsidP="009875A8">
      <w:pPr>
        <w:spacing w:line="240" w:lineRule="auto"/>
        <w:rPr>
          <w:rFonts w:ascii="Times New Roman" w:eastAsia="Times New Roman" w:hAnsi="Times New Roman" w:cs="Times New Roman"/>
          <w:sz w:val="24"/>
          <w:szCs w:val="24"/>
          <w:lang w:val="es-ES" w:eastAsia="en-US"/>
        </w:rPr>
      </w:pPr>
      <w:r w:rsidRPr="009875A8">
        <w:rPr>
          <w:rFonts w:ascii="Times New Roman" w:eastAsia="Times New Roman" w:hAnsi="Times New Roman" w:cs="Times New Roman"/>
          <w:sz w:val="24"/>
          <w:szCs w:val="24"/>
          <w:lang w:val="es-ES" w:eastAsia="en-US"/>
        </w:rPr>
        <w:br/>
      </w:r>
    </w:p>
    <w:p w14:paraId="569E6011" w14:textId="77777777" w:rsidR="009875A8" w:rsidRPr="009875A8" w:rsidRDefault="009875A8" w:rsidP="009875A8">
      <w:pPr>
        <w:numPr>
          <w:ilvl w:val="0"/>
          <w:numId w:val="7"/>
        </w:numPr>
        <w:spacing w:line="240" w:lineRule="auto"/>
        <w:jc w:val="both"/>
        <w:textAlignment w:val="baseline"/>
        <w:rPr>
          <w:rFonts w:eastAsia="Times New Roman"/>
          <w:color w:val="000000"/>
          <w:sz w:val="24"/>
          <w:szCs w:val="24"/>
          <w:lang w:val="es-ES" w:eastAsia="en-US"/>
        </w:rPr>
      </w:pPr>
      <w:r w:rsidRPr="009875A8">
        <w:rPr>
          <w:rFonts w:eastAsia="Times New Roman"/>
          <w:color w:val="000000"/>
          <w:sz w:val="24"/>
          <w:szCs w:val="24"/>
          <w:lang w:val="es-ES" w:eastAsia="en-US"/>
        </w:rPr>
        <w:lastRenderedPageBreak/>
        <w:t>Agrégase al final del artículo 228, después del punto final que pasa a ser seguido, la siguiente frase:</w:t>
      </w:r>
    </w:p>
    <w:p w14:paraId="14D8553A" w14:textId="77777777" w:rsidR="009875A8" w:rsidRPr="009875A8" w:rsidRDefault="009875A8" w:rsidP="009875A8">
      <w:pPr>
        <w:spacing w:line="240" w:lineRule="auto"/>
        <w:rPr>
          <w:rFonts w:ascii="Times New Roman" w:eastAsia="Times New Roman" w:hAnsi="Times New Roman" w:cs="Times New Roman"/>
          <w:sz w:val="24"/>
          <w:szCs w:val="24"/>
          <w:lang w:val="es-ES" w:eastAsia="en-US"/>
        </w:rPr>
      </w:pPr>
    </w:p>
    <w:p w14:paraId="4A4A5EDF" w14:textId="77777777" w:rsidR="009875A8" w:rsidRPr="009875A8" w:rsidRDefault="009875A8" w:rsidP="009875A8">
      <w:pPr>
        <w:spacing w:line="240" w:lineRule="auto"/>
        <w:ind w:left="720"/>
        <w:jc w:val="both"/>
        <w:rPr>
          <w:rFonts w:ascii="Times New Roman" w:eastAsia="Times New Roman" w:hAnsi="Times New Roman" w:cs="Times New Roman"/>
          <w:sz w:val="24"/>
          <w:szCs w:val="24"/>
          <w:lang w:val="es-ES" w:eastAsia="en-US"/>
        </w:rPr>
      </w:pPr>
      <w:r w:rsidRPr="009875A8">
        <w:rPr>
          <w:rFonts w:eastAsia="Times New Roman"/>
          <w:b/>
          <w:bCs/>
          <w:color w:val="000000"/>
          <w:sz w:val="24"/>
          <w:szCs w:val="24"/>
          <w:lang w:val="es-ES" w:eastAsia="en-US"/>
        </w:rPr>
        <w:t>“Además, producirá la pérdida de todo privilegio o derecho a cualquier honor, beneficio y distinción del que hubiese sido titular o beneficiario antes de ser degradado, así como a todo beneficio pecuniario o económico derivado o asociado a su anterior condición militar.”.</w:t>
      </w:r>
    </w:p>
    <w:p w14:paraId="222671D2" w14:textId="77777777" w:rsidR="009875A8" w:rsidRPr="009875A8" w:rsidRDefault="009875A8" w:rsidP="009875A8">
      <w:pPr>
        <w:spacing w:line="240" w:lineRule="auto"/>
        <w:rPr>
          <w:rFonts w:ascii="Times New Roman" w:eastAsia="Times New Roman" w:hAnsi="Times New Roman" w:cs="Times New Roman"/>
          <w:sz w:val="24"/>
          <w:szCs w:val="24"/>
          <w:lang w:val="es-ES" w:eastAsia="en-US"/>
        </w:rPr>
      </w:pPr>
    </w:p>
    <w:p w14:paraId="37E952D7" w14:textId="77777777" w:rsidR="009875A8" w:rsidRPr="009875A8" w:rsidRDefault="009875A8" w:rsidP="009875A8">
      <w:pPr>
        <w:spacing w:line="240" w:lineRule="auto"/>
        <w:jc w:val="both"/>
        <w:rPr>
          <w:rFonts w:ascii="Times New Roman" w:eastAsia="Times New Roman" w:hAnsi="Times New Roman" w:cs="Times New Roman"/>
          <w:sz w:val="24"/>
          <w:szCs w:val="24"/>
          <w:lang w:val="es-ES" w:eastAsia="en-US"/>
        </w:rPr>
      </w:pPr>
      <w:r w:rsidRPr="009875A8">
        <w:rPr>
          <w:rFonts w:eastAsia="Times New Roman"/>
          <w:color w:val="000000"/>
          <w:sz w:val="24"/>
          <w:szCs w:val="24"/>
          <w:lang w:val="es-ES" w:eastAsia="en-US"/>
        </w:rPr>
        <w:t>Artículo segundo: A los militares en servicio activo o en retiro que hubieren sido condenados por delitos de lesa humanidad, desaparición forzada o por los crímenes de guerra previstos y sancionados en la Ley 20.357, por hechos cometidos entre 11 de septiembre de 1973 y el 11 de marzo de 1990, se les podrá aplicar la pena de degradación introducida en la presente ley.</w:t>
      </w:r>
    </w:p>
    <w:p w14:paraId="40F24864" w14:textId="77777777" w:rsidR="00605DA2" w:rsidRPr="009875A8" w:rsidRDefault="00605DA2" w:rsidP="00605DA2">
      <w:pPr>
        <w:pStyle w:val="Textosinformato"/>
        <w:rPr>
          <w:rFonts w:ascii="Times New Roman" w:hAnsi="Times New Roman" w:cs="Times New Roman"/>
          <w:sz w:val="24"/>
          <w:szCs w:val="24"/>
          <w:lang w:val="es-ES"/>
        </w:rPr>
      </w:pPr>
    </w:p>
    <w:p w14:paraId="0A90887F" w14:textId="77777777" w:rsidR="00F50BC6" w:rsidRPr="00860E6F" w:rsidRDefault="00F50BC6">
      <w:pPr>
        <w:spacing w:before="240" w:after="240"/>
        <w:jc w:val="both"/>
        <w:rPr>
          <w:rFonts w:ascii="Century Gothic" w:eastAsia="Century Gothic" w:hAnsi="Century Gothic" w:cs="Century Gothic"/>
          <w:b/>
          <w:sz w:val="24"/>
          <w:szCs w:val="24"/>
        </w:rPr>
      </w:pPr>
    </w:p>
    <w:p w14:paraId="419D74B5" w14:textId="77777777" w:rsidR="00E27F2E" w:rsidRPr="00860E6F" w:rsidRDefault="00E27F2E">
      <w:pPr>
        <w:spacing w:before="240" w:after="240"/>
        <w:jc w:val="both"/>
        <w:rPr>
          <w:rFonts w:ascii="Century Gothic" w:eastAsia="Century Gothic" w:hAnsi="Century Gothic" w:cs="Century Gothic"/>
          <w:b/>
          <w:sz w:val="24"/>
          <w:szCs w:val="24"/>
        </w:rPr>
      </w:pPr>
    </w:p>
    <w:p w14:paraId="4E5DB9E7" w14:textId="76E7CC55" w:rsidR="007F6A5D" w:rsidRPr="00860E6F" w:rsidRDefault="007F6A5D">
      <w:pPr>
        <w:spacing w:before="240" w:after="240"/>
        <w:jc w:val="both"/>
        <w:rPr>
          <w:rFonts w:ascii="Century Gothic" w:eastAsia="Century Gothic" w:hAnsi="Century Gothic" w:cs="Century Gothic"/>
          <w:sz w:val="24"/>
          <w:szCs w:val="24"/>
        </w:rPr>
      </w:pPr>
    </w:p>
    <w:sectPr w:rsidR="007F6A5D" w:rsidRPr="00860E6F">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8052F" w14:textId="77777777" w:rsidR="007B1786" w:rsidRDefault="007B1786">
      <w:pPr>
        <w:spacing w:line="240" w:lineRule="auto"/>
      </w:pPr>
      <w:r>
        <w:separator/>
      </w:r>
    </w:p>
  </w:endnote>
  <w:endnote w:type="continuationSeparator" w:id="0">
    <w:p w14:paraId="677C7D59" w14:textId="77777777" w:rsidR="007B1786" w:rsidRDefault="007B17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embedRegular r:id="rId1" w:fontKey="{C177721E-0473-4972-8E24-E13BEDE50EB5}"/>
  </w:font>
  <w:font w:name="Calibri">
    <w:panose1 w:val="020F0502020204030204"/>
    <w:charset w:val="00"/>
    <w:family w:val="swiss"/>
    <w:pitch w:val="variable"/>
    <w:sig w:usb0="E4002EFF" w:usb1="C000247B" w:usb2="00000009" w:usb3="00000000" w:csb0="000001FF" w:csb1="00000000"/>
    <w:embedRegular r:id="rId2" w:fontKey="{F66B5D23-9B9A-4F96-B506-FA344BE98D35}"/>
    <w:embedBold r:id="rId3" w:fontKey="{370ABC38-61F9-40FB-B6C1-A375C3BF9816}"/>
  </w:font>
  <w:font w:name="Arial Narrow">
    <w:panose1 w:val="020B0606020202030204"/>
    <w:charset w:val="00"/>
    <w:family w:val="swiss"/>
    <w:pitch w:val="variable"/>
    <w:sig w:usb0="00000287" w:usb1="00000800" w:usb2="00000000" w:usb3="00000000" w:csb0="0000009F" w:csb1="00000000"/>
    <w:embedRegular r:id="rId4" w:fontKey="{744F0E66-00EB-4CF8-B219-56B33EFA52C1}"/>
  </w:font>
  <w:font w:name="Century Gothic">
    <w:panose1 w:val="020B0502020202020204"/>
    <w:charset w:val="00"/>
    <w:family w:val="swiss"/>
    <w:pitch w:val="variable"/>
    <w:sig w:usb0="00000287" w:usb1="00000000" w:usb2="00000000" w:usb3="00000000" w:csb0="0000009F" w:csb1="00000000"/>
    <w:embedRegular r:id="rId5" w:fontKey="{67B0D447-4257-4D11-9685-4EC64A6083F0}"/>
    <w:embedBold r:id="rId6" w:fontKey="{5927AB4B-B006-43C9-9983-D2AAAE0A8BB0}"/>
    <w:embedItalic r:id="rId7" w:fontKey="{4261DC12-E750-4670-8BB6-FDF2A20C6D4B}"/>
  </w:font>
  <w:font w:name="Cambria">
    <w:panose1 w:val="02040503050406030204"/>
    <w:charset w:val="00"/>
    <w:family w:val="roman"/>
    <w:pitch w:val="variable"/>
    <w:sig w:usb0="E00006FF" w:usb1="420024FF" w:usb2="02000000" w:usb3="00000000" w:csb0="0000019F" w:csb1="00000000"/>
    <w:embedRegular r:id="rId8" w:fontKey="{18822D46-D51E-471B-8ECA-73F17ED867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91EB93" w14:textId="77777777" w:rsidR="007B1786" w:rsidRDefault="007B1786">
      <w:pPr>
        <w:spacing w:line="240" w:lineRule="auto"/>
      </w:pPr>
      <w:r>
        <w:separator/>
      </w:r>
    </w:p>
  </w:footnote>
  <w:footnote w:type="continuationSeparator" w:id="0">
    <w:p w14:paraId="79CB211B" w14:textId="77777777" w:rsidR="007B1786" w:rsidRDefault="007B178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C21B6"/>
    <w:multiLevelType w:val="singleLevel"/>
    <w:tmpl w:val="FFFFFFFF"/>
    <w:lvl w:ilvl="0">
      <w:start w:val="4"/>
      <w:numFmt w:val="decimal"/>
      <w:lvlText w:val="%1."/>
      <w:lvlJc w:val="left"/>
      <w:pPr>
        <w:tabs>
          <w:tab w:val="num" w:pos="288"/>
        </w:tabs>
        <w:snapToGrid/>
        <w:ind w:left="0" w:firstLine="0"/>
      </w:pPr>
      <w:rPr>
        <w:rFonts w:ascii="Arial" w:hAnsi="Arial" w:cs="Arial" w:hint="default"/>
        <w:sz w:val="24"/>
        <w:szCs w:val="24"/>
      </w:rPr>
    </w:lvl>
  </w:abstractNum>
  <w:abstractNum w:abstractNumId="1" w15:restartNumberingAfterBreak="0">
    <w:nsid w:val="0FDF0B2C"/>
    <w:multiLevelType w:val="multilevel"/>
    <w:tmpl w:val="923E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5838F4"/>
    <w:multiLevelType w:val="multilevel"/>
    <w:tmpl w:val="6F04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E62F7A"/>
    <w:multiLevelType w:val="hybridMultilevel"/>
    <w:tmpl w:val="360CBD80"/>
    <w:lvl w:ilvl="0" w:tplc="7C7E5B02">
      <w:start w:val="2"/>
      <w:numFmt w:val="lowerLetter"/>
      <w:lvlText w:val="%1."/>
      <w:lvlJc w:val="left"/>
      <w:pPr>
        <w:tabs>
          <w:tab w:val="num" w:pos="720"/>
        </w:tabs>
        <w:ind w:left="720" w:hanging="360"/>
      </w:pPr>
    </w:lvl>
    <w:lvl w:ilvl="1" w:tplc="D2A6E156" w:tentative="1">
      <w:start w:val="1"/>
      <w:numFmt w:val="decimal"/>
      <w:lvlText w:val="%2."/>
      <w:lvlJc w:val="left"/>
      <w:pPr>
        <w:tabs>
          <w:tab w:val="num" w:pos="1440"/>
        </w:tabs>
        <w:ind w:left="1440" w:hanging="360"/>
      </w:pPr>
    </w:lvl>
    <w:lvl w:ilvl="2" w:tplc="2CFC0414" w:tentative="1">
      <w:start w:val="1"/>
      <w:numFmt w:val="decimal"/>
      <w:lvlText w:val="%3."/>
      <w:lvlJc w:val="left"/>
      <w:pPr>
        <w:tabs>
          <w:tab w:val="num" w:pos="2160"/>
        </w:tabs>
        <w:ind w:left="2160" w:hanging="360"/>
      </w:pPr>
    </w:lvl>
    <w:lvl w:ilvl="3" w:tplc="E2EE797E" w:tentative="1">
      <w:start w:val="1"/>
      <w:numFmt w:val="decimal"/>
      <w:lvlText w:val="%4."/>
      <w:lvlJc w:val="left"/>
      <w:pPr>
        <w:tabs>
          <w:tab w:val="num" w:pos="2880"/>
        </w:tabs>
        <w:ind w:left="2880" w:hanging="360"/>
      </w:pPr>
    </w:lvl>
    <w:lvl w:ilvl="4" w:tplc="3328E952" w:tentative="1">
      <w:start w:val="1"/>
      <w:numFmt w:val="decimal"/>
      <w:lvlText w:val="%5."/>
      <w:lvlJc w:val="left"/>
      <w:pPr>
        <w:tabs>
          <w:tab w:val="num" w:pos="3600"/>
        </w:tabs>
        <w:ind w:left="3600" w:hanging="360"/>
      </w:pPr>
    </w:lvl>
    <w:lvl w:ilvl="5" w:tplc="94BC8E0E" w:tentative="1">
      <w:start w:val="1"/>
      <w:numFmt w:val="decimal"/>
      <w:lvlText w:val="%6."/>
      <w:lvlJc w:val="left"/>
      <w:pPr>
        <w:tabs>
          <w:tab w:val="num" w:pos="4320"/>
        </w:tabs>
        <w:ind w:left="4320" w:hanging="360"/>
      </w:pPr>
    </w:lvl>
    <w:lvl w:ilvl="6" w:tplc="2CB6C4C6" w:tentative="1">
      <w:start w:val="1"/>
      <w:numFmt w:val="decimal"/>
      <w:lvlText w:val="%7."/>
      <w:lvlJc w:val="left"/>
      <w:pPr>
        <w:tabs>
          <w:tab w:val="num" w:pos="5040"/>
        </w:tabs>
        <w:ind w:left="5040" w:hanging="360"/>
      </w:pPr>
    </w:lvl>
    <w:lvl w:ilvl="7" w:tplc="8B4A27CE" w:tentative="1">
      <w:start w:val="1"/>
      <w:numFmt w:val="decimal"/>
      <w:lvlText w:val="%8."/>
      <w:lvlJc w:val="left"/>
      <w:pPr>
        <w:tabs>
          <w:tab w:val="num" w:pos="5760"/>
        </w:tabs>
        <w:ind w:left="5760" w:hanging="360"/>
      </w:pPr>
    </w:lvl>
    <w:lvl w:ilvl="8" w:tplc="89785D2A" w:tentative="1">
      <w:start w:val="1"/>
      <w:numFmt w:val="decimal"/>
      <w:lvlText w:val="%9."/>
      <w:lvlJc w:val="left"/>
      <w:pPr>
        <w:tabs>
          <w:tab w:val="num" w:pos="6480"/>
        </w:tabs>
        <w:ind w:left="6480" w:hanging="360"/>
      </w:pPr>
    </w:lvl>
  </w:abstractNum>
  <w:abstractNum w:abstractNumId="4" w15:restartNumberingAfterBreak="0">
    <w:nsid w:val="53B342CB"/>
    <w:multiLevelType w:val="hybridMultilevel"/>
    <w:tmpl w:val="3C7817CC"/>
    <w:lvl w:ilvl="0" w:tplc="43D0DB7E">
      <w:start w:val="3"/>
      <w:numFmt w:val="lowerLetter"/>
      <w:lvlText w:val="%1."/>
      <w:lvlJc w:val="left"/>
      <w:pPr>
        <w:tabs>
          <w:tab w:val="num" w:pos="720"/>
        </w:tabs>
        <w:ind w:left="720" w:hanging="360"/>
      </w:pPr>
    </w:lvl>
    <w:lvl w:ilvl="1" w:tplc="1A04610C" w:tentative="1">
      <w:start w:val="1"/>
      <w:numFmt w:val="decimal"/>
      <w:lvlText w:val="%2."/>
      <w:lvlJc w:val="left"/>
      <w:pPr>
        <w:tabs>
          <w:tab w:val="num" w:pos="1440"/>
        </w:tabs>
        <w:ind w:left="1440" w:hanging="360"/>
      </w:pPr>
    </w:lvl>
    <w:lvl w:ilvl="2" w:tplc="9A6A83CA" w:tentative="1">
      <w:start w:val="1"/>
      <w:numFmt w:val="decimal"/>
      <w:lvlText w:val="%3."/>
      <w:lvlJc w:val="left"/>
      <w:pPr>
        <w:tabs>
          <w:tab w:val="num" w:pos="2160"/>
        </w:tabs>
        <w:ind w:left="2160" w:hanging="360"/>
      </w:pPr>
    </w:lvl>
    <w:lvl w:ilvl="3" w:tplc="5D3A1174" w:tentative="1">
      <w:start w:val="1"/>
      <w:numFmt w:val="decimal"/>
      <w:lvlText w:val="%4."/>
      <w:lvlJc w:val="left"/>
      <w:pPr>
        <w:tabs>
          <w:tab w:val="num" w:pos="2880"/>
        </w:tabs>
        <w:ind w:left="2880" w:hanging="360"/>
      </w:pPr>
    </w:lvl>
    <w:lvl w:ilvl="4" w:tplc="FB1CFB90" w:tentative="1">
      <w:start w:val="1"/>
      <w:numFmt w:val="decimal"/>
      <w:lvlText w:val="%5."/>
      <w:lvlJc w:val="left"/>
      <w:pPr>
        <w:tabs>
          <w:tab w:val="num" w:pos="3600"/>
        </w:tabs>
        <w:ind w:left="3600" w:hanging="360"/>
      </w:pPr>
    </w:lvl>
    <w:lvl w:ilvl="5" w:tplc="58DA086E" w:tentative="1">
      <w:start w:val="1"/>
      <w:numFmt w:val="decimal"/>
      <w:lvlText w:val="%6."/>
      <w:lvlJc w:val="left"/>
      <w:pPr>
        <w:tabs>
          <w:tab w:val="num" w:pos="4320"/>
        </w:tabs>
        <w:ind w:left="4320" w:hanging="360"/>
      </w:pPr>
    </w:lvl>
    <w:lvl w:ilvl="6" w:tplc="9D706FE6" w:tentative="1">
      <w:start w:val="1"/>
      <w:numFmt w:val="decimal"/>
      <w:lvlText w:val="%7."/>
      <w:lvlJc w:val="left"/>
      <w:pPr>
        <w:tabs>
          <w:tab w:val="num" w:pos="5040"/>
        </w:tabs>
        <w:ind w:left="5040" w:hanging="360"/>
      </w:pPr>
    </w:lvl>
    <w:lvl w:ilvl="7" w:tplc="4E963FD6" w:tentative="1">
      <w:start w:val="1"/>
      <w:numFmt w:val="decimal"/>
      <w:lvlText w:val="%8."/>
      <w:lvlJc w:val="left"/>
      <w:pPr>
        <w:tabs>
          <w:tab w:val="num" w:pos="5760"/>
        </w:tabs>
        <w:ind w:left="5760" w:hanging="360"/>
      </w:pPr>
    </w:lvl>
    <w:lvl w:ilvl="8" w:tplc="5C78BAC0" w:tentative="1">
      <w:start w:val="1"/>
      <w:numFmt w:val="decimal"/>
      <w:lvlText w:val="%9."/>
      <w:lvlJc w:val="left"/>
      <w:pPr>
        <w:tabs>
          <w:tab w:val="num" w:pos="6480"/>
        </w:tabs>
        <w:ind w:left="6480" w:hanging="360"/>
      </w:pPr>
    </w:lvl>
  </w:abstractNum>
  <w:abstractNum w:abstractNumId="5" w15:restartNumberingAfterBreak="0">
    <w:nsid w:val="63046547"/>
    <w:multiLevelType w:val="hybridMultilevel"/>
    <w:tmpl w:val="113690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6C2B0B9E"/>
    <w:multiLevelType w:val="multilevel"/>
    <w:tmpl w:val="C8B69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3611508">
    <w:abstractNumId w:val="1"/>
  </w:num>
  <w:num w:numId="2" w16cid:durableId="831794206">
    <w:abstractNumId w:val="2"/>
  </w:num>
  <w:num w:numId="3" w16cid:durableId="2037809081">
    <w:abstractNumId w:val="0"/>
    <w:lvlOverride w:ilvl="0">
      <w:startOverride w:val="4"/>
    </w:lvlOverride>
  </w:num>
  <w:num w:numId="4" w16cid:durableId="1718433115">
    <w:abstractNumId w:val="5"/>
  </w:num>
  <w:num w:numId="5" w16cid:durableId="1503275561">
    <w:abstractNumId w:val="6"/>
    <w:lvlOverride w:ilvl="0">
      <w:lvl w:ilvl="0">
        <w:numFmt w:val="lowerLetter"/>
        <w:lvlText w:val="%1."/>
        <w:lvlJc w:val="left"/>
      </w:lvl>
    </w:lvlOverride>
  </w:num>
  <w:num w:numId="6" w16cid:durableId="996883513">
    <w:abstractNumId w:val="3"/>
  </w:num>
  <w:num w:numId="7" w16cid:durableId="20684130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A5D"/>
    <w:rsid w:val="0006502D"/>
    <w:rsid w:val="000E3689"/>
    <w:rsid w:val="001566F8"/>
    <w:rsid w:val="001D786B"/>
    <w:rsid w:val="00212190"/>
    <w:rsid w:val="00287BBF"/>
    <w:rsid w:val="002F4785"/>
    <w:rsid w:val="00301F7B"/>
    <w:rsid w:val="004875C4"/>
    <w:rsid w:val="004C5372"/>
    <w:rsid w:val="00605DA2"/>
    <w:rsid w:val="00657873"/>
    <w:rsid w:val="00657BBF"/>
    <w:rsid w:val="007B1786"/>
    <w:rsid w:val="007F6A5D"/>
    <w:rsid w:val="00860E6F"/>
    <w:rsid w:val="008D30A5"/>
    <w:rsid w:val="0092451D"/>
    <w:rsid w:val="00942603"/>
    <w:rsid w:val="009875A8"/>
    <w:rsid w:val="009F509F"/>
    <w:rsid w:val="00A332D3"/>
    <w:rsid w:val="00AC221C"/>
    <w:rsid w:val="00B74A08"/>
    <w:rsid w:val="00BC4764"/>
    <w:rsid w:val="00BF186C"/>
    <w:rsid w:val="00C51EED"/>
    <w:rsid w:val="00D524B4"/>
    <w:rsid w:val="00D77DDA"/>
    <w:rsid w:val="00DB101A"/>
    <w:rsid w:val="00E24BC1"/>
    <w:rsid w:val="00E27F2E"/>
    <w:rsid w:val="00E74521"/>
    <w:rsid w:val="00EA5680"/>
    <w:rsid w:val="00F50BC6"/>
    <w:rsid w:val="00F65521"/>
    <w:rsid w:val="00FE6C8A"/>
    <w:rsid w:val="00FF569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24213"/>
  <w15:docId w15:val="{3A078A49-A2A4-40F6-A483-60851D277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customStyle="1" w:styleId="paragraph">
    <w:name w:val="paragraph"/>
    <w:basedOn w:val="Normal"/>
    <w:rsid w:val="00EF081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EF0817"/>
    <w:rPr>
      <w:b/>
      <w:bCs/>
    </w:rPr>
  </w:style>
  <w:style w:type="character" w:styleId="Hipervnculo">
    <w:name w:val="Hyperlink"/>
    <w:basedOn w:val="Fuentedeprrafopredeter"/>
    <w:uiPriority w:val="99"/>
    <w:unhideWhenUsed/>
    <w:rsid w:val="00EF0817"/>
    <w:rPr>
      <w:color w:val="0000FF"/>
      <w:u w:val="single"/>
    </w:rPr>
  </w:style>
  <w:style w:type="paragraph" w:styleId="Textonotapie">
    <w:name w:val="footnote text"/>
    <w:basedOn w:val="Normal"/>
    <w:link w:val="TextonotapieCar"/>
    <w:uiPriority w:val="99"/>
    <w:semiHidden/>
    <w:unhideWhenUsed/>
    <w:rsid w:val="00814AFC"/>
    <w:pPr>
      <w:spacing w:line="240" w:lineRule="auto"/>
    </w:pPr>
    <w:rPr>
      <w:sz w:val="20"/>
      <w:szCs w:val="20"/>
    </w:rPr>
  </w:style>
  <w:style w:type="character" w:customStyle="1" w:styleId="TextonotapieCar">
    <w:name w:val="Texto nota pie Car"/>
    <w:basedOn w:val="Fuentedeprrafopredeter"/>
    <w:link w:val="Textonotapie"/>
    <w:uiPriority w:val="99"/>
    <w:semiHidden/>
    <w:rsid w:val="00814AFC"/>
    <w:rPr>
      <w:sz w:val="20"/>
      <w:szCs w:val="20"/>
    </w:rPr>
  </w:style>
  <w:style w:type="character" w:styleId="Refdenotaalpie">
    <w:name w:val="footnote reference"/>
    <w:basedOn w:val="Fuentedeprrafopredeter"/>
    <w:uiPriority w:val="99"/>
    <w:semiHidden/>
    <w:unhideWhenUsed/>
    <w:rsid w:val="00814AFC"/>
    <w:rPr>
      <w:vertAlign w:val="superscript"/>
    </w:rPr>
  </w:style>
  <w:style w:type="character" w:customStyle="1" w:styleId="Mencinsinresolver1">
    <w:name w:val="Mención sin resolver1"/>
    <w:basedOn w:val="Fuentedeprrafopredeter"/>
    <w:uiPriority w:val="99"/>
    <w:semiHidden/>
    <w:unhideWhenUsed/>
    <w:rsid w:val="00814AFC"/>
    <w:rPr>
      <w:color w:val="605E5C"/>
      <w:shd w:val="clear" w:color="auto" w:fill="E1DFDD"/>
    </w:rPr>
  </w:style>
  <w:style w:type="paragraph" w:styleId="NormalWeb">
    <w:name w:val="Normal (Web)"/>
    <w:basedOn w:val="Normal"/>
    <w:uiPriority w:val="99"/>
    <w:semiHidden/>
    <w:unhideWhenUsed/>
    <w:rsid w:val="00044D1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Fuentedeprrafopredeter"/>
    <w:rsid w:val="00570639"/>
  </w:style>
  <w:style w:type="character" w:customStyle="1" w:styleId="eop">
    <w:name w:val="eop"/>
    <w:basedOn w:val="Fuentedeprrafopredeter"/>
    <w:rsid w:val="00570639"/>
  </w:style>
  <w:style w:type="paragraph" w:customStyle="1" w:styleId="social-comment">
    <w:name w:val="social-comment"/>
    <w:basedOn w:val="Normal"/>
    <w:rsid w:val="004875C4"/>
    <w:pPr>
      <w:spacing w:before="100" w:beforeAutospacing="1" w:after="100" w:afterAutospacing="1" w:line="240" w:lineRule="auto"/>
    </w:pPr>
    <w:rPr>
      <w:rFonts w:ascii="Times New Roman" w:eastAsia="Times New Roman" w:hAnsi="Times New Roman" w:cs="Times New Roman"/>
      <w:sz w:val="24"/>
      <w:szCs w:val="24"/>
      <w:lang w:val="es-CL"/>
    </w:rPr>
  </w:style>
  <w:style w:type="paragraph" w:styleId="Textosinformato">
    <w:name w:val="Plain Text"/>
    <w:basedOn w:val="Normal"/>
    <w:link w:val="TextosinformatoCar"/>
    <w:uiPriority w:val="99"/>
    <w:semiHidden/>
    <w:unhideWhenUsed/>
    <w:rsid w:val="00E27F2E"/>
    <w:pPr>
      <w:spacing w:line="240" w:lineRule="auto"/>
      <w:jc w:val="both"/>
    </w:pPr>
    <w:rPr>
      <w:rFonts w:ascii="Consolas" w:eastAsia="Calibri" w:hAnsi="Consolas" w:cs="Consolas"/>
      <w:color w:val="000000"/>
      <w:sz w:val="21"/>
      <w:szCs w:val="21"/>
      <w:lang w:val="es-CL" w:eastAsia="en-US"/>
    </w:rPr>
  </w:style>
  <w:style w:type="character" w:customStyle="1" w:styleId="TextosinformatoCar">
    <w:name w:val="Texto sin formato Car"/>
    <w:basedOn w:val="Fuentedeprrafopredeter"/>
    <w:link w:val="Textosinformato"/>
    <w:uiPriority w:val="99"/>
    <w:semiHidden/>
    <w:rsid w:val="00E27F2E"/>
    <w:rPr>
      <w:rFonts w:ascii="Consolas" w:eastAsia="Calibri" w:hAnsi="Consolas" w:cs="Consolas"/>
      <w:color w:val="000000"/>
      <w:sz w:val="21"/>
      <w:szCs w:val="21"/>
      <w:lang w:val="es-CL" w:eastAsia="en-US"/>
    </w:rPr>
  </w:style>
  <w:style w:type="paragraph" w:customStyle="1" w:styleId="Style3">
    <w:name w:val="Style 3"/>
    <w:uiPriority w:val="99"/>
    <w:rsid w:val="00E27F2E"/>
    <w:pPr>
      <w:widowControl w:val="0"/>
      <w:autoSpaceDE w:val="0"/>
      <w:autoSpaceDN w:val="0"/>
      <w:spacing w:before="216" w:line="360" w:lineRule="auto"/>
      <w:jc w:val="both"/>
    </w:pPr>
    <w:rPr>
      <w:rFonts w:ascii="Arial Narrow" w:eastAsiaTheme="minorEastAsia" w:hAnsi="Arial Narrow" w:cs="Arial Narrow"/>
      <w:sz w:val="28"/>
      <w:szCs w:val="28"/>
      <w:lang w:val="en-US"/>
    </w:rPr>
  </w:style>
  <w:style w:type="character" w:customStyle="1" w:styleId="CharacterStyle2">
    <w:name w:val="Character Style 2"/>
    <w:uiPriority w:val="99"/>
    <w:rsid w:val="00E27F2E"/>
    <w:rPr>
      <w:rFonts w:ascii="Arial Narrow" w:hAnsi="Arial Narrow" w:hint="default"/>
      <w:sz w:val="28"/>
    </w:rPr>
  </w:style>
  <w:style w:type="paragraph" w:customStyle="1" w:styleId="Style1">
    <w:name w:val="Style 1"/>
    <w:uiPriority w:val="99"/>
    <w:rsid w:val="00F50BC6"/>
    <w:pPr>
      <w:widowControl w:val="0"/>
      <w:autoSpaceDE w:val="0"/>
      <w:autoSpaceDN w:val="0"/>
      <w:adjustRightInd w:val="0"/>
      <w:spacing w:line="240" w:lineRule="auto"/>
    </w:pPr>
    <w:rPr>
      <w:rFonts w:ascii="Times New Roman" w:eastAsiaTheme="minorEastAsia" w:hAnsi="Times New Roman" w:cs="Times New Roman"/>
      <w:sz w:val="20"/>
      <w:szCs w:val="20"/>
      <w:lang w:val="en-US"/>
    </w:rPr>
  </w:style>
  <w:style w:type="character" w:customStyle="1" w:styleId="n">
    <w:name w:val="n"/>
    <w:basedOn w:val="Fuentedeprrafopredeter"/>
    <w:rsid w:val="00605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777102">
      <w:bodyDiv w:val="1"/>
      <w:marLeft w:val="0"/>
      <w:marRight w:val="0"/>
      <w:marTop w:val="0"/>
      <w:marBottom w:val="0"/>
      <w:divBdr>
        <w:top w:val="none" w:sz="0" w:space="0" w:color="auto"/>
        <w:left w:val="none" w:sz="0" w:space="0" w:color="auto"/>
        <w:bottom w:val="none" w:sz="0" w:space="0" w:color="auto"/>
        <w:right w:val="none" w:sz="0" w:space="0" w:color="auto"/>
      </w:divBdr>
    </w:div>
    <w:div w:id="466508459">
      <w:bodyDiv w:val="1"/>
      <w:marLeft w:val="0"/>
      <w:marRight w:val="0"/>
      <w:marTop w:val="0"/>
      <w:marBottom w:val="0"/>
      <w:divBdr>
        <w:top w:val="none" w:sz="0" w:space="0" w:color="auto"/>
        <w:left w:val="none" w:sz="0" w:space="0" w:color="auto"/>
        <w:bottom w:val="none" w:sz="0" w:space="0" w:color="auto"/>
        <w:right w:val="none" w:sz="0" w:space="0" w:color="auto"/>
      </w:divBdr>
    </w:div>
    <w:div w:id="533202290">
      <w:bodyDiv w:val="1"/>
      <w:marLeft w:val="0"/>
      <w:marRight w:val="0"/>
      <w:marTop w:val="0"/>
      <w:marBottom w:val="0"/>
      <w:divBdr>
        <w:top w:val="none" w:sz="0" w:space="0" w:color="auto"/>
        <w:left w:val="none" w:sz="0" w:space="0" w:color="auto"/>
        <w:bottom w:val="none" w:sz="0" w:space="0" w:color="auto"/>
        <w:right w:val="none" w:sz="0" w:space="0" w:color="auto"/>
      </w:divBdr>
    </w:div>
    <w:div w:id="547643321">
      <w:bodyDiv w:val="1"/>
      <w:marLeft w:val="0"/>
      <w:marRight w:val="0"/>
      <w:marTop w:val="0"/>
      <w:marBottom w:val="0"/>
      <w:divBdr>
        <w:top w:val="none" w:sz="0" w:space="0" w:color="auto"/>
        <w:left w:val="none" w:sz="0" w:space="0" w:color="auto"/>
        <w:bottom w:val="none" w:sz="0" w:space="0" w:color="auto"/>
        <w:right w:val="none" w:sz="0" w:space="0" w:color="auto"/>
      </w:divBdr>
    </w:div>
    <w:div w:id="766267202">
      <w:bodyDiv w:val="1"/>
      <w:marLeft w:val="0"/>
      <w:marRight w:val="0"/>
      <w:marTop w:val="0"/>
      <w:marBottom w:val="0"/>
      <w:divBdr>
        <w:top w:val="none" w:sz="0" w:space="0" w:color="auto"/>
        <w:left w:val="none" w:sz="0" w:space="0" w:color="auto"/>
        <w:bottom w:val="none" w:sz="0" w:space="0" w:color="auto"/>
        <w:right w:val="none" w:sz="0" w:space="0" w:color="auto"/>
      </w:divBdr>
      <w:divsChild>
        <w:div w:id="587664583">
          <w:marLeft w:val="0"/>
          <w:marRight w:val="150"/>
          <w:marTop w:val="0"/>
          <w:marBottom w:val="0"/>
          <w:divBdr>
            <w:top w:val="none" w:sz="0" w:space="0" w:color="auto"/>
            <w:left w:val="none" w:sz="0" w:space="0" w:color="auto"/>
            <w:bottom w:val="none" w:sz="0" w:space="0" w:color="auto"/>
            <w:right w:val="none" w:sz="0" w:space="0" w:color="auto"/>
          </w:divBdr>
        </w:div>
      </w:divsChild>
    </w:div>
    <w:div w:id="808943012">
      <w:bodyDiv w:val="1"/>
      <w:marLeft w:val="0"/>
      <w:marRight w:val="0"/>
      <w:marTop w:val="0"/>
      <w:marBottom w:val="0"/>
      <w:divBdr>
        <w:top w:val="none" w:sz="0" w:space="0" w:color="auto"/>
        <w:left w:val="none" w:sz="0" w:space="0" w:color="auto"/>
        <w:bottom w:val="none" w:sz="0" w:space="0" w:color="auto"/>
        <w:right w:val="none" w:sz="0" w:space="0" w:color="auto"/>
      </w:divBdr>
    </w:div>
    <w:div w:id="871454314">
      <w:bodyDiv w:val="1"/>
      <w:marLeft w:val="0"/>
      <w:marRight w:val="0"/>
      <w:marTop w:val="0"/>
      <w:marBottom w:val="0"/>
      <w:divBdr>
        <w:top w:val="none" w:sz="0" w:space="0" w:color="auto"/>
        <w:left w:val="none" w:sz="0" w:space="0" w:color="auto"/>
        <w:bottom w:val="none" w:sz="0" w:space="0" w:color="auto"/>
        <w:right w:val="none" w:sz="0" w:space="0" w:color="auto"/>
      </w:divBdr>
      <w:divsChild>
        <w:div w:id="2079746947">
          <w:marLeft w:val="0"/>
          <w:marRight w:val="150"/>
          <w:marTop w:val="0"/>
          <w:marBottom w:val="0"/>
          <w:divBdr>
            <w:top w:val="none" w:sz="0" w:space="0" w:color="auto"/>
            <w:left w:val="none" w:sz="0" w:space="0" w:color="auto"/>
            <w:bottom w:val="none" w:sz="0" w:space="0" w:color="auto"/>
            <w:right w:val="none" w:sz="0" w:space="0" w:color="auto"/>
          </w:divBdr>
        </w:div>
      </w:divsChild>
    </w:div>
    <w:div w:id="1459108790">
      <w:bodyDiv w:val="1"/>
      <w:marLeft w:val="0"/>
      <w:marRight w:val="0"/>
      <w:marTop w:val="0"/>
      <w:marBottom w:val="0"/>
      <w:divBdr>
        <w:top w:val="none" w:sz="0" w:space="0" w:color="auto"/>
        <w:left w:val="none" w:sz="0" w:space="0" w:color="auto"/>
        <w:bottom w:val="none" w:sz="0" w:space="0" w:color="auto"/>
        <w:right w:val="none" w:sz="0" w:space="0" w:color="auto"/>
      </w:divBdr>
    </w:div>
    <w:div w:id="1828856384">
      <w:bodyDiv w:val="1"/>
      <w:marLeft w:val="0"/>
      <w:marRight w:val="0"/>
      <w:marTop w:val="0"/>
      <w:marBottom w:val="0"/>
      <w:divBdr>
        <w:top w:val="none" w:sz="0" w:space="0" w:color="auto"/>
        <w:left w:val="none" w:sz="0" w:space="0" w:color="auto"/>
        <w:bottom w:val="none" w:sz="0" w:space="0" w:color="auto"/>
        <w:right w:val="none" w:sz="0" w:space="0" w:color="auto"/>
      </w:divBdr>
    </w:div>
    <w:div w:id="1949970873">
      <w:bodyDiv w:val="1"/>
      <w:marLeft w:val="0"/>
      <w:marRight w:val="0"/>
      <w:marTop w:val="0"/>
      <w:marBottom w:val="0"/>
      <w:divBdr>
        <w:top w:val="none" w:sz="0" w:space="0" w:color="auto"/>
        <w:left w:val="none" w:sz="0" w:space="0" w:color="auto"/>
        <w:bottom w:val="none" w:sz="0" w:space="0" w:color="auto"/>
        <w:right w:val="none" w:sz="0" w:space="0" w:color="auto"/>
      </w:divBdr>
    </w:div>
    <w:div w:id="2034185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nndrB5yDsx3C0uwfGVPjelgpmA==">CgMxLjA4AHIhMUowb05ZN0xSSkItMkR4ZEFiNS1ST0VuclZXdVgwSGtY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731</Words>
  <Characters>4022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Millaray Huaquimilla</dc:creator>
  <cp:lastModifiedBy>Guillermo Diaz Vallejos</cp:lastModifiedBy>
  <cp:revision>1</cp:revision>
  <dcterms:created xsi:type="dcterms:W3CDTF">2024-06-06T19:36:00Z</dcterms:created>
  <dcterms:modified xsi:type="dcterms:W3CDTF">2024-07-04T16:31:00Z</dcterms:modified>
</cp:coreProperties>
</file>