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84DE6" w:rsidRDefault="00A84DE6">
      <w:pPr>
        <w:pStyle w:val="Textoindependiente"/>
        <w:spacing w:before="173"/>
        <w:rPr>
          <w:rFonts w:ascii="Times New Roman"/>
        </w:rPr>
      </w:pPr>
    </w:p>
    <w:p w:rsidR="00A84DE6" w:rsidRDefault="00000000">
      <w:pPr>
        <w:pStyle w:val="Ttulo1"/>
        <w:spacing w:before="1" w:line="360" w:lineRule="auto"/>
        <w:ind w:left="102" w:right="116" w:firstLine="0"/>
        <w:jc w:val="both"/>
      </w:pPr>
      <w:r>
        <w:t>AMPLIA EL PLAZO DE REGULARIZACIÓN DE VIVIENDAS POR LA LEY 20.898, EN EL ÁREA AFECTADA POR EL MEGA INCENDIO EN LA REGIÓN DE VALPARAÍSO</w:t>
      </w:r>
    </w:p>
    <w:p w:rsidR="00A84DE6" w:rsidRDefault="00A84DE6">
      <w:pPr>
        <w:pStyle w:val="Textoindependiente"/>
        <w:spacing w:before="163"/>
        <w:rPr>
          <w:b/>
        </w:rPr>
      </w:pPr>
    </w:p>
    <w:p w:rsidR="00A84DE6" w:rsidRDefault="00000000">
      <w:pPr>
        <w:pStyle w:val="Prrafodelista"/>
        <w:numPr>
          <w:ilvl w:val="0"/>
          <w:numId w:val="1"/>
        </w:numPr>
        <w:tabs>
          <w:tab w:val="left" w:pos="1181"/>
        </w:tabs>
        <w:ind w:left="1181"/>
        <w:rPr>
          <w:b/>
          <w:sz w:val="24"/>
        </w:rPr>
      </w:pPr>
      <w:r>
        <w:rPr>
          <w:b/>
          <w:spacing w:val="-2"/>
          <w:sz w:val="24"/>
        </w:rPr>
        <w:t>FUNDAMENTOS</w:t>
      </w:r>
    </w:p>
    <w:p w:rsidR="00A84DE6" w:rsidRDefault="00A84DE6">
      <w:pPr>
        <w:pStyle w:val="Textoindependiente"/>
        <w:rPr>
          <w:b/>
        </w:rPr>
      </w:pPr>
    </w:p>
    <w:p w:rsidR="00A84DE6" w:rsidRDefault="00A84DE6">
      <w:pPr>
        <w:pStyle w:val="Textoindependiente"/>
        <w:spacing w:before="1"/>
        <w:rPr>
          <w:b/>
        </w:rPr>
      </w:pPr>
    </w:p>
    <w:p w:rsidR="00A84DE6" w:rsidRDefault="00000000">
      <w:pPr>
        <w:pStyle w:val="Textoindependiente"/>
        <w:spacing w:line="360" w:lineRule="auto"/>
        <w:ind w:left="102" w:right="113" w:firstLine="707"/>
        <w:jc w:val="both"/>
      </w:pPr>
      <w:r>
        <w:t>El 04 de febrero de 2016 se publicó en el Diario Oficial la Ley N°20.898, que establece un procedimiento simplificado para la regularización de viviendas de autoconstrucción, la que ha sufrido tres modificaciones durante su vigencia: las leyes 21.141, 21.415 y 21.558.</w:t>
      </w:r>
    </w:p>
    <w:p w:rsidR="00A84DE6" w:rsidRDefault="00A84DE6">
      <w:pPr>
        <w:pStyle w:val="Textoindependiente"/>
        <w:spacing w:before="160"/>
      </w:pPr>
    </w:p>
    <w:p w:rsidR="00A84DE6" w:rsidRDefault="00000000">
      <w:pPr>
        <w:pStyle w:val="Textoindependiente"/>
        <w:spacing w:line="362" w:lineRule="auto"/>
        <w:ind w:left="102" w:right="125" w:firstLine="707"/>
        <w:jc w:val="both"/>
      </w:pPr>
      <w:r>
        <w:t>Por otra parte, como es de público conocimiento, al inicio del año 2024 se desató un mega incendio en la Región de Valparaíso,</w:t>
      </w:r>
    </w:p>
    <w:p w:rsidR="00A84DE6" w:rsidRDefault="00A84DE6">
      <w:pPr>
        <w:pStyle w:val="Textoindependiente"/>
        <w:spacing w:before="158"/>
      </w:pPr>
    </w:p>
    <w:p w:rsidR="00A84DE6" w:rsidRDefault="00000000">
      <w:pPr>
        <w:pStyle w:val="Textoindependiente"/>
        <w:spacing w:line="360" w:lineRule="auto"/>
        <w:ind w:left="102" w:right="118" w:firstLine="707"/>
        <w:jc w:val="both"/>
      </w:pPr>
      <w:r>
        <w:t>De acuerdo con el informe emitió por el Centro de Investigación para la Gestión Integrada del Riesgo de Desastres (CIGIDEN), la superficie quemada durante el siniestro equivale a 9.215,9 hectáreas que abarcan sectores urbanos, agrícolas y forestales de las comunas de Valparaíso, Viña del Mar, Quilpué, Villa Alemana y Limache. Se estimaron un total de 9.828 edificaciones afectadas solo en Viña del Mar</w:t>
      </w:r>
      <w:hyperlink w:anchor="_bookmark0" w:history="1">
        <w:r>
          <w:rPr>
            <w:position w:val="7"/>
            <w:sz w:val="14"/>
          </w:rPr>
          <w:t>1</w:t>
        </w:r>
      </w:hyperlink>
      <w:r>
        <w:t>.</w:t>
      </w:r>
    </w:p>
    <w:p w:rsidR="00A84DE6" w:rsidRDefault="00A84DE6">
      <w:pPr>
        <w:pStyle w:val="Textoindependiente"/>
        <w:rPr>
          <w:sz w:val="20"/>
        </w:rPr>
      </w:pPr>
    </w:p>
    <w:p w:rsidR="00A84DE6" w:rsidRDefault="00A84DE6">
      <w:pPr>
        <w:pStyle w:val="Textoindependiente"/>
        <w:rPr>
          <w:sz w:val="20"/>
        </w:rPr>
      </w:pPr>
    </w:p>
    <w:p w:rsidR="00A84DE6" w:rsidRDefault="00A84DE6">
      <w:pPr>
        <w:pStyle w:val="Textoindependiente"/>
        <w:rPr>
          <w:sz w:val="20"/>
        </w:rPr>
      </w:pPr>
    </w:p>
    <w:p w:rsidR="00A84DE6" w:rsidRDefault="00A84DE6">
      <w:pPr>
        <w:pStyle w:val="Textoindependiente"/>
        <w:rPr>
          <w:sz w:val="20"/>
        </w:rPr>
      </w:pPr>
    </w:p>
    <w:p w:rsidR="00A84DE6" w:rsidRDefault="00000000">
      <w:pPr>
        <w:pStyle w:val="Textoindependiente"/>
        <w:spacing w:before="45"/>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215474</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203631" id="Graphic 3" o:spid="_x0000_s1026" style="position:absolute;margin-left:85.1pt;margin-top:16.9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" path="m1829054,l,,,9143r1829054,l1829054,xe" fillcolor="black" stroked="f">
                <v:path arrowok="t"/>
                <w10:wrap type="topAndBottom" anchorx="page"/>
              </v:shape>
            </w:pict>
          </mc:Fallback>
        </mc:AlternateContent>
      </w:r>
    </w:p>
    <w:p w:rsidR="00A84DE6" w:rsidRDefault="00000000">
      <w:pPr>
        <w:spacing w:before="102"/>
        <w:ind w:left="102" w:right="785"/>
        <w:rPr>
          <w:rFonts w:ascii="Calibri"/>
          <w:sz w:val="20"/>
        </w:rPr>
      </w:pPr>
      <w:bookmarkStart w:id="0" w:name="_bookmark0"/>
      <w:bookmarkEnd w:id="0"/>
      <w:r>
        <w:rPr>
          <w:rFonts w:ascii="Calibri"/>
          <w:sz w:val="20"/>
          <w:vertAlign w:val="superscript"/>
        </w:rPr>
        <w:t>1</w:t>
      </w:r>
      <w:r>
        <w:rPr>
          <w:rFonts w:ascii="Calibri"/>
          <w:spacing w:val="-12"/>
          <w:sz w:val="20"/>
        </w:rPr>
        <w:t xml:space="preserve"> </w:t>
      </w:r>
      <w:r>
        <w:rPr>
          <w:rFonts w:ascii="Calibri"/>
          <w:sz w:val="20"/>
        </w:rPr>
        <w:t>https:/</w:t>
      </w:r>
      <w:hyperlink r:id="rId7">
        <w:r>
          <w:rPr>
            <w:rFonts w:ascii="Calibri"/>
            <w:sz w:val="20"/>
          </w:rPr>
          <w:t>/www.emol.com/noticias/Nacional/2024/02/15/1121815/cigiden-informe-danos-incendios-</w:t>
        </w:r>
      </w:hyperlink>
      <w:r>
        <w:rPr>
          <w:rFonts w:ascii="Calibri"/>
          <w:sz w:val="20"/>
        </w:rPr>
        <w:t xml:space="preserve"> </w:t>
      </w:r>
      <w:r>
        <w:rPr>
          <w:rFonts w:ascii="Calibri"/>
          <w:spacing w:val="-2"/>
          <w:sz w:val="20"/>
        </w:rPr>
        <w:t>valparaiso.html</w:t>
      </w:r>
    </w:p>
    <w:p w:rsidR="00A84DE6" w:rsidRDefault="00A84DE6">
      <w:pPr>
        <w:rPr>
          <w:rFonts w:ascii="Calibri"/>
          <w:sz w:val="20"/>
        </w:rPr>
        <w:sectPr w:rsidR="00A84DE6">
          <w:headerReference w:type="default" r:id="rId8"/>
          <w:footerReference w:type="default" r:id="rId9"/>
          <w:type w:val="continuous"/>
          <w:pgSz w:w="12240" w:h="15840"/>
          <w:pgMar w:top="2220" w:right="1580" w:bottom="1160" w:left="1600" w:header="934" w:footer="969" w:gutter="0"/>
          <w:pgNumType w:start="1"/>
          <w:cols w:space="720"/>
        </w:sectPr>
      </w:pPr>
    </w:p>
    <w:p w:rsidR="00A84DE6" w:rsidRDefault="00A84DE6">
      <w:pPr>
        <w:pStyle w:val="Textoindependiente"/>
        <w:spacing w:before="156"/>
        <w:rPr>
          <w:rFonts w:ascii="Calibri"/>
        </w:rPr>
      </w:pPr>
    </w:p>
    <w:p w:rsidR="00A84DE6" w:rsidRDefault="00000000">
      <w:pPr>
        <w:pStyle w:val="Textoindependiente"/>
        <w:spacing w:before="1" w:line="360" w:lineRule="auto"/>
        <w:ind w:left="102" w:right="117" w:firstLine="707"/>
        <w:jc w:val="both"/>
      </w:pPr>
      <w:r>
        <w:t>Posteriormente, el 14 de marzo de 2024, los medios nacionales daban cuenta del incendio en Cerro Cordillera de Valparaíso.</w:t>
      </w:r>
    </w:p>
    <w:p w:rsidR="00A84DE6" w:rsidRDefault="00A84DE6">
      <w:pPr>
        <w:pStyle w:val="Textoindependiente"/>
        <w:spacing w:before="163"/>
      </w:pPr>
    </w:p>
    <w:p w:rsidR="00A84DE6" w:rsidRDefault="00000000">
      <w:pPr>
        <w:pStyle w:val="Textoindependiente"/>
        <w:spacing w:before="1" w:line="360" w:lineRule="auto"/>
        <w:ind w:left="102" w:right="118" w:firstLine="707"/>
        <w:jc w:val="both"/>
      </w:pPr>
      <w:r>
        <w:t>Como una medida efectiva con la finalidad de facilitar la reconstrucción de las zonas afectadas, se propone una ampliación al plazo de la Ley N°20.898 en el área en que se encontraban las viviendas siniestradas, lo que permitirá mitigar la burocracia</w:t>
      </w:r>
      <w:r>
        <w:rPr>
          <w:spacing w:val="-6"/>
        </w:rPr>
        <w:t xml:space="preserve"> </w:t>
      </w:r>
      <w:r>
        <w:t>frente</w:t>
      </w:r>
      <w:r>
        <w:rPr>
          <w:spacing w:val="-6"/>
        </w:rPr>
        <w:t xml:space="preserve"> </w:t>
      </w:r>
      <w:r>
        <w:t>a</w:t>
      </w:r>
      <w:r>
        <w:rPr>
          <w:spacing w:val="-6"/>
        </w:rPr>
        <w:t xml:space="preserve"> </w:t>
      </w:r>
      <w:r>
        <w:t>la</w:t>
      </w:r>
      <w:r>
        <w:rPr>
          <w:spacing w:val="-3"/>
        </w:rPr>
        <w:t xml:space="preserve"> </w:t>
      </w:r>
      <w:r>
        <w:t>imperiosa</w:t>
      </w:r>
      <w:r>
        <w:rPr>
          <w:spacing w:val="-6"/>
        </w:rPr>
        <w:t xml:space="preserve"> </w:t>
      </w:r>
      <w:r>
        <w:t>necesidad</w:t>
      </w:r>
      <w:r>
        <w:rPr>
          <w:spacing w:val="-4"/>
        </w:rPr>
        <w:t xml:space="preserve"> </w:t>
      </w:r>
      <w:r>
        <w:t>de</w:t>
      </w:r>
      <w:r>
        <w:rPr>
          <w:spacing w:val="-4"/>
        </w:rPr>
        <w:t xml:space="preserve"> </w:t>
      </w:r>
      <w:r>
        <w:t>dar</w:t>
      </w:r>
      <w:r>
        <w:rPr>
          <w:spacing w:val="-5"/>
        </w:rPr>
        <w:t xml:space="preserve"> </w:t>
      </w:r>
      <w:r>
        <w:t>una</w:t>
      </w:r>
      <w:r>
        <w:rPr>
          <w:spacing w:val="-6"/>
        </w:rPr>
        <w:t xml:space="preserve"> </w:t>
      </w:r>
      <w:r>
        <w:t>respuesta</w:t>
      </w:r>
      <w:r>
        <w:rPr>
          <w:spacing w:val="-6"/>
        </w:rPr>
        <w:t xml:space="preserve"> </w:t>
      </w:r>
      <w:r>
        <w:t>rápida</w:t>
      </w:r>
      <w:r>
        <w:rPr>
          <w:spacing w:val="-6"/>
        </w:rPr>
        <w:t xml:space="preserve"> </w:t>
      </w:r>
      <w:r>
        <w:t>a</w:t>
      </w:r>
      <w:r>
        <w:rPr>
          <w:spacing w:val="-6"/>
        </w:rPr>
        <w:t xml:space="preserve"> </w:t>
      </w:r>
      <w:r>
        <w:t>los</w:t>
      </w:r>
      <w:r>
        <w:rPr>
          <w:spacing w:val="-4"/>
        </w:rPr>
        <w:t xml:space="preserve"> </w:t>
      </w:r>
      <w:r>
        <w:t>cientos o</w:t>
      </w:r>
      <w:r>
        <w:rPr>
          <w:spacing w:val="-5"/>
        </w:rPr>
        <w:t xml:space="preserve"> </w:t>
      </w:r>
      <w:r>
        <w:t>miles</w:t>
      </w:r>
      <w:r>
        <w:rPr>
          <w:spacing w:val="-7"/>
        </w:rPr>
        <w:t xml:space="preserve"> </w:t>
      </w:r>
      <w:r>
        <w:t>de</w:t>
      </w:r>
      <w:r>
        <w:rPr>
          <w:spacing w:val="-6"/>
        </w:rPr>
        <w:t xml:space="preserve"> </w:t>
      </w:r>
      <w:r>
        <w:t>familias</w:t>
      </w:r>
      <w:r>
        <w:rPr>
          <w:spacing w:val="-7"/>
        </w:rPr>
        <w:t xml:space="preserve"> </w:t>
      </w:r>
      <w:r>
        <w:t>que</w:t>
      </w:r>
      <w:r>
        <w:rPr>
          <w:spacing w:val="-4"/>
        </w:rPr>
        <w:t xml:space="preserve"> </w:t>
      </w:r>
      <w:r>
        <w:t>perdieron</w:t>
      </w:r>
      <w:r>
        <w:rPr>
          <w:spacing w:val="-6"/>
        </w:rPr>
        <w:t xml:space="preserve"> </w:t>
      </w:r>
      <w:r>
        <w:t>su</w:t>
      </w:r>
      <w:r>
        <w:rPr>
          <w:spacing w:val="-7"/>
        </w:rPr>
        <w:t xml:space="preserve"> </w:t>
      </w:r>
      <w:r>
        <w:t>vivienda</w:t>
      </w:r>
      <w:r>
        <w:rPr>
          <w:spacing w:val="-6"/>
        </w:rPr>
        <w:t xml:space="preserve"> </w:t>
      </w:r>
      <w:r>
        <w:t>y</w:t>
      </w:r>
      <w:r>
        <w:rPr>
          <w:spacing w:val="-5"/>
        </w:rPr>
        <w:t xml:space="preserve"> </w:t>
      </w:r>
      <w:r>
        <w:t>edificaciones</w:t>
      </w:r>
      <w:r>
        <w:rPr>
          <w:spacing w:val="-7"/>
        </w:rPr>
        <w:t xml:space="preserve"> </w:t>
      </w:r>
      <w:r>
        <w:t>donde</w:t>
      </w:r>
      <w:r>
        <w:rPr>
          <w:spacing w:val="-3"/>
        </w:rPr>
        <w:t xml:space="preserve"> </w:t>
      </w:r>
      <w:r>
        <w:t>se</w:t>
      </w:r>
      <w:r>
        <w:rPr>
          <w:spacing w:val="-6"/>
        </w:rPr>
        <w:t xml:space="preserve"> </w:t>
      </w:r>
      <w:r>
        <w:t>encontraban emplazadas sus microempresas familiares, entre otros.</w:t>
      </w:r>
    </w:p>
    <w:p w:rsidR="00A84DE6" w:rsidRDefault="00A84DE6">
      <w:pPr>
        <w:pStyle w:val="Textoindependiente"/>
        <w:spacing w:before="161"/>
      </w:pPr>
    </w:p>
    <w:p w:rsidR="00A84DE6" w:rsidRDefault="00000000">
      <w:pPr>
        <w:pStyle w:val="Ttulo1"/>
        <w:numPr>
          <w:ilvl w:val="0"/>
          <w:numId w:val="1"/>
        </w:numPr>
        <w:tabs>
          <w:tab w:val="left" w:pos="1181"/>
        </w:tabs>
        <w:ind w:left="1181"/>
      </w:pPr>
      <w:r>
        <w:t xml:space="preserve">IDEA </w:t>
      </w:r>
      <w:r>
        <w:rPr>
          <w:spacing w:val="-2"/>
        </w:rPr>
        <w:t>MATIZ</w:t>
      </w:r>
    </w:p>
    <w:p w:rsidR="00A84DE6" w:rsidRDefault="00A84DE6">
      <w:pPr>
        <w:pStyle w:val="Textoindependiente"/>
        <w:rPr>
          <w:b/>
        </w:rPr>
      </w:pPr>
    </w:p>
    <w:p w:rsidR="00A84DE6" w:rsidRDefault="00A84DE6">
      <w:pPr>
        <w:pStyle w:val="Textoindependiente"/>
        <w:spacing w:before="1"/>
        <w:rPr>
          <w:b/>
        </w:rPr>
      </w:pPr>
    </w:p>
    <w:p w:rsidR="00A84DE6" w:rsidRDefault="00000000">
      <w:pPr>
        <w:pStyle w:val="Textoindependiente"/>
        <w:spacing w:line="360" w:lineRule="auto"/>
        <w:ind w:left="102" w:right="124" w:firstLine="707"/>
        <w:jc w:val="both"/>
      </w:pPr>
      <w:r>
        <w:t>Otorgar facilidades normativas para la reconstrucción del área afectada con incendios en la Región de Valparaíso.</w:t>
      </w:r>
    </w:p>
    <w:p w:rsidR="00A84DE6" w:rsidRDefault="00A84DE6">
      <w:pPr>
        <w:pStyle w:val="Textoindependiente"/>
        <w:spacing w:before="161"/>
      </w:pPr>
    </w:p>
    <w:p w:rsidR="00A84DE6" w:rsidRDefault="00000000">
      <w:pPr>
        <w:pStyle w:val="Ttulo1"/>
        <w:numPr>
          <w:ilvl w:val="0"/>
          <w:numId w:val="1"/>
        </w:numPr>
        <w:tabs>
          <w:tab w:val="left" w:pos="1181"/>
        </w:tabs>
        <w:ind w:left="1181"/>
      </w:pPr>
      <w:r>
        <w:t>PROYECTO</w:t>
      </w:r>
      <w:r>
        <w:rPr>
          <w:spacing w:val="-2"/>
        </w:rPr>
        <w:t xml:space="preserve"> </w:t>
      </w:r>
      <w:r>
        <w:t>DE</w:t>
      </w:r>
      <w:r>
        <w:rPr>
          <w:spacing w:val="-1"/>
        </w:rPr>
        <w:t xml:space="preserve"> </w:t>
      </w:r>
      <w:r>
        <w:rPr>
          <w:spacing w:val="-5"/>
        </w:rPr>
        <w:t>LEY</w:t>
      </w:r>
    </w:p>
    <w:p w:rsidR="00A84DE6" w:rsidRDefault="00A84DE6">
      <w:pPr>
        <w:pStyle w:val="Textoindependiente"/>
        <w:rPr>
          <w:b/>
        </w:rPr>
      </w:pPr>
    </w:p>
    <w:p w:rsidR="00A84DE6" w:rsidRDefault="00A84DE6">
      <w:pPr>
        <w:pStyle w:val="Textoindependiente"/>
        <w:spacing w:before="1"/>
        <w:rPr>
          <w:b/>
        </w:rPr>
      </w:pPr>
    </w:p>
    <w:p w:rsidR="00A84DE6" w:rsidRDefault="00000000">
      <w:pPr>
        <w:pStyle w:val="Textoindependiente"/>
        <w:spacing w:line="360" w:lineRule="auto"/>
        <w:ind w:left="102" w:right="115"/>
        <w:jc w:val="both"/>
      </w:pPr>
      <w:r>
        <w:rPr>
          <w:b/>
        </w:rPr>
        <w:t xml:space="preserve">Artículo primero: </w:t>
      </w:r>
      <w:r>
        <w:t>Agréguese un nuevo Título V a la Ley N°20.898, denominado: “Título V. Regularización de viviendas y otras edificaciones construidas en áreas afectadas</w:t>
      </w:r>
      <w:r>
        <w:rPr>
          <w:spacing w:val="-5"/>
        </w:rPr>
        <w:t xml:space="preserve"> </w:t>
      </w:r>
      <w:r>
        <w:t>por</w:t>
      </w:r>
      <w:r>
        <w:rPr>
          <w:spacing w:val="-3"/>
        </w:rPr>
        <w:t xml:space="preserve"> </w:t>
      </w:r>
      <w:r>
        <w:t>el</w:t>
      </w:r>
      <w:r>
        <w:rPr>
          <w:spacing w:val="-3"/>
        </w:rPr>
        <w:t xml:space="preserve"> </w:t>
      </w:r>
      <w:r>
        <w:t>mega</w:t>
      </w:r>
      <w:r>
        <w:rPr>
          <w:spacing w:val="-3"/>
        </w:rPr>
        <w:t xml:space="preserve"> </w:t>
      </w:r>
      <w:r>
        <w:t>incendio</w:t>
      </w:r>
      <w:r>
        <w:rPr>
          <w:spacing w:val="-3"/>
        </w:rPr>
        <w:t xml:space="preserve"> </w:t>
      </w:r>
      <w:r>
        <w:t>ocurrido</w:t>
      </w:r>
      <w:r>
        <w:rPr>
          <w:spacing w:val="-1"/>
        </w:rPr>
        <w:t xml:space="preserve"> </w:t>
      </w:r>
      <w:r>
        <w:t>en</w:t>
      </w:r>
      <w:r>
        <w:rPr>
          <w:spacing w:val="-3"/>
        </w:rPr>
        <w:t xml:space="preserve"> </w:t>
      </w:r>
      <w:r>
        <w:t>la</w:t>
      </w:r>
      <w:r>
        <w:rPr>
          <w:spacing w:val="-3"/>
        </w:rPr>
        <w:t xml:space="preserve"> </w:t>
      </w:r>
      <w:r>
        <w:t>Región</w:t>
      </w:r>
      <w:r>
        <w:rPr>
          <w:spacing w:val="-3"/>
        </w:rPr>
        <w:t xml:space="preserve"> </w:t>
      </w:r>
      <w:r>
        <w:t>de</w:t>
      </w:r>
      <w:r>
        <w:rPr>
          <w:spacing w:val="-3"/>
        </w:rPr>
        <w:t xml:space="preserve"> </w:t>
      </w:r>
      <w:r>
        <w:t>Valparaíso</w:t>
      </w:r>
      <w:r>
        <w:rPr>
          <w:spacing w:val="-1"/>
        </w:rPr>
        <w:t xml:space="preserve"> </w:t>
      </w:r>
      <w:r>
        <w:t>en</w:t>
      </w:r>
      <w:r>
        <w:rPr>
          <w:spacing w:val="-3"/>
        </w:rPr>
        <w:t xml:space="preserve"> </w:t>
      </w:r>
      <w:r>
        <w:t>el</w:t>
      </w:r>
      <w:r>
        <w:rPr>
          <w:spacing w:val="-3"/>
        </w:rPr>
        <w:t xml:space="preserve"> </w:t>
      </w:r>
      <w:r>
        <w:t>verano</w:t>
      </w:r>
      <w:r>
        <w:rPr>
          <w:spacing w:val="-3"/>
        </w:rPr>
        <w:t xml:space="preserve"> </w:t>
      </w:r>
      <w:r>
        <w:t xml:space="preserve">de </w:t>
      </w:r>
      <w:r>
        <w:rPr>
          <w:spacing w:val="-2"/>
        </w:rPr>
        <w:t>2024”.</w:t>
      </w:r>
    </w:p>
    <w:p w:rsidR="00A84DE6" w:rsidRDefault="00A84DE6">
      <w:pPr>
        <w:pStyle w:val="Textoindependiente"/>
        <w:spacing w:before="160"/>
      </w:pPr>
    </w:p>
    <w:p w:rsidR="00A84DE6" w:rsidRDefault="00000000">
      <w:pPr>
        <w:pStyle w:val="Textoindependiente"/>
        <w:spacing w:before="1" w:line="360" w:lineRule="auto"/>
        <w:ind w:left="102" w:right="116"/>
        <w:jc w:val="both"/>
      </w:pPr>
      <w:r>
        <w:rPr>
          <w:b/>
        </w:rPr>
        <w:t xml:space="preserve">Artículo segundo: </w:t>
      </w:r>
      <w:r>
        <w:t>Agréguese en el nuevo Título V de la Ley N°20.898, el siguiente artículo 17:</w:t>
      </w:r>
    </w:p>
    <w:p w:rsidR="00A84DE6" w:rsidRDefault="00A84DE6">
      <w:pPr>
        <w:spacing w:line="360" w:lineRule="auto"/>
        <w:jc w:val="both"/>
        <w:sectPr w:rsidR="00A84DE6">
          <w:pgSz w:w="12240" w:h="15840"/>
          <w:pgMar w:top="2220" w:right="1580" w:bottom="1160" w:left="1600" w:header="934" w:footer="969" w:gutter="0"/>
          <w:cols w:space="720"/>
        </w:sectPr>
      </w:pPr>
    </w:p>
    <w:p w:rsidR="00A84DE6" w:rsidRDefault="00A84DE6">
      <w:pPr>
        <w:pStyle w:val="Textoindependiente"/>
      </w:pPr>
    </w:p>
    <w:p w:rsidR="00A84DE6" w:rsidRDefault="00A84DE6">
      <w:pPr>
        <w:pStyle w:val="Textoindependiente"/>
        <w:spacing w:before="289"/>
      </w:pPr>
    </w:p>
    <w:p w:rsidR="00A84DE6" w:rsidRDefault="00000000">
      <w:pPr>
        <w:pStyle w:val="Textoindependiente"/>
        <w:spacing w:line="360" w:lineRule="auto"/>
        <w:ind w:left="810" w:right="116"/>
        <w:jc w:val="both"/>
      </w:pPr>
      <w:r>
        <w:t>“Serán aplicables Títulos I, II, IV, a excepción del artículo 15 de la presente ley, a las viviendas y edificaciones de microempresas familiares o equipamiento</w:t>
      </w:r>
      <w:r>
        <w:rPr>
          <w:spacing w:val="-3"/>
        </w:rPr>
        <w:t xml:space="preserve"> </w:t>
      </w:r>
      <w:r>
        <w:t>comunitario</w:t>
      </w:r>
      <w:r>
        <w:rPr>
          <w:spacing w:val="-4"/>
        </w:rPr>
        <w:t xml:space="preserve"> </w:t>
      </w:r>
      <w:r>
        <w:t>que</w:t>
      </w:r>
      <w:r>
        <w:rPr>
          <w:spacing w:val="-7"/>
        </w:rPr>
        <w:t xml:space="preserve"> </w:t>
      </w:r>
      <w:r>
        <w:t>se</w:t>
      </w:r>
      <w:r>
        <w:rPr>
          <w:spacing w:val="-4"/>
        </w:rPr>
        <w:t xml:space="preserve"> </w:t>
      </w:r>
      <w:r>
        <w:t>construyan</w:t>
      </w:r>
      <w:r>
        <w:rPr>
          <w:spacing w:val="-7"/>
        </w:rPr>
        <w:t xml:space="preserve"> </w:t>
      </w:r>
      <w:r>
        <w:t>en</w:t>
      </w:r>
      <w:r>
        <w:rPr>
          <w:spacing w:val="-4"/>
        </w:rPr>
        <w:t xml:space="preserve"> </w:t>
      </w:r>
      <w:r>
        <w:t>el</w:t>
      </w:r>
      <w:r>
        <w:rPr>
          <w:spacing w:val="-4"/>
        </w:rPr>
        <w:t xml:space="preserve"> </w:t>
      </w:r>
      <w:r>
        <w:t>área</w:t>
      </w:r>
      <w:r>
        <w:rPr>
          <w:spacing w:val="-7"/>
        </w:rPr>
        <w:t xml:space="preserve"> </w:t>
      </w:r>
      <w:r>
        <w:t>afectada</w:t>
      </w:r>
      <w:r>
        <w:rPr>
          <w:spacing w:val="-4"/>
        </w:rPr>
        <w:t xml:space="preserve"> </w:t>
      </w:r>
      <w:r>
        <w:t>por</w:t>
      </w:r>
      <w:r>
        <w:rPr>
          <w:spacing w:val="-6"/>
        </w:rPr>
        <w:t xml:space="preserve"> </w:t>
      </w:r>
      <w:r>
        <w:t>el</w:t>
      </w:r>
      <w:r>
        <w:rPr>
          <w:spacing w:val="-4"/>
        </w:rPr>
        <w:t xml:space="preserve"> </w:t>
      </w:r>
      <w:r>
        <w:t>mega incendio ocurrido en la Región de Valparaíso en el verano de 2024.</w:t>
      </w:r>
    </w:p>
    <w:p w:rsidR="00A84DE6" w:rsidRDefault="00A84DE6">
      <w:pPr>
        <w:pStyle w:val="Textoindependiente"/>
        <w:spacing w:before="163"/>
      </w:pPr>
    </w:p>
    <w:p w:rsidR="00A84DE6" w:rsidRDefault="00000000">
      <w:pPr>
        <w:pStyle w:val="Textoindependiente"/>
        <w:spacing w:line="360" w:lineRule="auto"/>
        <w:ind w:left="810" w:right="116"/>
        <w:jc w:val="both"/>
      </w:pPr>
      <w:r>
        <w:t>Los</w:t>
      </w:r>
      <w:r>
        <w:rPr>
          <w:spacing w:val="-13"/>
        </w:rPr>
        <w:t xml:space="preserve"> </w:t>
      </w:r>
      <w:r>
        <w:t>Cuerpos</w:t>
      </w:r>
      <w:r>
        <w:rPr>
          <w:spacing w:val="-13"/>
        </w:rPr>
        <w:t xml:space="preserve"> </w:t>
      </w:r>
      <w:r>
        <w:t>de</w:t>
      </w:r>
      <w:r>
        <w:rPr>
          <w:spacing w:val="-12"/>
        </w:rPr>
        <w:t xml:space="preserve"> </w:t>
      </w:r>
      <w:r>
        <w:t>Bomberos</w:t>
      </w:r>
      <w:r>
        <w:rPr>
          <w:spacing w:val="-13"/>
        </w:rPr>
        <w:t xml:space="preserve"> </w:t>
      </w:r>
      <w:r>
        <w:t>que</w:t>
      </w:r>
      <w:r>
        <w:rPr>
          <w:spacing w:val="-13"/>
        </w:rPr>
        <w:t xml:space="preserve"> </w:t>
      </w:r>
      <w:r>
        <w:t>participaron</w:t>
      </w:r>
      <w:r>
        <w:rPr>
          <w:spacing w:val="-13"/>
        </w:rPr>
        <w:t xml:space="preserve"> </w:t>
      </w:r>
      <w:r>
        <w:t>en</w:t>
      </w:r>
      <w:r>
        <w:rPr>
          <w:spacing w:val="-10"/>
        </w:rPr>
        <w:t xml:space="preserve"> </w:t>
      </w:r>
      <w:r>
        <w:t>la</w:t>
      </w:r>
      <w:r>
        <w:rPr>
          <w:spacing w:val="-12"/>
        </w:rPr>
        <w:t xml:space="preserve"> </w:t>
      </w:r>
      <w:r>
        <w:t>extinción</w:t>
      </w:r>
      <w:r>
        <w:rPr>
          <w:spacing w:val="-13"/>
        </w:rPr>
        <w:t xml:space="preserve"> </w:t>
      </w:r>
      <w:r>
        <w:t>del</w:t>
      </w:r>
      <w:r>
        <w:rPr>
          <w:spacing w:val="-10"/>
        </w:rPr>
        <w:t xml:space="preserve"> </w:t>
      </w:r>
      <w:r>
        <w:t>mega</w:t>
      </w:r>
      <w:r>
        <w:rPr>
          <w:spacing w:val="-12"/>
        </w:rPr>
        <w:t xml:space="preserve"> </w:t>
      </w:r>
      <w:r>
        <w:t>incendio de la Región de Valparaíso en el verano de 2024 podrán emitir certificados que acrediten que un inmueble en particular resultó siniestrado total o parcialmente en dicho incendio, el que servirá para los mismos fines indicados en el inciso anterior. Cada Cuerpo de Bomberos podrá emitir los certificados</w:t>
      </w:r>
      <w:r>
        <w:rPr>
          <w:spacing w:val="-7"/>
        </w:rPr>
        <w:t xml:space="preserve"> </w:t>
      </w:r>
      <w:r>
        <w:t>que</w:t>
      </w:r>
      <w:r>
        <w:rPr>
          <w:spacing w:val="-7"/>
        </w:rPr>
        <w:t xml:space="preserve"> </w:t>
      </w:r>
      <w:r>
        <w:t>correspondan</w:t>
      </w:r>
      <w:r>
        <w:rPr>
          <w:spacing w:val="-7"/>
        </w:rPr>
        <w:t xml:space="preserve"> </w:t>
      </w:r>
      <w:r>
        <w:t>a</w:t>
      </w:r>
      <w:r>
        <w:rPr>
          <w:spacing w:val="-7"/>
        </w:rPr>
        <w:t xml:space="preserve"> </w:t>
      </w:r>
      <w:r>
        <w:t>inmuebles</w:t>
      </w:r>
      <w:r>
        <w:rPr>
          <w:spacing w:val="-8"/>
        </w:rPr>
        <w:t xml:space="preserve"> </w:t>
      </w:r>
      <w:r>
        <w:t>emplazados</w:t>
      </w:r>
      <w:r>
        <w:rPr>
          <w:spacing w:val="-8"/>
        </w:rPr>
        <w:t xml:space="preserve"> </w:t>
      </w:r>
      <w:r>
        <w:t>en</w:t>
      </w:r>
      <w:r>
        <w:rPr>
          <w:spacing w:val="-7"/>
        </w:rPr>
        <w:t xml:space="preserve"> </w:t>
      </w:r>
      <w:r>
        <w:t>el</w:t>
      </w:r>
      <w:r>
        <w:rPr>
          <w:spacing w:val="-7"/>
        </w:rPr>
        <w:t xml:space="preserve"> </w:t>
      </w:r>
      <w:r>
        <w:t>área</w:t>
      </w:r>
      <w:r>
        <w:rPr>
          <w:spacing w:val="-7"/>
        </w:rPr>
        <w:t xml:space="preserve"> </w:t>
      </w:r>
      <w:r>
        <w:t>o</w:t>
      </w:r>
      <w:r>
        <w:rPr>
          <w:spacing w:val="-8"/>
        </w:rPr>
        <w:t xml:space="preserve"> </w:t>
      </w:r>
      <w:r>
        <w:t>territorio de su competencia. Para todos los efectos, el certificado será considerado instrumento público y deberá contener, al menos: número correlativo de certificado, título que refiera al mega incendio, fecha de emisión del certificado, dirección donde se ubica el inmueble, fecha aproximada en que se produjo el incendio del inmueble y nombre, firma y sello del Superintendente del Cuerpo de Bomberos respectivo. Cada institución deberá llevar un registro de los certificados que haya emitido.</w:t>
      </w:r>
    </w:p>
    <w:p w:rsidR="00A84DE6" w:rsidRDefault="00A84DE6">
      <w:pPr>
        <w:pStyle w:val="Textoindependiente"/>
        <w:spacing w:before="162"/>
      </w:pPr>
    </w:p>
    <w:p w:rsidR="00A84DE6" w:rsidRDefault="00000000">
      <w:pPr>
        <w:pStyle w:val="Textoindependiente"/>
        <w:spacing w:before="1" w:line="360" w:lineRule="auto"/>
        <w:ind w:left="810" w:right="117"/>
        <w:jc w:val="both"/>
      </w:pPr>
      <w:r>
        <w:t>Para</w:t>
      </w:r>
      <w:r>
        <w:rPr>
          <w:spacing w:val="-15"/>
        </w:rPr>
        <w:t xml:space="preserve"> </w:t>
      </w:r>
      <w:r>
        <w:t>los</w:t>
      </w:r>
      <w:r>
        <w:rPr>
          <w:spacing w:val="-15"/>
        </w:rPr>
        <w:t xml:space="preserve"> </w:t>
      </w:r>
      <w:r>
        <w:t>efectos</w:t>
      </w:r>
      <w:r>
        <w:rPr>
          <w:spacing w:val="-15"/>
        </w:rPr>
        <w:t xml:space="preserve"> </w:t>
      </w:r>
      <w:r>
        <w:t>de</w:t>
      </w:r>
      <w:r>
        <w:rPr>
          <w:spacing w:val="-15"/>
        </w:rPr>
        <w:t xml:space="preserve"> </w:t>
      </w:r>
      <w:r>
        <w:t>este</w:t>
      </w:r>
      <w:r>
        <w:rPr>
          <w:spacing w:val="-15"/>
        </w:rPr>
        <w:t xml:space="preserve"> </w:t>
      </w:r>
      <w:r>
        <w:t>artículo,</w:t>
      </w:r>
      <w:r>
        <w:rPr>
          <w:spacing w:val="-15"/>
        </w:rPr>
        <w:t xml:space="preserve"> </w:t>
      </w:r>
      <w:r>
        <w:t>los</w:t>
      </w:r>
      <w:r>
        <w:rPr>
          <w:spacing w:val="-15"/>
        </w:rPr>
        <w:t xml:space="preserve"> </w:t>
      </w:r>
      <w:r>
        <w:t>procedimientos</w:t>
      </w:r>
      <w:r>
        <w:rPr>
          <w:spacing w:val="-15"/>
        </w:rPr>
        <w:t xml:space="preserve"> </w:t>
      </w:r>
      <w:r>
        <w:t>de</w:t>
      </w:r>
      <w:r>
        <w:rPr>
          <w:spacing w:val="-15"/>
        </w:rPr>
        <w:t xml:space="preserve"> </w:t>
      </w:r>
      <w:r>
        <w:t>regularización</w:t>
      </w:r>
      <w:r>
        <w:rPr>
          <w:spacing w:val="-15"/>
        </w:rPr>
        <w:t xml:space="preserve"> </w:t>
      </w:r>
      <w:r>
        <w:t>deberán iniciarse antes del 01 de enero de 2028”.</w:t>
      </w:r>
    </w:p>
    <w:p w:rsidR="00A84DE6" w:rsidRDefault="00A84DE6">
      <w:pPr>
        <w:spacing w:line="360" w:lineRule="auto"/>
        <w:jc w:val="both"/>
        <w:sectPr w:rsidR="00A84DE6">
          <w:pgSz w:w="12240" w:h="15840"/>
          <w:pgMar w:top="2220" w:right="1580" w:bottom="1160" w:left="1600" w:header="934" w:footer="969" w:gutter="0"/>
          <w:cols w:space="720"/>
        </w:sectPr>
      </w:pPr>
    </w:p>
    <w:p w:rsidR="00A84DE6" w:rsidRDefault="00A84DE6">
      <w:pPr>
        <w:pStyle w:val="Textoindependiente"/>
        <w:spacing w:before="126"/>
      </w:pPr>
    </w:p>
    <w:p w:rsidR="00A84DE6" w:rsidRDefault="00000000">
      <w:pPr>
        <w:pStyle w:val="Ttulo1"/>
        <w:ind w:left="0" w:right="19" w:firstLine="0"/>
        <w:jc w:val="center"/>
      </w:pPr>
      <w:r>
        <w:t>CHRISTIAN</w:t>
      </w:r>
      <w:r>
        <w:rPr>
          <w:spacing w:val="-3"/>
        </w:rPr>
        <w:t xml:space="preserve"> </w:t>
      </w:r>
      <w:r>
        <w:t>MATHESON</w:t>
      </w:r>
      <w:r>
        <w:rPr>
          <w:spacing w:val="-3"/>
        </w:rPr>
        <w:t xml:space="preserve"> </w:t>
      </w:r>
      <w:r>
        <w:rPr>
          <w:spacing w:val="-2"/>
        </w:rPr>
        <w:t>VILLÁN</w:t>
      </w:r>
    </w:p>
    <w:p w:rsidR="00A84DE6" w:rsidRDefault="00000000">
      <w:pPr>
        <w:pStyle w:val="Textoindependiente"/>
        <w:spacing w:before="163"/>
        <w:ind w:left="3160"/>
      </w:pPr>
      <w:r>
        <w:t>H.D.</w:t>
      </w:r>
      <w:r>
        <w:rPr>
          <w:spacing w:val="-1"/>
        </w:rPr>
        <w:t xml:space="preserve"> </w:t>
      </w:r>
      <w:r>
        <w:t>DE</w:t>
      </w:r>
      <w:r>
        <w:rPr>
          <w:spacing w:val="-1"/>
        </w:rPr>
        <w:t xml:space="preserve"> </w:t>
      </w:r>
      <w:r>
        <w:t>LA</w:t>
      </w:r>
      <w:r>
        <w:rPr>
          <w:spacing w:val="-1"/>
        </w:rPr>
        <w:t xml:space="preserve"> </w:t>
      </w:r>
      <w:r>
        <w:rPr>
          <w:spacing w:val="-2"/>
        </w:rPr>
        <w:t>REPÚBLICA</w:t>
      </w:r>
    </w:p>
    <w:sectPr w:rsidR="00A84DE6">
      <w:pgSz w:w="12240" w:h="15840"/>
      <w:pgMar w:top="2220" w:right="1580" w:bottom="1160" w:left="1600" w:header="934"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B2FC1" w:rsidRDefault="002B2FC1">
      <w:r>
        <w:separator/>
      </w:r>
    </w:p>
  </w:endnote>
  <w:endnote w:type="continuationSeparator" w:id="0">
    <w:p w:rsidR="002B2FC1" w:rsidRDefault="002B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4DE6" w:rsidRDefault="00000000">
    <w:pPr>
      <w:pStyle w:val="Textoindependiente"/>
      <w:spacing w:line="14" w:lineRule="auto"/>
      <w:rPr>
        <w:sz w:val="20"/>
      </w:rPr>
    </w:pPr>
    <w:r>
      <w:rPr>
        <w:noProof/>
      </w:rPr>
      <mc:AlternateContent>
        <mc:Choice Requires="wps">
          <w:drawing>
            <wp:anchor distT="0" distB="0" distL="0" distR="0" simplePos="0" relativeHeight="487540224" behindDoc="1" locked="0" layoutInCell="1" allowOverlap="1">
              <wp:simplePos x="0" y="0"/>
              <wp:positionH relativeFrom="page">
                <wp:posOffset>6083046</wp:posOffset>
              </wp:positionH>
              <wp:positionV relativeFrom="page">
                <wp:posOffset>9303415</wp:posOffset>
              </wp:positionV>
              <wp:extent cx="624205" cy="1485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205" cy="148590"/>
                      </a:xfrm>
                      <a:prstGeom prst="rect">
                        <a:avLst/>
                      </a:prstGeom>
                    </wps:spPr>
                    <wps:txbx>
                      <w:txbxContent>
                        <w:p w:rsidR="00A84DE6" w:rsidRDefault="00000000">
                          <w:pPr>
                            <w:spacing w:before="15"/>
                            <w:ind w:left="20"/>
                            <w:rPr>
                              <w:rFonts w:ascii="Book Antiqua" w:hAnsi="Book Antiqua"/>
                              <w:b/>
                              <w:sz w:val="16"/>
                            </w:rPr>
                          </w:pPr>
                          <w:r>
                            <w:rPr>
                              <w:rFonts w:ascii="Book Antiqua" w:hAnsi="Book Antiqua"/>
                              <w:sz w:val="16"/>
                            </w:rPr>
                            <w:t>Página</w:t>
                          </w:r>
                          <w:r>
                            <w:rPr>
                              <w:rFonts w:ascii="Book Antiqua" w:hAnsi="Book Antiqua"/>
                              <w:spacing w:val="-2"/>
                              <w:sz w:val="16"/>
                            </w:rPr>
                            <w:t xml:space="preserve"> </w:t>
                          </w:r>
                          <w:r>
                            <w:rPr>
                              <w:rFonts w:ascii="Book Antiqua" w:hAnsi="Book Antiqua"/>
                              <w:b/>
                              <w:sz w:val="16"/>
                            </w:rPr>
                            <w:fldChar w:fldCharType="begin"/>
                          </w:r>
                          <w:r>
                            <w:rPr>
                              <w:rFonts w:ascii="Book Antiqua" w:hAnsi="Book Antiqua"/>
                              <w:b/>
                              <w:sz w:val="16"/>
                            </w:rPr>
                            <w:instrText xml:space="preserve"> PAGE </w:instrText>
                          </w:r>
                          <w:r>
                            <w:rPr>
                              <w:rFonts w:ascii="Book Antiqua" w:hAnsi="Book Antiqua"/>
                              <w:b/>
                              <w:sz w:val="16"/>
                            </w:rPr>
                            <w:fldChar w:fldCharType="separate"/>
                          </w:r>
                          <w:r>
                            <w:rPr>
                              <w:rFonts w:ascii="Book Antiqua" w:hAnsi="Book Antiqua"/>
                              <w:b/>
                              <w:sz w:val="16"/>
                            </w:rPr>
                            <w:t>1</w:t>
                          </w:r>
                          <w:r>
                            <w:rPr>
                              <w:rFonts w:ascii="Book Antiqua" w:hAnsi="Book Antiqua"/>
                              <w:b/>
                              <w:sz w:val="16"/>
                            </w:rPr>
                            <w:fldChar w:fldCharType="end"/>
                          </w:r>
                          <w:r>
                            <w:rPr>
                              <w:rFonts w:ascii="Book Antiqua" w:hAnsi="Book Antiqua"/>
                              <w:b/>
                              <w:sz w:val="16"/>
                            </w:rPr>
                            <w:t xml:space="preserve"> </w:t>
                          </w:r>
                          <w:r>
                            <w:rPr>
                              <w:rFonts w:ascii="Book Antiqua" w:hAnsi="Book Antiqua"/>
                              <w:sz w:val="16"/>
                            </w:rPr>
                            <w:t>de</w:t>
                          </w:r>
                          <w:r>
                            <w:rPr>
                              <w:rFonts w:ascii="Book Antiqua" w:hAnsi="Book Antiqua"/>
                              <w:spacing w:val="-3"/>
                              <w:sz w:val="16"/>
                            </w:rPr>
                            <w:t xml:space="preserve"> </w:t>
                          </w:r>
                          <w:r>
                            <w:rPr>
                              <w:rFonts w:ascii="Book Antiqua" w:hAnsi="Book Antiqua"/>
                              <w:b/>
                              <w:spacing w:val="-10"/>
                              <w:sz w:val="16"/>
                            </w:rPr>
                            <w:fldChar w:fldCharType="begin"/>
                          </w:r>
                          <w:r>
                            <w:rPr>
                              <w:rFonts w:ascii="Book Antiqua" w:hAnsi="Book Antiqua"/>
                              <w:b/>
                              <w:spacing w:val="-10"/>
                              <w:sz w:val="16"/>
                            </w:rPr>
                            <w:instrText xml:space="preserve"> NUMPAGES </w:instrText>
                          </w:r>
                          <w:r>
                            <w:rPr>
                              <w:rFonts w:ascii="Book Antiqua" w:hAnsi="Book Antiqua"/>
                              <w:b/>
                              <w:spacing w:val="-10"/>
                              <w:sz w:val="16"/>
                            </w:rPr>
                            <w:fldChar w:fldCharType="separate"/>
                          </w:r>
                          <w:r>
                            <w:rPr>
                              <w:rFonts w:ascii="Book Antiqua" w:hAnsi="Book Antiqua"/>
                              <w:b/>
                              <w:spacing w:val="-10"/>
                              <w:sz w:val="16"/>
                            </w:rPr>
                            <w:t>4</w:t>
                          </w:r>
                          <w:r>
                            <w:rPr>
                              <w:rFonts w:ascii="Book Antiqua" w:hAnsi="Book Antiqua"/>
                              <w:b/>
                              <w:spacing w:val="-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79pt;margin-top:732.55pt;width:49.15pt;height:11.7pt;z-index:-1577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" filled="f" stroked="f">
              <v:textbox inset="0,0,0,0">
                <w:txbxContent>
                  <w:p w:rsidR="00A84DE6" w:rsidRDefault="00000000">
                    <w:pPr>
                      <w:spacing w:before="15"/>
                      <w:ind w:left="20"/>
                      <w:rPr>
                        <w:rFonts w:ascii="Book Antiqua" w:hAnsi="Book Antiqua"/>
                        <w:b/>
                        <w:sz w:val="16"/>
                      </w:rPr>
                    </w:pPr>
                    <w:r>
                      <w:rPr>
                        <w:rFonts w:ascii="Book Antiqua" w:hAnsi="Book Antiqua"/>
                        <w:sz w:val="16"/>
                      </w:rPr>
                      <w:t>Página</w:t>
                    </w:r>
                    <w:r>
                      <w:rPr>
                        <w:rFonts w:ascii="Book Antiqua" w:hAnsi="Book Antiqua"/>
                        <w:spacing w:val="-2"/>
                        <w:sz w:val="16"/>
                      </w:rPr>
                      <w:t xml:space="preserve"> </w:t>
                    </w:r>
                    <w:r>
                      <w:rPr>
                        <w:rFonts w:ascii="Book Antiqua" w:hAnsi="Book Antiqua"/>
                        <w:b/>
                        <w:sz w:val="16"/>
                      </w:rPr>
                      <w:fldChar w:fldCharType="begin"/>
                    </w:r>
                    <w:r>
                      <w:rPr>
                        <w:rFonts w:ascii="Book Antiqua" w:hAnsi="Book Antiqua"/>
                        <w:b/>
                        <w:sz w:val="16"/>
                      </w:rPr>
                      <w:instrText xml:space="preserve"> PAGE </w:instrText>
                    </w:r>
                    <w:r>
                      <w:rPr>
                        <w:rFonts w:ascii="Book Antiqua" w:hAnsi="Book Antiqua"/>
                        <w:b/>
                        <w:sz w:val="16"/>
                      </w:rPr>
                      <w:fldChar w:fldCharType="separate"/>
                    </w:r>
                    <w:r>
                      <w:rPr>
                        <w:rFonts w:ascii="Book Antiqua" w:hAnsi="Book Antiqua"/>
                        <w:b/>
                        <w:sz w:val="16"/>
                      </w:rPr>
                      <w:t>1</w:t>
                    </w:r>
                    <w:r>
                      <w:rPr>
                        <w:rFonts w:ascii="Book Antiqua" w:hAnsi="Book Antiqua"/>
                        <w:b/>
                        <w:sz w:val="16"/>
                      </w:rPr>
                      <w:fldChar w:fldCharType="end"/>
                    </w:r>
                    <w:r>
                      <w:rPr>
                        <w:rFonts w:ascii="Book Antiqua" w:hAnsi="Book Antiqua"/>
                        <w:b/>
                        <w:sz w:val="16"/>
                      </w:rPr>
                      <w:t xml:space="preserve"> </w:t>
                    </w:r>
                    <w:r>
                      <w:rPr>
                        <w:rFonts w:ascii="Book Antiqua" w:hAnsi="Book Antiqua"/>
                        <w:sz w:val="16"/>
                      </w:rPr>
                      <w:t>de</w:t>
                    </w:r>
                    <w:r>
                      <w:rPr>
                        <w:rFonts w:ascii="Book Antiqua" w:hAnsi="Book Antiqua"/>
                        <w:spacing w:val="-3"/>
                        <w:sz w:val="16"/>
                      </w:rPr>
                      <w:t xml:space="preserve"> </w:t>
                    </w:r>
                    <w:r>
                      <w:rPr>
                        <w:rFonts w:ascii="Book Antiqua" w:hAnsi="Book Antiqua"/>
                        <w:b/>
                        <w:spacing w:val="-10"/>
                        <w:sz w:val="16"/>
                      </w:rPr>
                      <w:fldChar w:fldCharType="begin"/>
                    </w:r>
                    <w:r>
                      <w:rPr>
                        <w:rFonts w:ascii="Book Antiqua" w:hAnsi="Book Antiqua"/>
                        <w:b/>
                        <w:spacing w:val="-10"/>
                        <w:sz w:val="16"/>
                      </w:rPr>
                      <w:instrText xml:space="preserve"> NUMPAGES </w:instrText>
                    </w:r>
                    <w:r>
                      <w:rPr>
                        <w:rFonts w:ascii="Book Antiqua" w:hAnsi="Book Antiqua"/>
                        <w:b/>
                        <w:spacing w:val="-10"/>
                        <w:sz w:val="16"/>
                      </w:rPr>
                      <w:fldChar w:fldCharType="separate"/>
                    </w:r>
                    <w:r>
                      <w:rPr>
                        <w:rFonts w:ascii="Book Antiqua" w:hAnsi="Book Antiqua"/>
                        <w:b/>
                        <w:spacing w:val="-10"/>
                        <w:sz w:val="16"/>
                      </w:rPr>
                      <w:t>4</w:t>
                    </w:r>
                    <w:r>
                      <w:rPr>
                        <w:rFonts w:ascii="Book Antiqua" w:hAnsi="Book Antiqua"/>
                        <w:b/>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B2FC1" w:rsidRDefault="002B2FC1">
      <w:r>
        <w:separator/>
      </w:r>
    </w:p>
  </w:footnote>
  <w:footnote w:type="continuationSeparator" w:id="0">
    <w:p w:rsidR="002B2FC1" w:rsidRDefault="002B2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4DE6" w:rsidRDefault="00000000">
    <w:pPr>
      <w:pStyle w:val="Textoindependiente"/>
      <w:spacing w:line="14" w:lineRule="auto"/>
      <w:rPr>
        <w:sz w:val="20"/>
      </w:rPr>
    </w:pPr>
    <w:r>
      <w:rPr>
        <w:noProof/>
      </w:rPr>
      <w:drawing>
        <wp:anchor distT="0" distB="0" distL="0" distR="0" simplePos="0" relativeHeight="487539712" behindDoc="1" locked="0" layoutInCell="1" allowOverlap="1">
          <wp:simplePos x="0" y="0"/>
          <wp:positionH relativeFrom="page">
            <wp:posOffset>3513321</wp:posOffset>
          </wp:positionH>
          <wp:positionV relativeFrom="page">
            <wp:posOffset>593337</wp:posOffset>
          </wp:positionV>
          <wp:extent cx="862563" cy="82660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62563" cy="82660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B42308"/>
    <w:multiLevelType w:val="hybridMultilevel"/>
    <w:tmpl w:val="2FA8B160"/>
    <w:lvl w:ilvl="0" w:tplc="32728C28">
      <w:start w:val="1"/>
      <w:numFmt w:val="upperRoman"/>
      <w:lvlText w:val="%1."/>
      <w:lvlJc w:val="left"/>
      <w:pPr>
        <w:ind w:left="1182" w:hanging="720"/>
        <w:jc w:val="left"/>
      </w:pPr>
      <w:rPr>
        <w:rFonts w:ascii="Palatino Linotype" w:eastAsia="Palatino Linotype" w:hAnsi="Palatino Linotype" w:cs="Palatino Linotype" w:hint="default"/>
        <w:b/>
        <w:bCs/>
        <w:i w:val="0"/>
        <w:iCs w:val="0"/>
        <w:spacing w:val="0"/>
        <w:w w:val="100"/>
        <w:sz w:val="24"/>
        <w:szCs w:val="24"/>
        <w:lang w:val="es-ES" w:eastAsia="en-US" w:bidi="ar-SA"/>
      </w:rPr>
    </w:lvl>
    <w:lvl w:ilvl="1" w:tplc="4EE04F96">
      <w:numFmt w:val="bullet"/>
      <w:lvlText w:val="•"/>
      <w:lvlJc w:val="left"/>
      <w:pPr>
        <w:ind w:left="1968" w:hanging="720"/>
      </w:pPr>
      <w:rPr>
        <w:rFonts w:hint="default"/>
        <w:lang w:val="es-ES" w:eastAsia="en-US" w:bidi="ar-SA"/>
      </w:rPr>
    </w:lvl>
    <w:lvl w:ilvl="2" w:tplc="AED6F1C6">
      <w:numFmt w:val="bullet"/>
      <w:lvlText w:val="•"/>
      <w:lvlJc w:val="left"/>
      <w:pPr>
        <w:ind w:left="2756" w:hanging="720"/>
      </w:pPr>
      <w:rPr>
        <w:rFonts w:hint="default"/>
        <w:lang w:val="es-ES" w:eastAsia="en-US" w:bidi="ar-SA"/>
      </w:rPr>
    </w:lvl>
    <w:lvl w:ilvl="3" w:tplc="CAA0FC4E">
      <w:numFmt w:val="bullet"/>
      <w:lvlText w:val="•"/>
      <w:lvlJc w:val="left"/>
      <w:pPr>
        <w:ind w:left="3544" w:hanging="720"/>
      </w:pPr>
      <w:rPr>
        <w:rFonts w:hint="default"/>
        <w:lang w:val="es-ES" w:eastAsia="en-US" w:bidi="ar-SA"/>
      </w:rPr>
    </w:lvl>
    <w:lvl w:ilvl="4" w:tplc="F19A5886">
      <w:numFmt w:val="bullet"/>
      <w:lvlText w:val="•"/>
      <w:lvlJc w:val="left"/>
      <w:pPr>
        <w:ind w:left="4332" w:hanging="720"/>
      </w:pPr>
      <w:rPr>
        <w:rFonts w:hint="default"/>
        <w:lang w:val="es-ES" w:eastAsia="en-US" w:bidi="ar-SA"/>
      </w:rPr>
    </w:lvl>
    <w:lvl w:ilvl="5" w:tplc="8026CC92">
      <w:numFmt w:val="bullet"/>
      <w:lvlText w:val="•"/>
      <w:lvlJc w:val="left"/>
      <w:pPr>
        <w:ind w:left="5120" w:hanging="720"/>
      </w:pPr>
      <w:rPr>
        <w:rFonts w:hint="default"/>
        <w:lang w:val="es-ES" w:eastAsia="en-US" w:bidi="ar-SA"/>
      </w:rPr>
    </w:lvl>
    <w:lvl w:ilvl="6" w:tplc="8BC0DE2E">
      <w:numFmt w:val="bullet"/>
      <w:lvlText w:val="•"/>
      <w:lvlJc w:val="left"/>
      <w:pPr>
        <w:ind w:left="5908" w:hanging="720"/>
      </w:pPr>
      <w:rPr>
        <w:rFonts w:hint="default"/>
        <w:lang w:val="es-ES" w:eastAsia="en-US" w:bidi="ar-SA"/>
      </w:rPr>
    </w:lvl>
    <w:lvl w:ilvl="7" w:tplc="2B68A724">
      <w:numFmt w:val="bullet"/>
      <w:lvlText w:val="•"/>
      <w:lvlJc w:val="left"/>
      <w:pPr>
        <w:ind w:left="6696" w:hanging="720"/>
      </w:pPr>
      <w:rPr>
        <w:rFonts w:hint="default"/>
        <w:lang w:val="es-ES" w:eastAsia="en-US" w:bidi="ar-SA"/>
      </w:rPr>
    </w:lvl>
    <w:lvl w:ilvl="8" w:tplc="81D2E516">
      <w:numFmt w:val="bullet"/>
      <w:lvlText w:val="•"/>
      <w:lvlJc w:val="left"/>
      <w:pPr>
        <w:ind w:left="7484" w:hanging="720"/>
      </w:pPr>
      <w:rPr>
        <w:rFonts w:hint="default"/>
        <w:lang w:val="es-ES" w:eastAsia="en-US" w:bidi="ar-SA"/>
      </w:rPr>
    </w:lvl>
  </w:abstractNum>
  <w:num w:numId="1" w16cid:durableId="1304460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84DE6"/>
    <w:rsid w:val="002B2FC1"/>
    <w:rsid w:val="00477BA6"/>
    <w:rsid w:val="00A84DE6"/>
    <w:rsid w:val="00FA1AD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9A0FD6-EE2A-4805-ACE8-70EF5CA8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ind w:left="1181" w:hanging="72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81"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mol.com/noticias/Nacional/2024/02/15/1121815/cigiden-informe-danos-incendi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3115</Characters>
  <Application>Microsoft Office Word</Application>
  <DocSecurity>0</DocSecurity>
  <Lines>25</Lines>
  <Paragraphs>7</Paragraphs>
  <ScaleCrop>false</ScaleCrop>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Oficina Magallanes;TM;IAGC</dc:creator>
  <cp:lastModifiedBy>Guillermo Diaz Vallejos</cp:lastModifiedBy>
  <cp:revision>1</cp:revision>
  <dcterms:created xsi:type="dcterms:W3CDTF">2024-07-12T15:56:00Z</dcterms:created>
  <dcterms:modified xsi:type="dcterms:W3CDTF">2024-07-31T14:48:00Z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2024-07-12T00:00:00Z</vt:filetime>
  </property>
  <property fmtid="{D5CDD505-2E9C-101B-9397-08002B2CF9AE}" pid="3" name="Creator">
    <vt:lpwstr>Microsoft® Word para Microsoft 365</vt:lpwstr>
  </property>
  <property fmtid="{D5CDD505-2E9C-101B-9397-08002B2CF9AE}" pid="4" name="LastSaved">
    <vt:filetime>2024-07-12T00:00:00Z</vt:filetime>
  </property>
  <property fmtid="{D5CDD505-2E9C-101B-9397-08002B2CF9AE}" pid="5" name="Producer">
    <vt:lpwstr>Microsoft® Word para Microsoft 365</vt:lpwstr>
  </property>
</Properties>
</file>