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CAB" w:rsidRDefault="00000000">
      <w:pPr>
        <w:pStyle w:val="Textoindependiente"/>
        <w:ind w:left="19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1162" cy="914400"/>
            <wp:effectExtent l="0" t="0" r="0" b="0"/>
            <wp:docPr id="1" name="Image 1" descr="Logo de la Cámara de Diputados de Ch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ámara de Diputados de Chil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1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CAB" w:rsidRDefault="000B7CAB">
      <w:pPr>
        <w:pStyle w:val="Textoindependiente"/>
        <w:spacing w:before="117"/>
        <w:ind w:left="0"/>
        <w:jc w:val="left"/>
        <w:rPr>
          <w:rFonts w:ascii="Times New Roman"/>
          <w:sz w:val="28"/>
        </w:rPr>
      </w:pPr>
    </w:p>
    <w:p w:rsidR="000B7CAB" w:rsidRDefault="00000000">
      <w:pPr>
        <w:pStyle w:val="Ttulo"/>
        <w:spacing w:line="362" w:lineRule="auto"/>
        <w:rPr>
          <w:u w:val="none"/>
        </w:rPr>
      </w:pPr>
      <w:r>
        <w:t>Proyecto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18.410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crear</w:t>
      </w:r>
      <w:r>
        <w:rPr>
          <w:spacing w:val="-3"/>
        </w:rPr>
        <w:t xml:space="preserve"> </w:t>
      </w:r>
      <w:r>
        <w:t>la</w:t>
      </w:r>
      <w:r>
        <w:rPr>
          <w:u w:val="none"/>
        </w:rPr>
        <w:t xml:space="preserve"> </w:t>
      </w:r>
      <w:r>
        <w:t>infracción de no reparar oportunamente el servicio electrico.</w:t>
      </w:r>
    </w:p>
    <w:p w:rsidR="000B7CAB" w:rsidRDefault="000B7CAB">
      <w:pPr>
        <w:pStyle w:val="Textoindependiente"/>
        <w:ind w:left="0"/>
        <w:jc w:val="left"/>
        <w:rPr>
          <w:b/>
        </w:rPr>
      </w:pPr>
    </w:p>
    <w:p w:rsidR="000B7CAB" w:rsidRDefault="000B7CAB">
      <w:pPr>
        <w:pStyle w:val="Textoindependiente"/>
        <w:ind w:left="0"/>
        <w:jc w:val="left"/>
        <w:rPr>
          <w:b/>
        </w:rPr>
      </w:pPr>
    </w:p>
    <w:p w:rsidR="000B7CAB" w:rsidRDefault="000B7CAB">
      <w:pPr>
        <w:pStyle w:val="Textoindependiente"/>
        <w:spacing w:before="61"/>
        <w:ind w:left="0"/>
        <w:jc w:val="left"/>
        <w:rPr>
          <w:b/>
        </w:rPr>
      </w:pPr>
    </w:p>
    <w:p w:rsidR="000B7CAB" w:rsidRDefault="00000000">
      <w:pPr>
        <w:pStyle w:val="Ttulo1"/>
        <w:numPr>
          <w:ilvl w:val="0"/>
          <w:numId w:val="1"/>
        </w:numPr>
        <w:tabs>
          <w:tab w:val="left" w:pos="1181"/>
        </w:tabs>
        <w:ind w:left="1181"/>
      </w:pPr>
      <w:r>
        <w:t>IDEAS</w:t>
      </w:r>
      <w:r>
        <w:rPr>
          <w:spacing w:val="-2"/>
        </w:rPr>
        <w:t xml:space="preserve"> GENERALES</w:t>
      </w:r>
    </w:p>
    <w:p w:rsidR="000B7CAB" w:rsidRDefault="000B7CAB">
      <w:pPr>
        <w:pStyle w:val="Textoindependiente"/>
        <w:spacing w:before="62"/>
        <w:ind w:left="0"/>
        <w:jc w:val="left"/>
        <w:rPr>
          <w:b/>
        </w:rPr>
      </w:pPr>
    </w:p>
    <w:p w:rsidR="000B7CAB" w:rsidRDefault="00000000">
      <w:pPr>
        <w:pStyle w:val="Textoindependiente"/>
        <w:spacing w:line="360" w:lineRule="auto"/>
        <w:ind w:right="115" w:firstLine="359"/>
      </w:pPr>
      <w:r>
        <w:t>Luego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lluvias y vientos</w:t>
      </w:r>
      <w:r>
        <w:rPr>
          <w:spacing w:val="-2"/>
        </w:rPr>
        <w:t xml:space="preserve"> </w:t>
      </w:r>
      <w:r>
        <w:t>que afectaron a todo</w:t>
      </w:r>
      <w:r>
        <w:rPr>
          <w:spacing w:val="-3"/>
        </w:rPr>
        <w:t xml:space="preserve"> </w:t>
      </w:r>
      <w:r>
        <w:t>el país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viernes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sábado 3 de</w:t>
      </w:r>
      <w:r>
        <w:rPr>
          <w:spacing w:val="-2"/>
        </w:rPr>
        <w:t xml:space="preserve"> </w:t>
      </w:r>
      <w:r>
        <w:t>agosto, se produjeron cortes de suministro eléctrico en varias comunas del país. Los cortes han dejado a miles de personas sin electricidad durante varios días, y se espera que el servicio solo se restablezca entre el martes 6 y miércoles 7 del mes en curso.</w:t>
      </w:r>
    </w:p>
    <w:p w:rsidR="000B7CAB" w:rsidRDefault="00000000">
      <w:pPr>
        <w:pStyle w:val="Textoindependiente"/>
        <w:spacing w:before="200" w:line="362" w:lineRule="auto"/>
        <w:ind w:right="114" w:firstLine="359"/>
      </w:pPr>
      <w:r>
        <w:t>Esta situación ha generado un gran malestar entre los ciudadanos afectados, quienes han tenido que enfrentar graves inconvenientes, como la pérdida de alimentos y medicamentos, además de la interrupción de actividades comerciales y educativas.</w:t>
      </w:r>
    </w:p>
    <w:p w:rsidR="000B7CAB" w:rsidRDefault="00000000">
      <w:pPr>
        <w:pStyle w:val="Textoindependiente"/>
        <w:spacing w:before="193" w:line="360" w:lineRule="auto"/>
        <w:ind w:right="115" w:firstLine="359"/>
      </w:pPr>
      <w:r>
        <w:t>Múltiples</w:t>
      </w:r>
      <w:r>
        <w:rPr>
          <w:spacing w:val="-10"/>
        </w:rPr>
        <w:t xml:space="preserve"> </w:t>
      </w:r>
      <w:r>
        <w:t>autoridades,</w:t>
      </w:r>
      <w:r>
        <w:rPr>
          <w:spacing w:val="-7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ellos,</w:t>
      </w:r>
      <w:r>
        <w:rPr>
          <w:spacing w:val="-8"/>
        </w:rPr>
        <w:t xml:space="preserve"> </w:t>
      </w:r>
      <w:r>
        <w:t>alcaldes,</w:t>
      </w:r>
      <w:r>
        <w:rPr>
          <w:spacing w:val="-8"/>
        </w:rPr>
        <w:t xml:space="preserve"> </w:t>
      </w:r>
      <w:r>
        <w:t>diputados,</w:t>
      </w:r>
      <w:r>
        <w:rPr>
          <w:spacing w:val="-7"/>
        </w:rPr>
        <w:t xml:space="preserve"> </w:t>
      </w:r>
      <w:r>
        <w:t>senadores,</w:t>
      </w:r>
      <w:r>
        <w:rPr>
          <w:spacing w:val="-7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otros,</w:t>
      </w:r>
      <w:r>
        <w:rPr>
          <w:spacing w:val="-5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expresado su descontento por la inacción de las empresas electricas y han anunciado que presentarán recursos de protección y demandas contra la compañías.</w:t>
      </w:r>
    </w:p>
    <w:p w:rsidR="000B7CAB" w:rsidRDefault="00000000">
      <w:pPr>
        <w:pStyle w:val="Textoindependiente"/>
        <w:spacing w:before="201" w:line="360" w:lineRule="auto"/>
        <w:ind w:right="115" w:firstLine="359"/>
      </w:pPr>
      <w:r>
        <w:t>En respuesta a la crisis, los municipios han tomado diversas medidas de emergencia, como habilitar edificios municipales para que los vecinos puedan cargar sus celulares y equipos eléctricos, y proporcionar redes Wi-Fi y generadores eléctricos para situaciones críticas.</w:t>
      </w:r>
    </w:p>
    <w:p w:rsidR="000B7CAB" w:rsidRDefault="00000000">
      <w:pPr>
        <w:pStyle w:val="Textoindependiente"/>
        <w:spacing w:before="199" w:line="360" w:lineRule="auto"/>
        <w:ind w:right="114" w:firstLine="359"/>
      </w:pPr>
      <w:r>
        <w:t>Además de la falta de electricidad, muchos vecinos han perdido alimentos debido a la falta de refrigeración, y han sufrido daños materiales significativos, incluyendo la caída de postes eléctricos y árboles, así como la destrucción de viviendas. La falta de acción rápida y eficiente por parte de las empresas electricas ha exacerbado estas dificultades, generando un clima de frustración y desesperación entre los afectados.</w:t>
      </w:r>
    </w:p>
    <w:p w:rsidR="000B7CAB" w:rsidRDefault="00000000">
      <w:pPr>
        <w:pStyle w:val="Textoindependiente"/>
        <w:spacing w:before="200" w:line="362" w:lineRule="auto"/>
        <w:ind w:right="116" w:firstLine="359"/>
      </w:pPr>
      <w:r>
        <w:t>Otra</w:t>
      </w:r>
      <w:r>
        <w:rPr>
          <w:spacing w:val="-15"/>
        </w:rPr>
        <w:t xml:space="preserve"> </w:t>
      </w:r>
      <w:r>
        <w:t>consecuencia</w:t>
      </w:r>
      <w:r>
        <w:rPr>
          <w:spacing w:val="-15"/>
        </w:rPr>
        <w:t xml:space="preserve"> </w:t>
      </w:r>
      <w:r>
        <w:t>importante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estos</w:t>
      </w:r>
      <w:r>
        <w:rPr>
          <w:spacing w:val="-15"/>
        </w:rPr>
        <w:t xml:space="preserve"> </w:t>
      </w:r>
      <w:r>
        <w:t>cortes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suspensión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clases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muchas</w:t>
      </w:r>
      <w:r>
        <w:rPr>
          <w:spacing w:val="-15"/>
        </w:rPr>
        <w:t xml:space="preserve"> </w:t>
      </w:r>
      <w:r>
        <w:t>comunas. Miles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niños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visto</w:t>
      </w:r>
      <w:r>
        <w:rPr>
          <w:spacing w:val="-12"/>
        </w:rPr>
        <w:t xml:space="preserve"> </w:t>
      </w:r>
      <w:r>
        <w:t>privados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derecho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educación</w:t>
      </w:r>
      <w:r>
        <w:rPr>
          <w:spacing w:val="-11"/>
        </w:rPr>
        <w:t xml:space="preserve"> </w:t>
      </w:r>
      <w:r>
        <w:t>debido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falta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electricidad en las escuelas.</w:t>
      </w:r>
    </w:p>
    <w:p w:rsidR="000B7CAB" w:rsidRDefault="000B7CAB">
      <w:pPr>
        <w:pStyle w:val="Textoindependiente"/>
        <w:ind w:left="0"/>
        <w:jc w:val="left"/>
      </w:pPr>
    </w:p>
    <w:p w:rsidR="000B7CAB" w:rsidRDefault="000B7CAB">
      <w:pPr>
        <w:pStyle w:val="Textoindependiente"/>
        <w:spacing w:before="260"/>
        <w:ind w:left="0"/>
        <w:jc w:val="left"/>
      </w:pPr>
    </w:p>
    <w:p w:rsidR="000B7CAB" w:rsidRDefault="00000000">
      <w:pPr>
        <w:pStyle w:val="Ttulo1"/>
        <w:numPr>
          <w:ilvl w:val="0"/>
          <w:numId w:val="1"/>
        </w:numPr>
        <w:tabs>
          <w:tab w:val="left" w:pos="1181"/>
        </w:tabs>
        <w:ind w:left="1181"/>
      </w:pPr>
      <w:r>
        <w:rPr>
          <w:spacing w:val="-2"/>
        </w:rPr>
        <w:t>CONSIDERACIONES</w:t>
      </w:r>
    </w:p>
    <w:p w:rsidR="000B7CAB" w:rsidRDefault="000B7CAB">
      <w:pPr>
        <w:pStyle w:val="Textoindependiente"/>
        <w:spacing w:before="63"/>
        <w:ind w:left="0"/>
        <w:jc w:val="left"/>
        <w:rPr>
          <w:b/>
        </w:rPr>
      </w:pPr>
    </w:p>
    <w:p w:rsidR="000B7CAB" w:rsidRDefault="00000000">
      <w:pPr>
        <w:pStyle w:val="Textoindependiente"/>
        <w:spacing w:line="360" w:lineRule="auto"/>
        <w:ind w:right="115" w:firstLine="359"/>
      </w:pPr>
      <w:r>
        <w:t>La electricidad es de suma importancia para la vida diaria de los ciudadanos, impactando tanto en sus actividades económicas como en su vida personal, su seguridad y calidad de vida. Esta</w:t>
      </w:r>
      <w:r>
        <w:rPr>
          <w:spacing w:val="-10"/>
        </w:rPr>
        <w:t xml:space="preserve"> </w:t>
      </w:r>
      <w:r>
        <w:t>actividad</w:t>
      </w:r>
      <w:r>
        <w:rPr>
          <w:spacing w:val="-12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regulada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Fuerza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Ministerio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Economía, Fomento y Reconstrucción, que establece el texto refundido, coordinado y sistematizado de la</w:t>
      </w:r>
    </w:p>
    <w:p w:rsidR="000B7CAB" w:rsidRDefault="000B7CAB">
      <w:pPr>
        <w:spacing w:line="360" w:lineRule="auto"/>
        <w:sectPr w:rsidR="000B7CAB">
          <w:type w:val="continuous"/>
          <w:pgSz w:w="12240" w:h="20160"/>
          <w:pgMar w:top="1580" w:right="1580" w:bottom="280" w:left="1600" w:header="720" w:footer="720" w:gutter="0"/>
          <w:cols w:space="720"/>
        </w:sectPr>
      </w:pPr>
    </w:p>
    <w:p w:rsidR="000B7CAB" w:rsidRDefault="00000000">
      <w:pPr>
        <w:pStyle w:val="Textoindependiente"/>
        <w:spacing w:before="78" w:line="362" w:lineRule="auto"/>
        <w:ind w:right="115"/>
      </w:pPr>
      <w:r>
        <w:lastRenderedPageBreak/>
        <w:t>Ley General de Servicios Eléctricos en materia de energía eléctrica; y por la Ley N° 18.410 que crea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Superintendencia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Electricidad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Combustibles,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reglamentaria.</w:t>
      </w:r>
    </w:p>
    <w:p w:rsidR="000B7CAB" w:rsidRDefault="00000000">
      <w:pPr>
        <w:pStyle w:val="Textoindependiente"/>
        <w:spacing w:before="195" w:line="360" w:lineRule="auto"/>
        <w:ind w:right="114" w:firstLine="359"/>
      </w:pPr>
      <w:r>
        <w:t>La Ley N° 18.410, promulgada en Chile, establece la creación de la Superintendencia de Electricidad y Combustibles (SEC), un organismo encargado de fiscalizar y supervisar el cumplimiento de las normas relativas a la electricidad, el gas y los combustibles en el país. Esta ley tiene como objetivo principal garantizar que las empresas y entidades del sector energético cumplan con las normativas vigentes, asegurando la calidad y seguridad del suministro.</w:t>
      </w:r>
    </w:p>
    <w:p w:rsidR="000B7CAB" w:rsidRDefault="00000000">
      <w:pPr>
        <w:pStyle w:val="Textoindependiente"/>
        <w:spacing w:before="200" w:line="360" w:lineRule="auto"/>
        <w:ind w:right="113" w:firstLine="359"/>
      </w:pPr>
      <w:r>
        <w:t>La SEC posee la autoridad para supervisar y fiscalizar a las empresas de electricidad, gas y combustibles, revisando instalaciones, procesos operativos y el cumplimiento de normas de seguridad. Además, la ley otorga a la SEC la facultad de imponer sanciones a las empresas infractoras,</w:t>
      </w:r>
      <w:r>
        <w:rPr>
          <w:spacing w:val="-1"/>
        </w:rPr>
        <w:t xml:space="preserve"> </w:t>
      </w:r>
      <w:r>
        <w:t>que pueden</w:t>
      </w:r>
      <w:r>
        <w:rPr>
          <w:spacing w:val="-1"/>
        </w:rPr>
        <w:t xml:space="preserve"> </w:t>
      </w:r>
      <w:r>
        <w:t>incluir</w:t>
      </w:r>
      <w:r>
        <w:rPr>
          <w:spacing w:val="-1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y otras</w:t>
      </w:r>
      <w:r>
        <w:rPr>
          <w:spacing w:val="-1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correctivas. Las</w:t>
      </w:r>
      <w:r>
        <w:rPr>
          <w:spacing w:val="-2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se determinan considerando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gravedad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daño</w:t>
      </w:r>
      <w:r>
        <w:rPr>
          <w:spacing w:val="-6"/>
        </w:rPr>
        <w:t xml:space="preserve"> </w:t>
      </w:r>
      <w:r>
        <w:t>causado,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usuarios</w:t>
      </w:r>
      <w:r>
        <w:rPr>
          <w:spacing w:val="-5"/>
        </w:rPr>
        <w:t xml:space="preserve"> </w:t>
      </w:r>
      <w:r>
        <w:t>afectados,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intencionalidad y la conducta anterior de la empresa.</w:t>
      </w:r>
    </w:p>
    <w:p w:rsidR="000B7CAB" w:rsidRDefault="00000000">
      <w:pPr>
        <w:pStyle w:val="Textoindependiente"/>
        <w:spacing w:before="201" w:line="360" w:lineRule="auto"/>
        <w:ind w:right="115" w:firstLine="359"/>
      </w:pPr>
      <w:r>
        <w:t>La ley protege los derechos de los usuarios de los servicios eléctricos y de combustibles, asegurando que reciban un servicio de calidad y que las empresas respondan adecuadamente a sus reclamos. En caso de interrupciones no autorizadas del suministro eléctrico, la ley incluye disposiciones</w:t>
      </w:r>
      <w:r>
        <w:rPr>
          <w:spacing w:val="-6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compensaciones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usuarios,</w:t>
      </w:r>
      <w:r>
        <w:rPr>
          <w:spacing w:val="-1"/>
        </w:rPr>
        <w:t xml:space="preserve"> </w:t>
      </w:r>
      <w:r>
        <w:t>reguladas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Ley </w:t>
      </w:r>
      <w:r>
        <w:rPr>
          <w:spacing w:val="-5"/>
        </w:rPr>
        <w:t>N°</w:t>
      </w:r>
    </w:p>
    <w:p w:rsidR="000B7CAB" w:rsidRDefault="00000000">
      <w:pPr>
        <w:pStyle w:val="Textoindependiente"/>
        <w:spacing w:before="2"/>
      </w:pPr>
      <w:r>
        <w:t>18.410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72°-20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Eléctricos</w:t>
      </w:r>
      <w:r>
        <w:rPr>
          <w:spacing w:val="-2"/>
        </w:rPr>
        <w:t xml:space="preserve"> (LGSE).</w:t>
      </w:r>
    </w:p>
    <w:p w:rsidR="000B7CAB" w:rsidRDefault="000B7CAB">
      <w:pPr>
        <w:pStyle w:val="Textoindependiente"/>
        <w:spacing w:before="65"/>
        <w:ind w:left="0"/>
        <w:jc w:val="left"/>
      </w:pPr>
    </w:p>
    <w:p w:rsidR="000B7CAB" w:rsidRDefault="00000000">
      <w:pPr>
        <w:pStyle w:val="Ttulo1"/>
        <w:numPr>
          <w:ilvl w:val="0"/>
          <w:numId w:val="1"/>
        </w:numPr>
        <w:tabs>
          <w:tab w:val="left" w:pos="1181"/>
        </w:tabs>
        <w:ind w:left="1181"/>
      </w:pPr>
      <w:r>
        <w:t>CONTENIDO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PROYECTO</w:t>
      </w:r>
    </w:p>
    <w:p w:rsidR="000B7CAB" w:rsidRDefault="000B7CAB">
      <w:pPr>
        <w:pStyle w:val="Textoindependiente"/>
        <w:spacing w:before="62"/>
        <w:ind w:left="0"/>
        <w:jc w:val="left"/>
        <w:rPr>
          <w:b/>
        </w:rPr>
      </w:pPr>
    </w:p>
    <w:p w:rsidR="000B7CAB" w:rsidRDefault="00000000">
      <w:pPr>
        <w:pStyle w:val="Textoindependiente"/>
        <w:spacing w:line="360" w:lineRule="auto"/>
        <w:ind w:right="115" w:firstLine="359"/>
      </w:pPr>
      <w:r>
        <w:t>El</w:t>
      </w:r>
      <w:r>
        <w:rPr>
          <w:spacing w:val="-1"/>
        </w:rPr>
        <w:t xml:space="preserve"> </w:t>
      </w:r>
      <w:r>
        <w:t>presente proyecto de ley tiene como objetivo</w:t>
      </w:r>
      <w:r>
        <w:rPr>
          <w:spacing w:val="-1"/>
        </w:rPr>
        <w:t xml:space="preserve"> </w:t>
      </w:r>
      <w:r>
        <w:t>central la modificación de la</w:t>
      </w:r>
      <w:r>
        <w:rPr>
          <w:spacing w:val="-3"/>
        </w:rPr>
        <w:t xml:space="preserve"> </w:t>
      </w:r>
      <w:r>
        <w:t>Ley 18.410,</w:t>
      </w:r>
      <w:r>
        <w:rPr>
          <w:spacing w:val="-3"/>
        </w:rPr>
        <w:t xml:space="preserve"> </w:t>
      </w:r>
      <w:r>
        <w:t>la cual establece y regula la Superintendencia de Electricidad y Combustibles. La iniciativa busca sancionar fuertemente la no concurrencia oportuna por parte de las empresas fiscalizadas a reparar o mantener un servicio cuando se presente un problema o siniestro.</w:t>
      </w:r>
    </w:p>
    <w:p w:rsidR="000B7CAB" w:rsidRDefault="00000000">
      <w:pPr>
        <w:pStyle w:val="Textoindependiente"/>
        <w:spacing w:before="200" w:line="360" w:lineRule="auto"/>
        <w:ind w:right="114" w:firstLine="359"/>
      </w:pPr>
      <w:r>
        <w:t>La propuesta surge como respuesta al problemas reportado por los usuarios del sector energético, quienes han experimentado demoras significativas en la atención y resolución de problemas</w:t>
      </w:r>
      <w:r>
        <w:rPr>
          <w:spacing w:val="-15"/>
        </w:rPr>
        <w:t xml:space="preserve"> </w:t>
      </w:r>
      <w:r>
        <w:t>relacionados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suministro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electricidad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combustibles,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consecuencia</w:t>
      </w:r>
      <w:r>
        <w:rPr>
          <w:spacing w:val="-13"/>
        </w:rPr>
        <w:t xml:space="preserve"> </w:t>
      </w:r>
      <w:r>
        <w:t>del temporal que afecto al pais. La falta de una respuesta oportuna no solo impacta la calidad del servicio, sino que también pone en riesgo la seguridad y el bienestar de los consumidores.</w:t>
      </w:r>
    </w:p>
    <w:p w:rsidR="000B7CAB" w:rsidRDefault="00000000">
      <w:pPr>
        <w:pStyle w:val="Textoindependiente"/>
        <w:spacing w:before="200" w:line="360" w:lineRule="auto"/>
        <w:ind w:right="114" w:firstLine="359"/>
      </w:pPr>
      <w:r>
        <w:t>La</w:t>
      </w:r>
      <w:r>
        <w:rPr>
          <w:spacing w:val="-3"/>
        </w:rPr>
        <w:t xml:space="preserve"> </w:t>
      </w:r>
      <w:r>
        <w:t>modificación</w:t>
      </w:r>
      <w:r>
        <w:rPr>
          <w:spacing w:val="-6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pretende</w:t>
      </w:r>
      <w:r>
        <w:rPr>
          <w:spacing w:val="-7"/>
        </w:rPr>
        <w:t xml:space="preserve"> </w:t>
      </w:r>
      <w:r>
        <w:t>reforzar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sancionatorio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Superintendencia de</w:t>
      </w:r>
      <w:r>
        <w:rPr>
          <w:spacing w:val="-5"/>
        </w:rPr>
        <w:t xml:space="preserve"> </w:t>
      </w:r>
      <w:r>
        <w:t>Electricidad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Combustibles</w:t>
      </w:r>
      <w:r>
        <w:rPr>
          <w:spacing w:val="-6"/>
        </w:rPr>
        <w:t xml:space="preserve"> </w:t>
      </w:r>
      <w:r>
        <w:t>(SEC).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matriz</w:t>
      </w:r>
      <w:r>
        <w:rPr>
          <w:spacing w:val="-5"/>
        </w:rPr>
        <w:t xml:space="preserve"> </w:t>
      </w:r>
      <w:r>
        <w:t>reconoce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nueva</w:t>
      </w:r>
      <w:r>
        <w:rPr>
          <w:spacing w:val="-5"/>
        </w:rPr>
        <w:t xml:space="preserve"> </w:t>
      </w:r>
      <w:r>
        <w:t>infracción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 xml:space="preserve">aumenta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>penas,</w:t>
      </w:r>
      <w:r>
        <w:rPr>
          <w:spacing w:val="-5"/>
        </w:rPr>
        <w:t xml:space="preserve"> </w:t>
      </w:r>
      <w:r>
        <w:rPr>
          <w:spacing w:val="-2"/>
        </w:rPr>
        <w:t>asegurando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>empresas</w:t>
      </w:r>
      <w:r>
        <w:rPr>
          <w:spacing w:val="-7"/>
        </w:rPr>
        <w:t xml:space="preserve"> </w:t>
      </w:r>
      <w:r>
        <w:rPr>
          <w:spacing w:val="-2"/>
        </w:rPr>
        <w:t>sean</w:t>
      </w:r>
      <w:r>
        <w:rPr>
          <w:spacing w:val="-5"/>
        </w:rPr>
        <w:t xml:space="preserve"> </w:t>
      </w:r>
      <w:r>
        <w:rPr>
          <w:spacing w:val="-2"/>
        </w:rPr>
        <w:t>penalizadas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manera</w:t>
      </w:r>
      <w:r>
        <w:rPr>
          <w:spacing w:val="-8"/>
        </w:rPr>
        <w:t xml:space="preserve"> </w:t>
      </w:r>
      <w:r>
        <w:rPr>
          <w:spacing w:val="-2"/>
        </w:rPr>
        <w:t>adecuada</w:t>
      </w:r>
      <w:r>
        <w:rPr>
          <w:spacing w:val="-7"/>
        </w:rPr>
        <w:t xml:space="preserve"> </w:t>
      </w:r>
      <w:r>
        <w:rPr>
          <w:spacing w:val="-2"/>
        </w:rPr>
        <w:t>cuando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2"/>
        </w:rPr>
        <w:t xml:space="preserve">cumplan </w:t>
      </w:r>
      <w:r>
        <w:t>con sus responsabilidades. Al establecer sanciones más severas, se incentiva a las empresas a mejorar la calidad de sus servicios, respondiendo de manera rápida y eficiente a los problemas reportados por los usuarios.</w:t>
      </w:r>
    </w:p>
    <w:p w:rsidR="000B7CAB" w:rsidRDefault="00000000">
      <w:pPr>
        <w:pStyle w:val="Ttulo1"/>
        <w:numPr>
          <w:ilvl w:val="0"/>
          <w:numId w:val="1"/>
        </w:numPr>
        <w:tabs>
          <w:tab w:val="left" w:pos="1181"/>
        </w:tabs>
        <w:spacing w:before="203"/>
        <w:ind w:left="1181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0B7CAB" w:rsidRDefault="000B7CAB">
      <w:pPr>
        <w:pStyle w:val="Textoindependiente"/>
        <w:spacing w:before="65"/>
        <w:ind w:left="0"/>
        <w:jc w:val="left"/>
        <w:rPr>
          <w:b/>
        </w:rPr>
      </w:pPr>
    </w:p>
    <w:p w:rsidR="000B7CAB" w:rsidRDefault="00000000">
      <w:pPr>
        <w:pStyle w:val="Textoindependiente"/>
        <w:ind w:left="461"/>
        <w:jc w:val="left"/>
      </w:pPr>
      <w:r>
        <w:t>Artículo</w:t>
      </w:r>
      <w:r>
        <w:rPr>
          <w:spacing w:val="-2"/>
        </w:rPr>
        <w:t xml:space="preserve"> </w:t>
      </w:r>
      <w:r>
        <w:t>único.-</w:t>
      </w:r>
      <w:r>
        <w:rPr>
          <w:spacing w:val="-2"/>
        </w:rPr>
        <w:t xml:space="preserve"> </w:t>
      </w:r>
      <w:r>
        <w:t>Modifíquese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18140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siguiente </w:t>
      </w:r>
      <w:r>
        <w:rPr>
          <w:spacing w:val="-2"/>
        </w:rPr>
        <w:t>sentido:</w:t>
      </w:r>
    </w:p>
    <w:p w:rsidR="000B7CAB" w:rsidRDefault="000B7CAB">
      <w:pPr>
        <w:pStyle w:val="Textoindependiente"/>
        <w:spacing w:before="65"/>
        <w:ind w:left="0"/>
        <w:jc w:val="left"/>
      </w:pPr>
    </w:p>
    <w:p w:rsidR="000B7CAB" w:rsidRDefault="00000000">
      <w:pPr>
        <w:pStyle w:val="Prrafodelista"/>
        <w:numPr>
          <w:ilvl w:val="1"/>
          <w:numId w:val="1"/>
        </w:numPr>
        <w:tabs>
          <w:tab w:val="left" w:pos="686"/>
        </w:tabs>
        <w:ind w:left="686" w:hanging="225"/>
        <w:rPr>
          <w:sz w:val="24"/>
        </w:rPr>
      </w:pPr>
      <w:r>
        <w:rPr>
          <w:sz w:val="24"/>
        </w:rPr>
        <w:t>Incorpórese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siguiente:</w:t>
      </w:r>
    </w:p>
    <w:p w:rsidR="000B7CAB" w:rsidRDefault="000B7CAB">
      <w:pPr>
        <w:rPr>
          <w:sz w:val="24"/>
        </w:rPr>
        <w:sectPr w:rsidR="000B7CAB">
          <w:pgSz w:w="12240" w:h="20160"/>
          <w:pgMar w:top="1460" w:right="1580" w:bottom="280" w:left="1600" w:header="720" w:footer="720" w:gutter="0"/>
          <w:cols w:space="720"/>
        </w:sectPr>
      </w:pPr>
    </w:p>
    <w:p w:rsidR="000B7CAB" w:rsidRDefault="00000000">
      <w:pPr>
        <w:pStyle w:val="Textoindependiente"/>
        <w:spacing w:before="78" w:line="360" w:lineRule="auto"/>
        <w:ind w:right="115" w:firstLine="359"/>
      </w:pPr>
      <w:r>
        <w:lastRenderedPageBreak/>
        <w:t>“7)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suministro</w:t>
      </w:r>
      <w:r>
        <w:rPr>
          <w:spacing w:val="-1"/>
        </w:rPr>
        <w:t xml:space="preserve"> </w:t>
      </w:r>
      <w:r>
        <w:t>electrico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haya sido</w:t>
      </w:r>
      <w:r>
        <w:rPr>
          <w:spacing w:val="-1"/>
        </w:rPr>
        <w:t xml:space="preserve"> </w:t>
      </w:r>
      <w:r>
        <w:t>repuesto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 plazo de 48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 ocurrencia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emergencia,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haya</w:t>
      </w:r>
      <w:r>
        <w:rPr>
          <w:spacing w:val="-13"/>
        </w:rPr>
        <w:t xml:space="preserve"> </w:t>
      </w:r>
      <w:r>
        <w:t>proporcionado</w:t>
      </w:r>
      <w:r>
        <w:rPr>
          <w:spacing w:val="-14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oportuna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fehaciente sobre el plazo razonable y efectivo en la reparación del servicio”</w:t>
      </w:r>
    </w:p>
    <w:p w:rsidR="000B7CAB" w:rsidRDefault="00000000">
      <w:pPr>
        <w:pStyle w:val="Prrafodelista"/>
        <w:numPr>
          <w:ilvl w:val="1"/>
          <w:numId w:val="1"/>
        </w:numPr>
        <w:tabs>
          <w:tab w:val="left" w:pos="686"/>
        </w:tabs>
        <w:spacing w:before="201"/>
        <w:ind w:left="686" w:hanging="225"/>
        <w:jc w:val="both"/>
        <w:rPr>
          <w:sz w:val="24"/>
        </w:rPr>
      </w:pPr>
      <w:r>
        <w:rPr>
          <w:sz w:val="24"/>
        </w:rPr>
        <w:t>Reemplácense,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A,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numerales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siguientes:</w:t>
      </w:r>
    </w:p>
    <w:p w:rsidR="000B7CAB" w:rsidRDefault="000B7CAB">
      <w:pPr>
        <w:pStyle w:val="Textoindependiente"/>
        <w:spacing w:before="65"/>
        <w:ind w:left="0"/>
        <w:jc w:val="left"/>
      </w:pPr>
    </w:p>
    <w:p w:rsidR="000B7CAB" w:rsidRDefault="00000000">
      <w:pPr>
        <w:pStyle w:val="Textoindependiente"/>
        <w:spacing w:line="360" w:lineRule="auto"/>
        <w:ind w:right="114" w:firstLine="707"/>
      </w:pPr>
      <w:r>
        <w:t>“1.- Multa de hasta catorce mil unidades tributarias anuales y/o revocación de autorización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licencia,</w:t>
      </w:r>
      <w:r>
        <w:rPr>
          <w:spacing w:val="-2"/>
        </w:rPr>
        <w:t xml:space="preserve"> </w:t>
      </w:r>
      <w:r>
        <w:t>comiso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clausura,</w:t>
      </w:r>
      <w:r>
        <w:rPr>
          <w:spacing w:val="-2"/>
        </w:rPr>
        <w:t xml:space="preserve"> </w:t>
      </w:r>
      <w:r>
        <w:t>tratándose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infracciones</w:t>
      </w:r>
      <w:r>
        <w:rPr>
          <w:spacing w:val="-3"/>
        </w:rPr>
        <w:t xml:space="preserve"> </w:t>
      </w:r>
      <w:r>
        <w:t>gravísimas,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 establecido en el artículo 15;</w:t>
      </w:r>
    </w:p>
    <w:p w:rsidR="000B7CAB" w:rsidRDefault="00000000">
      <w:pPr>
        <w:pStyle w:val="Textoindependiente"/>
        <w:spacing w:before="198" w:line="362" w:lineRule="auto"/>
        <w:ind w:right="113" w:firstLine="707"/>
      </w:pPr>
      <w:r>
        <w:t>2.-</w:t>
      </w:r>
      <w:r>
        <w:rPr>
          <w:spacing w:val="-2"/>
        </w:rPr>
        <w:t xml:space="preserve"> </w:t>
      </w:r>
      <w:r>
        <w:t>Multa de hasta ocho mil</w:t>
      </w:r>
      <w:r>
        <w:rPr>
          <w:spacing w:val="-1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tributarias</w:t>
      </w:r>
      <w:r>
        <w:rPr>
          <w:spacing w:val="-1"/>
        </w:rPr>
        <w:t xml:space="preserve"> </w:t>
      </w:r>
      <w:r>
        <w:t>anuales</w:t>
      </w:r>
      <w:r>
        <w:rPr>
          <w:spacing w:val="-2"/>
        </w:rPr>
        <w:t xml:space="preserve"> </w:t>
      </w:r>
      <w:r>
        <w:t>y/o revocación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autorización o</w:t>
      </w:r>
      <w:r>
        <w:rPr>
          <w:spacing w:val="-6"/>
        </w:rPr>
        <w:t xml:space="preserve"> </w:t>
      </w:r>
      <w:r>
        <w:t>licencia,</w:t>
      </w:r>
      <w:r>
        <w:rPr>
          <w:spacing w:val="-5"/>
        </w:rPr>
        <w:t xml:space="preserve"> </w:t>
      </w:r>
      <w:r>
        <w:t>comiso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clausura,</w:t>
      </w:r>
      <w:r>
        <w:rPr>
          <w:spacing w:val="-5"/>
        </w:rPr>
        <w:t xml:space="preserve"> </w:t>
      </w:r>
      <w:r>
        <w:t>tratándose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infracciones</w:t>
      </w:r>
      <w:r>
        <w:rPr>
          <w:spacing w:val="-6"/>
        </w:rPr>
        <w:t xml:space="preserve"> </w:t>
      </w:r>
      <w:r>
        <w:t>graves,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antes citado, y</w:t>
      </w:r>
    </w:p>
    <w:p w:rsidR="000B7CAB" w:rsidRDefault="00000000">
      <w:pPr>
        <w:pStyle w:val="Textoindependiente"/>
        <w:spacing w:before="194" w:line="360" w:lineRule="auto"/>
        <w:ind w:right="117" w:firstLine="707"/>
      </w:pPr>
      <w:r>
        <w:t>3.- Multa de hasta ochocientas unidades tributarias anuales o amonestación por escrito, tratándose de infracciones leves.”.</w:t>
      </w:r>
    </w:p>
    <w:p w:rsidR="000B7CAB" w:rsidRDefault="000B7CAB">
      <w:pPr>
        <w:pStyle w:val="Textoindependiente"/>
        <w:ind w:left="0"/>
        <w:jc w:val="left"/>
      </w:pPr>
    </w:p>
    <w:p w:rsidR="000B7CAB" w:rsidRDefault="000B7CAB">
      <w:pPr>
        <w:pStyle w:val="Textoindependiente"/>
        <w:spacing w:before="267"/>
        <w:ind w:left="0"/>
        <w:jc w:val="left"/>
      </w:pPr>
    </w:p>
    <w:p w:rsidR="000B7CAB" w:rsidRDefault="00000000">
      <w:pPr>
        <w:spacing w:before="1" w:line="537" w:lineRule="auto"/>
        <w:ind w:left="3863" w:right="1433" w:hanging="1205"/>
        <w:rPr>
          <w:b/>
          <w:sz w:val="24"/>
        </w:rPr>
      </w:pPr>
      <w:r>
        <w:rPr>
          <w:b/>
          <w:sz w:val="24"/>
        </w:rPr>
        <w:t>ÁLVARO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CARTER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FERNÁNDEZ. </w:t>
      </w:r>
      <w:r>
        <w:rPr>
          <w:b/>
          <w:spacing w:val="-2"/>
          <w:sz w:val="24"/>
        </w:rPr>
        <w:t>DIPUTADO</w:t>
      </w:r>
    </w:p>
    <w:sectPr w:rsidR="000B7CAB">
      <w:pgSz w:w="12240" w:h="20160"/>
      <w:pgMar w:top="14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9368D"/>
    <w:multiLevelType w:val="hybridMultilevel"/>
    <w:tmpl w:val="1FF8F8CA"/>
    <w:lvl w:ilvl="0" w:tplc="F3824AA6">
      <w:start w:val="1"/>
      <w:numFmt w:val="upperRoman"/>
      <w:lvlText w:val="%1."/>
      <w:lvlJc w:val="left"/>
      <w:pPr>
        <w:ind w:left="1182" w:hanging="72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FA4652A">
      <w:start w:val="1"/>
      <w:numFmt w:val="decimal"/>
      <w:lvlText w:val="%2."/>
      <w:lvlJc w:val="left"/>
      <w:pPr>
        <w:ind w:left="687" w:hanging="226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994EF370">
      <w:numFmt w:val="bullet"/>
      <w:lvlText w:val="•"/>
      <w:lvlJc w:val="left"/>
      <w:pPr>
        <w:ind w:left="2055" w:hanging="226"/>
      </w:pPr>
      <w:rPr>
        <w:rFonts w:hint="default"/>
        <w:lang w:val="es-ES" w:eastAsia="en-US" w:bidi="ar-SA"/>
      </w:rPr>
    </w:lvl>
    <w:lvl w:ilvl="3" w:tplc="907089E6">
      <w:numFmt w:val="bullet"/>
      <w:lvlText w:val="•"/>
      <w:lvlJc w:val="left"/>
      <w:pPr>
        <w:ind w:left="2931" w:hanging="226"/>
      </w:pPr>
      <w:rPr>
        <w:rFonts w:hint="default"/>
        <w:lang w:val="es-ES" w:eastAsia="en-US" w:bidi="ar-SA"/>
      </w:rPr>
    </w:lvl>
    <w:lvl w:ilvl="4" w:tplc="A4609598">
      <w:numFmt w:val="bullet"/>
      <w:lvlText w:val="•"/>
      <w:lvlJc w:val="left"/>
      <w:pPr>
        <w:ind w:left="3806" w:hanging="226"/>
      </w:pPr>
      <w:rPr>
        <w:rFonts w:hint="default"/>
        <w:lang w:val="es-ES" w:eastAsia="en-US" w:bidi="ar-SA"/>
      </w:rPr>
    </w:lvl>
    <w:lvl w:ilvl="5" w:tplc="89BC6BEC">
      <w:numFmt w:val="bullet"/>
      <w:lvlText w:val="•"/>
      <w:lvlJc w:val="left"/>
      <w:pPr>
        <w:ind w:left="4682" w:hanging="226"/>
      </w:pPr>
      <w:rPr>
        <w:rFonts w:hint="default"/>
        <w:lang w:val="es-ES" w:eastAsia="en-US" w:bidi="ar-SA"/>
      </w:rPr>
    </w:lvl>
    <w:lvl w:ilvl="6" w:tplc="982C6B32">
      <w:numFmt w:val="bullet"/>
      <w:lvlText w:val="•"/>
      <w:lvlJc w:val="left"/>
      <w:pPr>
        <w:ind w:left="5557" w:hanging="226"/>
      </w:pPr>
      <w:rPr>
        <w:rFonts w:hint="default"/>
        <w:lang w:val="es-ES" w:eastAsia="en-US" w:bidi="ar-SA"/>
      </w:rPr>
    </w:lvl>
    <w:lvl w:ilvl="7" w:tplc="C78E43D4">
      <w:numFmt w:val="bullet"/>
      <w:lvlText w:val="•"/>
      <w:lvlJc w:val="left"/>
      <w:pPr>
        <w:ind w:left="6433" w:hanging="226"/>
      </w:pPr>
      <w:rPr>
        <w:rFonts w:hint="default"/>
        <w:lang w:val="es-ES" w:eastAsia="en-US" w:bidi="ar-SA"/>
      </w:rPr>
    </w:lvl>
    <w:lvl w:ilvl="8" w:tplc="6F5A314C">
      <w:numFmt w:val="bullet"/>
      <w:lvlText w:val="•"/>
      <w:lvlJc w:val="left"/>
      <w:pPr>
        <w:ind w:left="7308" w:hanging="226"/>
      </w:pPr>
      <w:rPr>
        <w:rFonts w:hint="default"/>
        <w:lang w:val="es-ES" w:eastAsia="en-US" w:bidi="ar-SA"/>
      </w:rPr>
    </w:lvl>
  </w:abstractNum>
  <w:num w:numId="1" w16cid:durableId="42500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CAB"/>
    <w:rsid w:val="000B7CAB"/>
    <w:rsid w:val="0041139F"/>
    <w:rsid w:val="00A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1EA8F-1417-479C-BFFD-40D85555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1181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963" w:hanging="776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Madrid Verdejo</dc:creator>
  <cp:lastModifiedBy>Guillermo Diaz Vallejos</cp:lastModifiedBy>
  <cp:revision>1</cp:revision>
  <dcterms:created xsi:type="dcterms:W3CDTF">2024-08-06T20:32:00Z</dcterms:created>
  <dcterms:modified xsi:type="dcterms:W3CDTF">2024-08-07T14:29:00Z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2013</vt:lpwstr>
  </property>
</Properties>
</file>