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4870" w:rsidRDefault="00000000">
      <w:pPr>
        <w:pStyle w:val="Ttulo1"/>
        <w:spacing w:before="80" w:line="360" w:lineRule="auto"/>
        <w:ind w:left="169" w:right="221"/>
        <w:jc w:val="center"/>
        <w:rPr>
          <w:u w:val="none"/>
        </w:rPr>
      </w:pPr>
      <w:r>
        <w:t>Proyecto de ley que modifica la ley 19.496 que establece</w:t>
      </w:r>
      <w:r>
        <w:rPr>
          <w:u w:val="none"/>
        </w:rPr>
        <w:t xml:space="preserve"> </w:t>
      </w:r>
      <w:r>
        <w:t>normas sobre protección de los derechos de los consumidores,</w:t>
      </w:r>
      <w:r>
        <w:rPr>
          <w:u w:val="none"/>
        </w:rPr>
        <w:t xml:space="preserve"> </w:t>
      </w:r>
      <w:r>
        <w:t>para</w:t>
      </w:r>
      <w:r>
        <w:rPr>
          <w:spacing w:val="-4"/>
        </w:rPr>
        <w:t xml:space="preserve"> </w:t>
      </w:r>
      <w:r>
        <w:t>incorporar</w:t>
      </w:r>
      <w:r>
        <w:rPr>
          <w:spacing w:val="-4"/>
        </w:rPr>
        <w:t xml:space="preserve"> </w:t>
      </w:r>
      <w:r>
        <w:t>el</w:t>
      </w:r>
      <w:r>
        <w:rPr>
          <w:spacing w:val="-4"/>
        </w:rPr>
        <w:t xml:space="preserve"> </w:t>
      </w:r>
      <w:r>
        <w:t>derecho</w:t>
      </w:r>
      <w:r>
        <w:rPr>
          <w:spacing w:val="-4"/>
        </w:rPr>
        <w:t xml:space="preserve"> </w:t>
      </w:r>
      <w:r>
        <w:t>a</w:t>
      </w:r>
      <w:r>
        <w:rPr>
          <w:spacing w:val="-4"/>
        </w:rPr>
        <w:t xml:space="preserve"> </w:t>
      </w:r>
      <w:r>
        <w:t>la</w:t>
      </w:r>
      <w:r>
        <w:rPr>
          <w:spacing w:val="-4"/>
        </w:rPr>
        <w:t xml:space="preserve"> </w:t>
      </w:r>
      <w:r>
        <w:t>atención</w:t>
      </w:r>
      <w:r>
        <w:rPr>
          <w:spacing w:val="-4"/>
        </w:rPr>
        <w:t xml:space="preserve"> </w:t>
      </w:r>
      <w:r>
        <w:t>personal</w:t>
      </w:r>
      <w:r>
        <w:rPr>
          <w:spacing w:val="-4"/>
        </w:rPr>
        <w:t xml:space="preserve"> </w:t>
      </w:r>
      <w:r>
        <w:t>y</w:t>
      </w:r>
      <w:r>
        <w:rPr>
          <w:spacing w:val="-4"/>
        </w:rPr>
        <w:t xml:space="preserve"> </w:t>
      </w:r>
      <w:r>
        <w:t>humana</w:t>
      </w:r>
      <w:r>
        <w:rPr>
          <w:spacing w:val="-4"/>
        </w:rPr>
        <w:t xml:space="preserve"> </w:t>
      </w:r>
      <w:r>
        <w:t>en</w:t>
      </w:r>
      <w:r>
        <w:rPr>
          <w:u w:val="none"/>
        </w:rPr>
        <w:t xml:space="preserve"> </w:t>
      </w:r>
      <w:r>
        <w:t>empresas de servicios esenciales</w:t>
      </w:r>
    </w:p>
    <w:p w:rsidR="00BF4870" w:rsidRDefault="00BF4870">
      <w:pPr>
        <w:pStyle w:val="Textoindependiente"/>
        <w:spacing w:before="135"/>
        <w:rPr>
          <w:b/>
        </w:rPr>
      </w:pPr>
    </w:p>
    <w:p w:rsidR="00BF4870" w:rsidRDefault="00000000">
      <w:pPr>
        <w:spacing w:before="1"/>
        <w:ind w:left="100"/>
        <w:rPr>
          <w:b/>
          <w:sz w:val="24"/>
        </w:rPr>
      </w:pPr>
      <w:r>
        <w:rPr>
          <w:b/>
          <w:sz w:val="24"/>
          <w:u w:val="single"/>
        </w:rPr>
        <w:t>I.-</w:t>
      </w:r>
      <w:r>
        <w:rPr>
          <w:b/>
          <w:spacing w:val="-2"/>
          <w:sz w:val="24"/>
          <w:u w:val="single"/>
        </w:rPr>
        <w:t>FUNDAMENTOS</w:t>
      </w:r>
    </w:p>
    <w:p w:rsidR="00BF4870" w:rsidRDefault="00BF4870">
      <w:pPr>
        <w:pStyle w:val="Textoindependiente"/>
        <w:spacing w:before="271"/>
        <w:rPr>
          <w:b/>
        </w:rPr>
      </w:pPr>
    </w:p>
    <w:p w:rsidR="00BF4870" w:rsidRDefault="00000000">
      <w:pPr>
        <w:pStyle w:val="Textoindependiente"/>
        <w:spacing w:before="1" w:line="360" w:lineRule="auto"/>
        <w:ind w:left="100" w:right="152"/>
        <w:jc w:val="both"/>
      </w:pPr>
      <w:r>
        <w:t>Con los últimos acontecimientos que se han desarrollado en nuestro país, sobre todo ligados a la crisis en el sector eléctrico, se evidencia la necesidad de contemplar la posibilidad de entablar una conversación directa con los trabajadores de las empresas involucradas, tanto en temas energéticos, como de internet, sanitarias, aerolíneas y empresas</w:t>
      </w:r>
      <w:r>
        <w:rPr>
          <w:spacing w:val="40"/>
        </w:rPr>
        <w:t xml:space="preserve"> </w:t>
      </w:r>
      <w:r>
        <w:t>que</w:t>
      </w:r>
      <w:r>
        <w:rPr>
          <w:spacing w:val="40"/>
        </w:rPr>
        <w:t xml:space="preserve"> </w:t>
      </w:r>
      <w:r>
        <w:t>cumplan</w:t>
      </w:r>
      <w:r>
        <w:rPr>
          <w:spacing w:val="40"/>
        </w:rPr>
        <w:t xml:space="preserve"> </w:t>
      </w:r>
      <w:r>
        <w:t>funciones</w:t>
      </w:r>
      <w:r>
        <w:rPr>
          <w:spacing w:val="40"/>
        </w:rPr>
        <w:t xml:space="preserve"> </w:t>
      </w:r>
      <w:r>
        <w:t>esenciales para el desarrollo de las personas. En la actualidad, existen</w:t>
      </w:r>
      <w:r>
        <w:rPr>
          <w:spacing w:val="-3"/>
        </w:rPr>
        <w:t xml:space="preserve"> </w:t>
      </w:r>
      <w:r>
        <w:t>muchos</w:t>
      </w:r>
      <w:r>
        <w:rPr>
          <w:spacing w:val="-3"/>
        </w:rPr>
        <w:t xml:space="preserve"> </w:t>
      </w:r>
      <w:r>
        <w:t>casos</w:t>
      </w:r>
      <w:r>
        <w:rPr>
          <w:spacing w:val="-3"/>
        </w:rPr>
        <w:t xml:space="preserve"> </w:t>
      </w:r>
      <w:r>
        <w:t>en</w:t>
      </w:r>
      <w:r>
        <w:rPr>
          <w:spacing w:val="-3"/>
        </w:rPr>
        <w:t xml:space="preserve"> </w:t>
      </w:r>
      <w:r>
        <w:t>que las respuestas son tardías, incluso sin ofrecer la opción de hablar con un ejecutivo, teniendo el usuario la única opción interactuar con un chat robot o inteligencia artificial.</w:t>
      </w:r>
    </w:p>
    <w:p w:rsidR="00BF4870" w:rsidRDefault="00BF4870">
      <w:pPr>
        <w:pStyle w:val="Textoindependiente"/>
        <w:spacing w:before="135"/>
      </w:pPr>
    </w:p>
    <w:p w:rsidR="00BF4870" w:rsidRDefault="00000000">
      <w:pPr>
        <w:pStyle w:val="Textoindependiente"/>
        <w:spacing w:line="360" w:lineRule="auto"/>
        <w:ind w:left="100" w:right="152"/>
        <w:jc w:val="both"/>
      </w:pPr>
      <w:r>
        <w:t>Los sistemas automatizados no pueden apartar completamente la empatía, comprensión y entendimiento que una persona puede ofrecer en situaciones graves o complejas.</w:t>
      </w:r>
    </w:p>
    <w:p w:rsidR="00BF4870" w:rsidRDefault="00BF4870">
      <w:pPr>
        <w:pStyle w:val="Textoindependiente"/>
        <w:spacing w:before="136"/>
      </w:pPr>
    </w:p>
    <w:p w:rsidR="00BF4870" w:rsidRDefault="00000000">
      <w:pPr>
        <w:pStyle w:val="Textoindependiente"/>
        <w:spacing w:line="360" w:lineRule="auto"/>
        <w:ind w:left="100" w:right="155"/>
        <w:jc w:val="both"/>
      </w:pPr>
      <w:r>
        <w:t>También, en muchos casos, las respuestas entregadas por la atención automatizada, suelen ser genéricas, insuficientes o inadecuadas, ya que requieren resolver asuntos complejos con análisis y juicios humanos. Por otro lado, la confianza que generarían los usuarios en las empresas que les proveen servicios, con una atención personalizada, se elevaría de manera importante.</w:t>
      </w:r>
    </w:p>
    <w:p w:rsidR="00BF4870" w:rsidRDefault="00BF4870">
      <w:pPr>
        <w:pStyle w:val="Textoindependiente"/>
        <w:spacing w:before="136"/>
      </w:pPr>
    </w:p>
    <w:p w:rsidR="00BF4870" w:rsidRDefault="00000000">
      <w:pPr>
        <w:pStyle w:val="Textoindependiente"/>
        <w:spacing w:line="360" w:lineRule="auto"/>
        <w:ind w:left="100" w:right="152"/>
        <w:jc w:val="both"/>
      </w:pPr>
      <w:r>
        <w:t>En materia de competencia es relevante, ya que la atención al cliente</w:t>
      </w:r>
      <w:r>
        <w:rPr>
          <w:spacing w:val="74"/>
        </w:rPr>
        <w:t xml:space="preserve"> </w:t>
      </w:r>
      <w:r>
        <w:t>es</w:t>
      </w:r>
      <w:r>
        <w:rPr>
          <w:spacing w:val="74"/>
        </w:rPr>
        <w:t xml:space="preserve"> </w:t>
      </w:r>
      <w:r>
        <w:t>un</w:t>
      </w:r>
      <w:r>
        <w:rPr>
          <w:spacing w:val="74"/>
        </w:rPr>
        <w:t xml:space="preserve"> </w:t>
      </w:r>
      <w:r>
        <w:t>factor</w:t>
      </w:r>
      <w:r>
        <w:rPr>
          <w:spacing w:val="74"/>
        </w:rPr>
        <w:t xml:space="preserve"> </w:t>
      </w:r>
      <w:r>
        <w:t>fundamental</w:t>
      </w:r>
      <w:r>
        <w:rPr>
          <w:spacing w:val="60"/>
        </w:rPr>
        <w:t xml:space="preserve"> </w:t>
      </w:r>
      <w:r>
        <w:t>a</w:t>
      </w:r>
      <w:r>
        <w:rPr>
          <w:spacing w:val="60"/>
        </w:rPr>
        <w:t xml:space="preserve"> </w:t>
      </w:r>
      <w:r>
        <w:t>la</w:t>
      </w:r>
      <w:r>
        <w:rPr>
          <w:spacing w:val="60"/>
        </w:rPr>
        <w:t xml:space="preserve"> </w:t>
      </w:r>
      <w:r>
        <w:t>hora</w:t>
      </w:r>
      <w:r>
        <w:rPr>
          <w:spacing w:val="60"/>
        </w:rPr>
        <w:t xml:space="preserve"> </w:t>
      </w:r>
      <w:r>
        <w:t>de</w:t>
      </w:r>
      <w:r>
        <w:rPr>
          <w:spacing w:val="60"/>
        </w:rPr>
        <w:t xml:space="preserve"> </w:t>
      </w:r>
      <w:r>
        <w:t>contratar</w:t>
      </w:r>
      <w:r>
        <w:rPr>
          <w:spacing w:val="60"/>
        </w:rPr>
        <w:t xml:space="preserve"> </w:t>
      </w:r>
      <w:r>
        <w:rPr>
          <w:spacing w:val="-5"/>
        </w:rPr>
        <w:t>un</w:t>
      </w:r>
    </w:p>
    <w:p w:rsidR="00BF4870" w:rsidRDefault="00BF4870">
      <w:pPr>
        <w:spacing w:line="360" w:lineRule="auto"/>
        <w:jc w:val="both"/>
        <w:sectPr w:rsidR="00BF4870">
          <w:type w:val="continuous"/>
          <w:pgSz w:w="11920" w:h="16840"/>
          <w:pgMar w:top="1360" w:right="1300" w:bottom="280" w:left="1340" w:header="720" w:footer="720" w:gutter="0"/>
          <w:cols w:space="720"/>
        </w:sectPr>
      </w:pPr>
    </w:p>
    <w:p w:rsidR="00BF4870" w:rsidRDefault="00000000">
      <w:pPr>
        <w:pStyle w:val="Textoindependiente"/>
        <w:spacing w:before="80" w:line="360" w:lineRule="auto"/>
        <w:ind w:left="100" w:right="152"/>
        <w:jc w:val="both"/>
      </w:pPr>
      <w:r>
        <w:lastRenderedPageBreak/>
        <w:t>servicio, incentivando a las empresas a elevar sus estándares de calidad en atención.</w:t>
      </w:r>
    </w:p>
    <w:p w:rsidR="00BF4870" w:rsidRDefault="00BF4870">
      <w:pPr>
        <w:pStyle w:val="Textoindependiente"/>
        <w:spacing w:before="135"/>
      </w:pPr>
    </w:p>
    <w:p w:rsidR="00BF4870" w:rsidRDefault="00000000">
      <w:pPr>
        <w:pStyle w:val="Textoindependiente"/>
        <w:spacing w:before="1" w:line="360" w:lineRule="auto"/>
        <w:ind w:left="100" w:right="152"/>
        <w:jc w:val="both"/>
      </w:pPr>
      <w:r>
        <w:t>Lo que busca este proyecto es avanzar en una asistencia personalizada y rápida, disminuyendo los tiempos de espera. Los servicios esenciales como internet, telefonía y energía son fundamentales para la calidad de vida de los ciudadanos. Problemas en estos servicios pueden afectar gravemente</w:t>
      </w:r>
      <w:r>
        <w:rPr>
          <w:spacing w:val="-4"/>
        </w:rPr>
        <w:t xml:space="preserve"> </w:t>
      </w:r>
      <w:r>
        <w:t>la</w:t>
      </w:r>
      <w:r>
        <w:rPr>
          <w:spacing w:val="-4"/>
        </w:rPr>
        <w:t xml:space="preserve"> </w:t>
      </w:r>
      <w:r>
        <w:t>vida cotidiana,</w:t>
      </w:r>
      <w:r>
        <w:rPr>
          <w:spacing w:val="40"/>
        </w:rPr>
        <w:t xml:space="preserve"> </w:t>
      </w:r>
      <w:r>
        <w:t>el</w:t>
      </w:r>
      <w:r>
        <w:rPr>
          <w:spacing w:val="40"/>
        </w:rPr>
        <w:t xml:space="preserve"> </w:t>
      </w:r>
      <w:r>
        <w:t>trabajo, la educación y la salud de las personas. Proveer una atención rápida y eficiente a través de personal humano puede mitigar estos impactos negativos y garantizar que los usuarios puedan acceder a soluciones efectivas sin demora.</w:t>
      </w:r>
    </w:p>
    <w:p w:rsidR="00BF4870" w:rsidRDefault="00BF4870">
      <w:pPr>
        <w:pStyle w:val="Textoindependiente"/>
        <w:spacing w:before="135"/>
      </w:pPr>
    </w:p>
    <w:p w:rsidR="00BF4870" w:rsidRDefault="00000000">
      <w:pPr>
        <w:pStyle w:val="Textoindependiente"/>
        <w:spacing w:before="1" w:line="360" w:lineRule="auto"/>
        <w:ind w:left="100" w:right="152"/>
        <w:jc w:val="both"/>
      </w:pPr>
      <w:r>
        <w:t>Esta legislación tiene como objetivo garantizar que las personas que utilizan servicios esenciales, que son fundamentales para la salud y la calidad de vida, reciban una atención adecuada e individualizada si lo desean, en particular cuando surgen situaciones de emergencia o la necesidad de intervención humana directa, en especial con personas mayores y las que requieran atención especial. El apoyo de la inteligencia artificial y los sistemas automatizados puede ser útil, pero no debería suplantar por completo la interacción humana en los casos en que la precisión, la empatía y la comprensión son fundamentales.</w:t>
      </w:r>
    </w:p>
    <w:p w:rsidR="00BF4870" w:rsidRDefault="00BF4870">
      <w:pPr>
        <w:pStyle w:val="Textoindependiente"/>
        <w:spacing w:before="135"/>
      </w:pPr>
    </w:p>
    <w:p w:rsidR="00BF4870" w:rsidRDefault="00000000">
      <w:pPr>
        <w:pStyle w:val="Textoindependiente"/>
        <w:spacing w:before="1" w:line="360" w:lineRule="auto"/>
        <w:ind w:left="100" w:right="158"/>
        <w:jc w:val="both"/>
      </w:pPr>
      <w:r>
        <w:t>Este proyecto de ley se centra en</w:t>
      </w:r>
      <w:r>
        <w:rPr>
          <w:spacing w:val="-4"/>
        </w:rPr>
        <w:t xml:space="preserve"> </w:t>
      </w:r>
      <w:r>
        <w:t>las</w:t>
      </w:r>
      <w:r>
        <w:rPr>
          <w:spacing w:val="-4"/>
        </w:rPr>
        <w:t xml:space="preserve"> </w:t>
      </w:r>
      <w:r>
        <w:t>grandes</w:t>
      </w:r>
      <w:r>
        <w:rPr>
          <w:spacing w:val="-4"/>
        </w:rPr>
        <w:t xml:space="preserve"> </w:t>
      </w:r>
      <w:r>
        <w:t>empresas</w:t>
      </w:r>
      <w:r>
        <w:rPr>
          <w:spacing w:val="-4"/>
        </w:rPr>
        <w:t xml:space="preserve"> </w:t>
      </w:r>
      <w:r>
        <w:t>para</w:t>
      </w:r>
      <w:r>
        <w:rPr>
          <w:spacing w:val="-4"/>
        </w:rPr>
        <w:t xml:space="preserve"> </w:t>
      </w:r>
      <w:r>
        <w:t>no perjudicar</w:t>
      </w:r>
      <w:r>
        <w:rPr>
          <w:spacing w:val="40"/>
        </w:rPr>
        <w:t xml:space="preserve"> </w:t>
      </w:r>
      <w:r>
        <w:t>a</w:t>
      </w:r>
      <w:r>
        <w:rPr>
          <w:spacing w:val="40"/>
        </w:rPr>
        <w:t xml:space="preserve"> </w:t>
      </w:r>
      <w:r>
        <w:t>las</w:t>
      </w:r>
      <w:r>
        <w:rPr>
          <w:spacing w:val="40"/>
        </w:rPr>
        <w:t xml:space="preserve"> </w:t>
      </w:r>
      <w:r>
        <w:t>pequeñas</w:t>
      </w:r>
      <w:r>
        <w:rPr>
          <w:spacing w:val="40"/>
        </w:rPr>
        <w:t xml:space="preserve"> </w:t>
      </w:r>
      <w:r>
        <w:t>empresas</w:t>
      </w:r>
      <w:r>
        <w:rPr>
          <w:spacing w:val="40"/>
        </w:rPr>
        <w:t xml:space="preserve"> </w:t>
      </w:r>
      <w:r>
        <w:t>con una carga que tal vez no estén preparadas para manejar.</w:t>
      </w:r>
    </w:p>
    <w:p w:rsidR="00BF4870" w:rsidRDefault="00BF4870">
      <w:pPr>
        <w:pStyle w:val="Textoindependiente"/>
        <w:spacing w:before="135"/>
      </w:pPr>
    </w:p>
    <w:p w:rsidR="00BF4870" w:rsidRDefault="00000000">
      <w:pPr>
        <w:pStyle w:val="Ttulo1"/>
        <w:spacing w:before="0"/>
        <w:rPr>
          <w:u w:val="none"/>
        </w:rPr>
      </w:pPr>
      <w:r>
        <w:t xml:space="preserve">II.-IDEA </w:t>
      </w:r>
      <w:r>
        <w:rPr>
          <w:spacing w:val="-2"/>
        </w:rPr>
        <w:t>MATRIZ:</w:t>
      </w:r>
    </w:p>
    <w:p w:rsidR="00BF4870" w:rsidRDefault="00000000">
      <w:pPr>
        <w:pStyle w:val="Textoindependiente"/>
        <w:spacing w:before="136" w:line="360" w:lineRule="auto"/>
        <w:ind w:left="100" w:right="161"/>
        <w:jc w:val="both"/>
      </w:pPr>
      <w:r>
        <w:t>El presente proyecto tiene como objeto garantizar atención humana,</w:t>
      </w:r>
      <w:r>
        <w:rPr>
          <w:spacing w:val="45"/>
        </w:rPr>
        <w:t xml:space="preserve"> </w:t>
      </w:r>
      <w:r>
        <w:t>personal,</w:t>
      </w:r>
      <w:r>
        <w:rPr>
          <w:spacing w:val="45"/>
        </w:rPr>
        <w:t xml:space="preserve"> </w:t>
      </w:r>
      <w:r>
        <w:t>ya</w:t>
      </w:r>
      <w:r>
        <w:rPr>
          <w:spacing w:val="45"/>
        </w:rPr>
        <w:t xml:space="preserve"> </w:t>
      </w:r>
      <w:r>
        <w:t>sea</w:t>
      </w:r>
      <w:r>
        <w:rPr>
          <w:spacing w:val="45"/>
        </w:rPr>
        <w:t xml:space="preserve"> </w:t>
      </w:r>
      <w:r>
        <w:t>presencial</w:t>
      </w:r>
      <w:r>
        <w:rPr>
          <w:spacing w:val="45"/>
        </w:rPr>
        <w:t xml:space="preserve"> </w:t>
      </w:r>
      <w:r>
        <w:t>o</w:t>
      </w:r>
      <w:r>
        <w:rPr>
          <w:spacing w:val="45"/>
        </w:rPr>
        <w:t xml:space="preserve"> </w:t>
      </w:r>
      <w:r>
        <w:t>vía</w:t>
      </w:r>
      <w:r>
        <w:rPr>
          <w:spacing w:val="45"/>
        </w:rPr>
        <w:t xml:space="preserve"> </w:t>
      </w:r>
      <w:r>
        <w:t>telefónica,</w:t>
      </w:r>
      <w:r>
        <w:rPr>
          <w:spacing w:val="30"/>
        </w:rPr>
        <w:t xml:space="preserve"> </w:t>
      </w:r>
      <w:r>
        <w:t>en</w:t>
      </w:r>
      <w:r>
        <w:rPr>
          <w:spacing w:val="30"/>
        </w:rPr>
        <w:t xml:space="preserve"> </w:t>
      </w:r>
      <w:r>
        <w:rPr>
          <w:spacing w:val="-5"/>
        </w:rPr>
        <w:t>los</w:t>
      </w:r>
    </w:p>
    <w:p w:rsidR="00BF4870" w:rsidRDefault="00BF4870">
      <w:pPr>
        <w:spacing w:line="360" w:lineRule="auto"/>
        <w:jc w:val="both"/>
        <w:sectPr w:rsidR="00BF4870">
          <w:pgSz w:w="11920" w:h="16840"/>
          <w:pgMar w:top="1360" w:right="1300" w:bottom="280" w:left="1340" w:header="720" w:footer="720" w:gutter="0"/>
          <w:cols w:space="720"/>
        </w:sectPr>
      </w:pPr>
    </w:p>
    <w:p w:rsidR="00BF4870" w:rsidRDefault="00000000">
      <w:pPr>
        <w:pStyle w:val="Textoindependiente"/>
        <w:spacing w:before="80" w:line="360" w:lineRule="auto"/>
        <w:ind w:left="100" w:right="161"/>
        <w:jc w:val="both"/>
      </w:pPr>
      <w:r>
        <w:lastRenderedPageBreak/>
        <w:t>servicios de atención al cliente de las empresas que presten determinados servicios básicos de interés general.</w:t>
      </w:r>
    </w:p>
    <w:p w:rsidR="00BF4870" w:rsidRDefault="00BF4870">
      <w:pPr>
        <w:pStyle w:val="Textoindependiente"/>
      </w:pPr>
    </w:p>
    <w:p w:rsidR="00BF4870" w:rsidRDefault="00BF4870">
      <w:pPr>
        <w:pStyle w:val="Textoindependiente"/>
      </w:pPr>
    </w:p>
    <w:p w:rsidR="00BF4870" w:rsidRDefault="00BF4870">
      <w:pPr>
        <w:pStyle w:val="Textoindependiente"/>
      </w:pPr>
    </w:p>
    <w:p w:rsidR="00BF4870" w:rsidRDefault="00BF4870">
      <w:pPr>
        <w:pStyle w:val="Textoindependiente"/>
        <w:spacing w:before="135"/>
      </w:pPr>
    </w:p>
    <w:p w:rsidR="00BF4870" w:rsidRDefault="00000000">
      <w:pPr>
        <w:pStyle w:val="Ttulo1"/>
        <w:rPr>
          <w:u w:val="none"/>
        </w:rPr>
      </w:pPr>
      <w:r>
        <w:t xml:space="preserve">III.-PROYECTO DE </w:t>
      </w:r>
      <w:r>
        <w:rPr>
          <w:spacing w:val="-5"/>
        </w:rPr>
        <w:t>LEY</w:t>
      </w:r>
    </w:p>
    <w:p w:rsidR="00BF4870" w:rsidRDefault="00BF4870">
      <w:pPr>
        <w:pStyle w:val="Textoindependiente"/>
        <w:spacing w:before="271"/>
        <w:rPr>
          <w:b/>
        </w:rPr>
      </w:pPr>
    </w:p>
    <w:p w:rsidR="00BF4870" w:rsidRDefault="00000000">
      <w:pPr>
        <w:pStyle w:val="Textoindependiente"/>
        <w:spacing w:before="1" w:line="360" w:lineRule="auto"/>
        <w:ind w:left="100" w:right="152"/>
        <w:jc w:val="both"/>
      </w:pPr>
      <w:r>
        <w:t>Artículo único: Proyecto de ley que modifica</w:t>
      </w:r>
      <w:r>
        <w:rPr>
          <w:spacing w:val="-3"/>
        </w:rPr>
        <w:t xml:space="preserve"> </w:t>
      </w:r>
      <w:r>
        <w:t>la</w:t>
      </w:r>
      <w:r>
        <w:rPr>
          <w:spacing w:val="-3"/>
        </w:rPr>
        <w:t xml:space="preserve"> </w:t>
      </w:r>
      <w:r>
        <w:t>ley</w:t>
      </w:r>
      <w:r>
        <w:rPr>
          <w:spacing w:val="-3"/>
        </w:rPr>
        <w:t xml:space="preserve"> </w:t>
      </w:r>
      <w:r>
        <w:t>19.496</w:t>
      </w:r>
      <w:r>
        <w:rPr>
          <w:spacing w:val="-3"/>
        </w:rPr>
        <w:t xml:space="preserve"> </w:t>
      </w:r>
      <w:r>
        <w:t>que establece normas sobre protección de los derechos de los consumidores, para incorporar el derecho a la atención personal y humana en empresas de servicios esenciales:</w:t>
      </w:r>
    </w:p>
    <w:p w:rsidR="00BF4870" w:rsidRDefault="00BF4870">
      <w:pPr>
        <w:pStyle w:val="Textoindependiente"/>
      </w:pPr>
    </w:p>
    <w:p w:rsidR="00BF4870" w:rsidRDefault="00BF4870">
      <w:pPr>
        <w:pStyle w:val="Textoindependiente"/>
        <w:spacing w:before="271"/>
      </w:pPr>
    </w:p>
    <w:p w:rsidR="00BF4870" w:rsidRDefault="00000000">
      <w:pPr>
        <w:pStyle w:val="Textoindependiente"/>
        <w:ind w:left="100"/>
        <w:jc w:val="both"/>
        <w:rPr>
          <w:i/>
          <w:sz w:val="22"/>
        </w:rPr>
      </w:pPr>
      <w:r>
        <w:t xml:space="preserve">1.-Agregase un nuevo artículo 12 </w:t>
      </w:r>
      <w:r>
        <w:rPr>
          <w:spacing w:val="-5"/>
        </w:rPr>
        <w:t>D</w:t>
      </w:r>
      <w:r>
        <w:rPr>
          <w:i/>
          <w:spacing w:val="-5"/>
          <w:sz w:val="22"/>
        </w:rPr>
        <w:t>:</w:t>
      </w:r>
    </w:p>
    <w:p w:rsidR="00BF4870" w:rsidRDefault="00BF4870">
      <w:pPr>
        <w:pStyle w:val="Textoindependiente"/>
        <w:spacing w:before="238"/>
        <w:rPr>
          <w:i/>
        </w:rPr>
      </w:pPr>
    </w:p>
    <w:p w:rsidR="00BF4870" w:rsidRDefault="00000000">
      <w:pPr>
        <w:spacing w:line="360" w:lineRule="auto"/>
        <w:ind w:left="1540" w:right="152"/>
        <w:jc w:val="both"/>
        <w:rPr>
          <w:i/>
          <w:sz w:val="24"/>
        </w:rPr>
      </w:pPr>
      <w:r>
        <w:rPr>
          <w:i/>
          <w:sz w:val="24"/>
        </w:rPr>
        <w:t>Las empresas que prestan servicios básicos esenciales, deben garantizar que la atención al cliente pueda ser proporcionada por personal humano, no automatizado. El uso exclusivo de contestadores automáticos o similares para la atención al</w:t>
      </w:r>
      <w:r>
        <w:rPr>
          <w:i/>
          <w:spacing w:val="-5"/>
          <w:sz w:val="24"/>
        </w:rPr>
        <w:t xml:space="preserve"> </w:t>
      </w:r>
      <w:r>
        <w:rPr>
          <w:i/>
          <w:sz w:val="24"/>
        </w:rPr>
        <w:t>cliente, serán</w:t>
      </w:r>
      <w:r>
        <w:rPr>
          <w:i/>
          <w:spacing w:val="40"/>
          <w:sz w:val="24"/>
        </w:rPr>
        <w:t xml:space="preserve"> </w:t>
      </w:r>
      <w:r>
        <w:rPr>
          <w:i/>
          <w:sz w:val="24"/>
        </w:rPr>
        <w:t>sancionadas</w:t>
      </w:r>
      <w:r>
        <w:rPr>
          <w:i/>
          <w:spacing w:val="40"/>
          <w:sz w:val="24"/>
        </w:rPr>
        <w:t xml:space="preserve"> </w:t>
      </w:r>
      <w:r>
        <w:rPr>
          <w:i/>
          <w:sz w:val="24"/>
        </w:rPr>
        <w:t>de acuerdo a lo establecido en esta ley.</w:t>
      </w:r>
      <w:r>
        <w:rPr>
          <w:i/>
          <w:spacing w:val="80"/>
          <w:sz w:val="24"/>
        </w:rPr>
        <w:t xml:space="preserve"> </w:t>
      </w:r>
      <w:r>
        <w:rPr>
          <w:i/>
          <w:sz w:val="24"/>
        </w:rPr>
        <w:t>Las empresas deben asegurar una atención personalizada cuando el cliente lo solicite durante una consulta, queja o reclamación realizada por teléfono o medios electrónicos, en cualquier momento de la respectiva interacción con el proveedor.</w:t>
      </w:r>
    </w:p>
    <w:p w:rsidR="00BF4870" w:rsidRDefault="00BF4870">
      <w:pPr>
        <w:pStyle w:val="Textoindependiente"/>
        <w:spacing w:before="136"/>
        <w:rPr>
          <w:i/>
        </w:rPr>
      </w:pPr>
    </w:p>
    <w:p w:rsidR="00BF4870" w:rsidRDefault="00000000">
      <w:pPr>
        <w:spacing w:line="360" w:lineRule="auto"/>
        <w:ind w:left="1540" w:right="152"/>
        <w:jc w:val="both"/>
        <w:rPr>
          <w:i/>
          <w:sz w:val="24"/>
        </w:rPr>
      </w:pPr>
      <w:r>
        <w:rPr>
          <w:i/>
          <w:sz w:val="24"/>
        </w:rPr>
        <w:t>La empresa debe asegurar que la solicitud o llamada sea atendida por una persona en un</w:t>
      </w:r>
      <w:r>
        <w:rPr>
          <w:i/>
          <w:spacing w:val="-3"/>
          <w:sz w:val="24"/>
        </w:rPr>
        <w:t xml:space="preserve"> </w:t>
      </w:r>
      <w:r>
        <w:rPr>
          <w:i/>
          <w:sz w:val="24"/>
        </w:rPr>
        <w:t>plazo</w:t>
      </w:r>
      <w:r>
        <w:rPr>
          <w:i/>
          <w:spacing w:val="-3"/>
          <w:sz w:val="24"/>
        </w:rPr>
        <w:t xml:space="preserve"> </w:t>
      </w:r>
      <w:r>
        <w:rPr>
          <w:i/>
          <w:sz w:val="24"/>
        </w:rPr>
        <w:t>máximo</w:t>
      </w:r>
      <w:r>
        <w:rPr>
          <w:i/>
          <w:spacing w:val="-3"/>
          <w:sz w:val="24"/>
        </w:rPr>
        <w:t xml:space="preserve"> </w:t>
      </w:r>
      <w:r>
        <w:rPr>
          <w:i/>
          <w:sz w:val="24"/>
        </w:rPr>
        <w:t>de</w:t>
      </w:r>
      <w:r>
        <w:rPr>
          <w:i/>
          <w:spacing w:val="-3"/>
          <w:sz w:val="24"/>
        </w:rPr>
        <w:t xml:space="preserve"> </w:t>
      </w:r>
      <w:r>
        <w:rPr>
          <w:i/>
          <w:sz w:val="24"/>
        </w:rPr>
        <w:t xml:space="preserve">5 </w:t>
      </w:r>
      <w:r>
        <w:rPr>
          <w:i/>
          <w:spacing w:val="-2"/>
          <w:sz w:val="24"/>
        </w:rPr>
        <w:t>minutos.</w:t>
      </w:r>
    </w:p>
    <w:p w:rsidR="00BF4870" w:rsidRDefault="00BF4870">
      <w:pPr>
        <w:pStyle w:val="Textoindependiente"/>
        <w:spacing w:before="136"/>
        <w:rPr>
          <w:i/>
        </w:rPr>
      </w:pPr>
    </w:p>
    <w:p w:rsidR="00BF4870" w:rsidRDefault="00000000">
      <w:pPr>
        <w:ind w:left="1540"/>
        <w:jc w:val="both"/>
        <w:rPr>
          <w:i/>
          <w:sz w:val="24"/>
        </w:rPr>
      </w:pPr>
      <w:r>
        <w:rPr>
          <w:i/>
          <w:sz w:val="24"/>
        </w:rPr>
        <w:t xml:space="preserve">Se aplicará a las siguientes </w:t>
      </w:r>
      <w:r>
        <w:rPr>
          <w:i/>
          <w:spacing w:val="-2"/>
          <w:sz w:val="24"/>
        </w:rPr>
        <w:t>empresas:</w:t>
      </w:r>
    </w:p>
    <w:p w:rsidR="00BF4870" w:rsidRDefault="00000000">
      <w:pPr>
        <w:spacing w:before="136" w:line="360" w:lineRule="auto"/>
        <w:ind w:left="1540" w:right="158"/>
        <w:jc w:val="both"/>
        <w:rPr>
          <w:i/>
          <w:sz w:val="24"/>
        </w:rPr>
      </w:pPr>
      <w:r>
        <w:rPr>
          <w:i/>
          <w:sz w:val="24"/>
        </w:rPr>
        <w:t>1.-Empresas que sus servicios sean considerados de carácter</w:t>
      </w:r>
      <w:r>
        <w:rPr>
          <w:i/>
          <w:spacing w:val="31"/>
          <w:w w:val="150"/>
          <w:sz w:val="24"/>
        </w:rPr>
        <w:t xml:space="preserve"> </w:t>
      </w:r>
      <w:r>
        <w:rPr>
          <w:i/>
          <w:sz w:val="24"/>
        </w:rPr>
        <w:t>básico</w:t>
      </w:r>
      <w:r>
        <w:rPr>
          <w:i/>
          <w:spacing w:val="32"/>
          <w:w w:val="150"/>
          <w:sz w:val="24"/>
        </w:rPr>
        <w:t xml:space="preserve"> </w:t>
      </w:r>
      <w:r>
        <w:rPr>
          <w:i/>
          <w:sz w:val="24"/>
        </w:rPr>
        <w:t>y</w:t>
      </w:r>
      <w:r>
        <w:rPr>
          <w:i/>
          <w:spacing w:val="32"/>
          <w:w w:val="150"/>
          <w:sz w:val="24"/>
        </w:rPr>
        <w:t xml:space="preserve"> </w:t>
      </w:r>
      <w:r>
        <w:rPr>
          <w:i/>
          <w:sz w:val="24"/>
        </w:rPr>
        <w:t>esencial,</w:t>
      </w:r>
      <w:r>
        <w:rPr>
          <w:i/>
          <w:spacing w:val="32"/>
          <w:w w:val="150"/>
          <w:sz w:val="24"/>
        </w:rPr>
        <w:t xml:space="preserve"> </w:t>
      </w:r>
      <w:r>
        <w:rPr>
          <w:i/>
          <w:sz w:val="24"/>
        </w:rPr>
        <w:t>tal</w:t>
      </w:r>
      <w:r>
        <w:rPr>
          <w:i/>
          <w:spacing w:val="32"/>
          <w:w w:val="150"/>
          <w:sz w:val="24"/>
        </w:rPr>
        <w:t xml:space="preserve"> </w:t>
      </w:r>
      <w:r>
        <w:rPr>
          <w:i/>
          <w:sz w:val="24"/>
        </w:rPr>
        <w:t>como</w:t>
      </w:r>
      <w:r>
        <w:rPr>
          <w:i/>
          <w:spacing w:val="32"/>
          <w:w w:val="150"/>
          <w:sz w:val="24"/>
        </w:rPr>
        <w:t xml:space="preserve"> </w:t>
      </w:r>
      <w:r>
        <w:rPr>
          <w:i/>
          <w:sz w:val="24"/>
        </w:rPr>
        <w:t>lo</w:t>
      </w:r>
      <w:r>
        <w:rPr>
          <w:i/>
          <w:spacing w:val="17"/>
          <w:w w:val="150"/>
          <w:sz w:val="24"/>
        </w:rPr>
        <w:t xml:space="preserve"> </w:t>
      </w:r>
      <w:r>
        <w:rPr>
          <w:i/>
          <w:sz w:val="24"/>
        </w:rPr>
        <w:t>son</w:t>
      </w:r>
      <w:r>
        <w:rPr>
          <w:i/>
          <w:spacing w:val="17"/>
          <w:w w:val="150"/>
          <w:sz w:val="24"/>
        </w:rPr>
        <w:t xml:space="preserve"> </w:t>
      </w:r>
      <w:r>
        <w:rPr>
          <w:i/>
          <w:spacing w:val="-5"/>
          <w:sz w:val="24"/>
        </w:rPr>
        <w:t>las</w:t>
      </w:r>
    </w:p>
    <w:p w:rsidR="00BF4870" w:rsidRDefault="00BF4870">
      <w:pPr>
        <w:spacing w:line="360" w:lineRule="auto"/>
        <w:jc w:val="both"/>
        <w:rPr>
          <w:sz w:val="24"/>
        </w:rPr>
        <w:sectPr w:rsidR="00BF4870">
          <w:pgSz w:w="11920" w:h="16840"/>
          <w:pgMar w:top="1360" w:right="1300" w:bottom="280" w:left="1340" w:header="720" w:footer="720" w:gutter="0"/>
          <w:cols w:space="720"/>
        </w:sectPr>
      </w:pPr>
    </w:p>
    <w:p w:rsidR="00BF4870" w:rsidRDefault="00000000">
      <w:pPr>
        <w:spacing w:before="80" w:line="360" w:lineRule="auto"/>
        <w:ind w:left="1540" w:right="155"/>
        <w:jc w:val="both"/>
        <w:rPr>
          <w:i/>
          <w:sz w:val="24"/>
        </w:rPr>
      </w:pPr>
      <w:r>
        <w:rPr>
          <w:i/>
          <w:sz w:val="24"/>
        </w:rPr>
        <w:t>empresas de suministro y distribución de energía, servicios de sanitarias, servicios de administración de fondos de pensiones (AFP), servicios de transporte aéreo de pasajeros, servicios telefónicos y de internet.</w:t>
      </w:r>
    </w:p>
    <w:p w:rsidR="00BF4870" w:rsidRDefault="00BF4870">
      <w:pPr>
        <w:pStyle w:val="Textoindependiente"/>
        <w:spacing w:before="135"/>
        <w:rPr>
          <w:i/>
        </w:rPr>
      </w:pPr>
    </w:p>
    <w:p w:rsidR="00BF4870" w:rsidRDefault="00000000">
      <w:pPr>
        <w:spacing w:before="1" w:line="360" w:lineRule="auto"/>
        <w:ind w:left="1540" w:right="155"/>
        <w:jc w:val="both"/>
        <w:rPr>
          <w:i/>
          <w:sz w:val="24"/>
        </w:rPr>
      </w:pPr>
      <w:r>
        <w:rPr>
          <w:i/>
          <w:sz w:val="24"/>
        </w:rPr>
        <w:t>2.- Empresas que se encuentren en alguno de los siguientes rangos de ingresos anuales, medidos en unidades</w:t>
      </w:r>
      <w:r>
        <w:rPr>
          <w:i/>
          <w:spacing w:val="40"/>
          <w:sz w:val="24"/>
        </w:rPr>
        <w:t xml:space="preserve"> </w:t>
      </w:r>
      <w:r>
        <w:rPr>
          <w:i/>
          <w:sz w:val="24"/>
        </w:rPr>
        <w:t>de fomento (UF) por el servicio de impuestos internos:</w:t>
      </w:r>
    </w:p>
    <w:p w:rsidR="00BF4870" w:rsidRDefault="00000000">
      <w:pPr>
        <w:ind w:left="2260"/>
        <w:jc w:val="both"/>
        <w:rPr>
          <w:i/>
          <w:sz w:val="24"/>
        </w:rPr>
      </w:pPr>
      <w:r>
        <w:rPr>
          <w:i/>
          <w:sz w:val="24"/>
        </w:rPr>
        <w:t>A.-</w:t>
      </w:r>
      <w:r>
        <w:rPr>
          <w:i/>
          <w:spacing w:val="46"/>
          <w:w w:val="150"/>
          <w:sz w:val="24"/>
        </w:rPr>
        <w:t xml:space="preserve"> </w:t>
      </w:r>
      <w:r>
        <w:rPr>
          <w:i/>
          <w:sz w:val="24"/>
        </w:rPr>
        <w:t>Primer</w:t>
      </w:r>
      <w:r>
        <w:rPr>
          <w:i/>
          <w:spacing w:val="47"/>
          <w:w w:val="150"/>
          <w:sz w:val="24"/>
        </w:rPr>
        <w:t xml:space="preserve"> </w:t>
      </w:r>
      <w:r>
        <w:rPr>
          <w:i/>
          <w:sz w:val="24"/>
        </w:rPr>
        <w:t>Rango</w:t>
      </w:r>
      <w:r>
        <w:rPr>
          <w:i/>
          <w:spacing w:val="32"/>
          <w:w w:val="150"/>
          <w:sz w:val="24"/>
        </w:rPr>
        <w:t xml:space="preserve"> </w:t>
      </w:r>
      <w:r>
        <w:rPr>
          <w:i/>
          <w:sz w:val="24"/>
        </w:rPr>
        <w:t>Gran</w:t>
      </w:r>
      <w:r>
        <w:rPr>
          <w:i/>
          <w:spacing w:val="32"/>
          <w:w w:val="150"/>
          <w:sz w:val="24"/>
        </w:rPr>
        <w:t xml:space="preserve"> </w:t>
      </w:r>
      <w:r>
        <w:rPr>
          <w:i/>
          <w:sz w:val="24"/>
        </w:rPr>
        <w:t>Empresa:</w:t>
      </w:r>
      <w:r>
        <w:rPr>
          <w:i/>
          <w:spacing w:val="32"/>
          <w:w w:val="150"/>
          <w:sz w:val="24"/>
        </w:rPr>
        <w:t xml:space="preserve"> </w:t>
      </w:r>
      <w:r>
        <w:rPr>
          <w:i/>
          <w:sz w:val="24"/>
        </w:rPr>
        <w:t>100.000,01</w:t>
      </w:r>
      <w:r>
        <w:rPr>
          <w:i/>
          <w:spacing w:val="32"/>
          <w:w w:val="150"/>
          <w:sz w:val="24"/>
        </w:rPr>
        <w:t xml:space="preserve"> </w:t>
      </w:r>
      <w:r>
        <w:rPr>
          <w:i/>
          <w:spacing w:val="-10"/>
          <w:sz w:val="24"/>
        </w:rPr>
        <w:t>a</w:t>
      </w:r>
    </w:p>
    <w:p w:rsidR="00BF4870" w:rsidRDefault="00BF4870">
      <w:pPr>
        <w:pStyle w:val="Textoindependiente"/>
        <w:spacing w:before="11"/>
        <w:rPr>
          <w:i/>
          <w:sz w:val="11"/>
        </w:rPr>
      </w:pPr>
    </w:p>
    <w:tbl>
      <w:tblPr>
        <w:tblStyle w:val="TableNormal"/>
        <w:tblW w:w="0" w:type="auto"/>
        <w:tblInd w:w="2217" w:type="dxa"/>
        <w:tblLayout w:type="fixed"/>
        <w:tblLook w:val="01E0" w:firstRow="1" w:lastRow="1" w:firstColumn="1" w:lastColumn="1" w:noHBand="0" w:noVBand="0"/>
      </w:tblPr>
      <w:tblGrid>
        <w:gridCol w:w="3579"/>
        <w:gridCol w:w="1394"/>
        <w:gridCol w:w="1682"/>
        <w:gridCol w:w="308"/>
      </w:tblGrid>
      <w:tr w:rsidR="00BF4870">
        <w:trPr>
          <w:trHeight w:val="339"/>
        </w:trPr>
        <w:tc>
          <w:tcPr>
            <w:tcW w:w="3579" w:type="dxa"/>
          </w:tcPr>
          <w:p w:rsidR="00BF4870" w:rsidRDefault="00000000">
            <w:pPr>
              <w:pStyle w:val="TableParagraph"/>
              <w:spacing w:before="0"/>
              <w:ind w:left="50"/>
              <w:rPr>
                <w:i/>
                <w:sz w:val="24"/>
              </w:rPr>
            </w:pPr>
            <w:r>
              <w:rPr>
                <w:i/>
                <w:sz w:val="24"/>
              </w:rPr>
              <w:t xml:space="preserve">200.000,00 UF </w:t>
            </w:r>
            <w:r>
              <w:rPr>
                <w:i/>
                <w:spacing w:val="-2"/>
                <w:sz w:val="24"/>
              </w:rPr>
              <w:t>Anuales.</w:t>
            </w:r>
          </w:p>
        </w:tc>
        <w:tc>
          <w:tcPr>
            <w:tcW w:w="3384" w:type="dxa"/>
            <w:gridSpan w:val="3"/>
          </w:tcPr>
          <w:p w:rsidR="00BF4870" w:rsidRDefault="00BF4870">
            <w:pPr>
              <w:pStyle w:val="TableParagraph"/>
              <w:spacing w:before="0"/>
              <w:rPr>
                <w:rFonts w:ascii="Times New Roman"/>
                <w:sz w:val="24"/>
              </w:rPr>
            </w:pPr>
          </w:p>
        </w:tc>
      </w:tr>
      <w:tr w:rsidR="00BF4870">
        <w:trPr>
          <w:trHeight w:val="407"/>
        </w:trPr>
        <w:tc>
          <w:tcPr>
            <w:tcW w:w="3579" w:type="dxa"/>
          </w:tcPr>
          <w:p w:rsidR="00BF4870" w:rsidRDefault="00000000">
            <w:pPr>
              <w:pStyle w:val="TableParagraph"/>
              <w:ind w:left="50"/>
              <w:rPr>
                <w:i/>
                <w:sz w:val="24"/>
              </w:rPr>
            </w:pPr>
            <w:r>
              <w:rPr>
                <w:i/>
                <w:sz w:val="24"/>
              </w:rPr>
              <w:t>B.-</w:t>
            </w:r>
            <w:r>
              <w:rPr>
                <w:i/>
                <w:spacing w:val="16"/>
                <w:w w:val="150"/>
                <w:sz w:val="24"/>
              </w:rPr>
              <w:t xml:space="preserve"> </w:t>
            </w:r>
            <w:r>
              <w:rPr>
                <w:i/>
                <w:sz w:val="24"/>
              </w:rPr>
              <w:t>Segundo</w:t>
            </w:r>
            <w:r>
              <w:rPr>
                <w:i/>
                <w:spacing w:val="17"/>
                <w:w w:val="150"/>
                <w:sz w:val="24"/>
              </w:rPr>
              <w:t xml:space="preserve"> </w:t>
            </w:r>
            <w:r>
              <w:rPr>
                <w:i/>
                <w:sz w:val="24"/>
              </w:rPr>
              <w:t>Rango</w:t>
            </w:r>
            <w:r>
              <w:rPr>
                <w:i/>
                <w:spacing w:val="17"/>
                <w:w w:val="150"/>
                <w:sz w:val="24"/>
              </w:rPr>
              <w:t xml:space="preserve"> </w:t>
            </w:r>
            <w:r>
              <w:rPr>
                <w:i/>
                <w:spacing w:val="-4"/>
                <w:sz w:val="24"/>
              </w:rPr>
              <w:t>Gran</w:t>
            </w:r>
          </w:p>
        </w:tc>
        <w:tc>
          <w:tcPr>
            <w:tcW w:w="1394" w:type="dxa"/>
          </w:tcPr>
          <w:p w:rsidR="00BF4870" w:rsidRDefault="00000000">
            <w:pPr>
              <w:pStyle w:val="TableParagraph"/>
              <w:ind w:left="143"/>
              <w:rPr>
                <w:i/>
                <w:sz w:val="24"/>
              </w:rPr>
            </w:pPr>
            <w:r>
              <w:rPr>
                <w:i/>
                <w:spacing w:val="-2"/>
                <w:sz w:val="24"/>
              </w:rPr>
              <w:t>Empresa:</w:t>
            </w:r>
          </w:p>
        </w:tc>
        <w:tc>
          <w:tcPr>
            <w:tcW w:w="1682" w:type="dxa"/>
          </w:tcPr>
          <w:p w:rsidR="00BF4870" w:rsidRDefault="00000000">
            <w:pPr>
              <w:pStyle w:val="TableParagraph"/>
              <w:ind w:left="75" w:right="46"/>
              <w:jc w:val="center"/>
              <w:rPr>
                <w:i/>
                <w:sz w:val="24"/>
              </w:rPr>
            </w:pPr>
            <w:r>
              <w:rPr>
                <w:i/>
                <w:spacing w:val="-2"/>
                <w:sz w:val="24"/>
              </w:rPr>
              <w:t>200.000,01</w:t>
            </w:r>
          </w:p>
        </w:tc>
        <w:tc>
          <w:tcPr>
            <w:tcW w:w="308" w:type="dxa"/>
          </w:tcPr>
          <w:p w:rsidR="00BF4870" w:rsidRDefault="00000000">
            <w:pPr>
              <w:pStyle w:val="TableParagraph"/>
              <w:ind w:left="62"/>
              <w:jc w:val="center"/>
              <w:rPr>
                <w:i/>
                <w:sz w:val="24"/>
              </w:rPr>
            </w:pPr>
            <w:r>
              <w:rPr>
                <w:i/>
                <w:spacing w:val="-10"/>
                <w:sz w:val="24"/>
              </w:rPr>
              <w:t>a</w:t>
            </w:r>
          </w:p>
        </w:tc>
      </w:tr>
      <w:tr w:rsidR="00BF4870">
        <w:trPr>
          <w:trHeight w:val="407"/>
        </w:trPr>
        <w:tc>
          <w:tcPr>
            <w:tcW w:w="3579" w:type="dxa"/>
          </w:tcPr>
          <w:p w:rsidR="00BF4870" w:rsidRDefault="00000000">
            <w:pPr>
              <w:pStyle w:val="TableParagraph"/>
              <w:ind w:left="50"/>
              <w:rPr>
                <w:i/>
                <w:sz w:val="24"/>
              </w:rPr>
            </w:pPr>
            <w:r>
              <w:rPr>
                <w:i/>
                <w:sz w:val="24"/>
              </w:rPr>
              <w:t xml:space="preserve">600.000,00 UF </w:t>
            </w:r>
            <w:r>
              <w:rPr>
                <w:i/>
                <w:spacing w:val="-2"/>
                <w:sz w:val="24"/>
              </w:rPr>
              <w:t>Anuales.</w:t>
            </w:r>
          </w:p>
        </w:tc>
        <w:tc>
          <w:tcPr>
            <w:tcW w:w="1394" w:type="dxa"/>
          </w:tcPr>
          <w:p w:rsidR="00BF4870" w:rsidRDefault="00BF4870">
            <w:pPr>
              <w:pStyle w:val="TableParagraph"/>
              <w:spacing w:before="0"/>
              <w:rPr>
                <w:rFonts w:ascii="Times New Roman"/>
                <w:sz w:val="24"/>
              </w:rPr>
            </w:pPr>
          </w:p>
        </w:tc>
        <w:tc>
          <w:tcPr>
            <w:tcW w:w="1682" w:type="dxa"/>
          </w:tcPr>
          <w:p w:rsidR="00BF4870" w:rsidRDefault="00BF4870">
            <w:pPr>
              <w:pStyle w:val="TableParagraph"/>
              <w:spacing w:before="0"/>
              <w:rPr>
                <w:rFonts w:ascii="Times New Roman"/>
                <w:sz w:val="24"/>
              </w:rPr>
            </w:pPr>
          </w:p>
        </w:tc>
        <w:tc>
          <w:tcPr>
            <w:tcW w:w="308" w:type="dxa"/>
          </w:tcPr>
          <w:p w:rsidR="00BF4870" w:rsidRDefault="00BF4870">
            <w:pPr>
              <w:pStyle w:val="TableParagraph"/>
              <w:spacing w:before="0"/>
              <w:rPr>
                <w:rFonts w:ascii="Times New Roman"/>
                <w:sz w:val="24"/>
              </w:rPr>
            </w:pPr>
          </w:p>
        </w:tc>
      </w:tr>
      <w:tr w:rsidR="00BF4870">
        <w:trPr>
          <w:trHeight w:val="339"/>
        </w:trPr>
        <w:tc>
          <w:tcPr>
            <w:tcW w:w="3579" w:type="dxa"/>
          </w:tcPr>
          <w:p w:rsidR="00BF4870" w:rsidRDefault="00000000">
            <w:pPr>
              <w:pStyle w:val="TableParagraph"/>
              <w:spacing w:line="252" w:lineRule="exact"/>
              <w:ind w:left="50"/>
              <w:rPr>
                <w:i/>
                <w:sz w:val="24"/>
              </w:rPr>
            </w:pPr>
            <w:r>
              <w:rPr>
                <w:i/>
                <w:sz w:val="24"/>
              </w:rPr>
              <w:t>C.-</w:t>
            </w:r>
            <w:r>
              <w:rPr>
                <w:i/>
                <w:spacing w:val="46"/>
                <w:w w:val="150"/>
                <w:sz w:val="24"/>
              </w:rPr>
              <w:t xml:space="preserve"> </w:t>
            </w:r>
            <w:r>
              <w:rPr>
                <w:i/>
                <w:sz w:val="24"/>
              </w:rPr>
              <w:t>Tercer</w:t>
            </w:r>
            <w:r>
              <w:rPr>
                <w:i/>
                <w:spacing w:val="47"/>
                <w:w w:val="150"/>
                <w:sz w:val="24"/>
              </w:rPr>
              <w:t xml:space="preserve"> </w:t>
            </w:r>
            <w:r>
              <w:rPr>
                <w:i/>
                <w:sz w:val="24"/>
              </w:rPr>
              <w:t>Rango</w:t>
            </w:r>
            <w:r>
              <w:rPr>
                <w:i/>
                <w:spacing w:val="32"/>
                <w:w w:val="150"/>
                <w:sz w:val="24"/>
              </w:rPr>
              <w:t xml:space="preserve"> </w:t>
            </w:r>
            <w:r>
              <w:rPr>
                <w:i/>
                <w:spacing w:val="-4"/>
                <w:sz w:val="24"/>
              </w:rPr>
              <w:t>Gran</w:t>
            </w:r>
          </w:p>
        </w:tc>
        <w:tc>
          <w:tcPr>
            <w:tcW w:w="1394" w:type="dxa"/>
          </w:tcPr>
          <w:p w:rsidR="00BF4870" w:rsidRDefault="00000000">
            <w:pPr>
              <w:pStyle w:val="TableParagraph"/>
              <w:spacing w:line="252" w:lineRule="exact"/>
              <w:ind w:left="89"/>
              <w:rPr>
                <w:i/>
                <w:sz w:val="24"/>
              </w:rPr>
            </w:pPr>
            <w:r>
              <w:rPr>
                <w:i/>
                <w:spacing w:val="-2"/>
                <w:sz w:val="24"/>
              </w:rPr>
              <w:t>Empresa:</w:t>
            </w:r>
          </w:p>
        </w:tc>
        <w:tc>
          <w:tcPr>
            <w:tcW w:w="1682" w:type="dxa"/>
          </w:tcPr>
          <w:p w:rsidR="00BF4870" w:rsidRDefault="00000000">
            <w:pPr>
              <w:pStyle w:val="TableParagraph"/>
              <w:spacing w:line="252" w:lineRule="exact"/>
              <w:ind w:left="29" w:right="75"/>
              <w:jc w:val="center"/>
              <w:rPr>
                <w:i/>
                <w:sz w:val="24"/>
              </w:rPr>
            </w:pPr>
            <w:r>
              <w:rPr>
                <w:i/>
                <w:spacing w:val="-2"/>
                <w:sz w:val="24"/>
              </w:rPr>
              <w:t>600.000,01</w:t>
            </w:r>
          </w:p>
        </w:tc>
        <w:tc>
          <w:tcPr>
            <w:tcW w:w="308" w:type="dxa"/>
          </w:tcPr>
          <w:p w:rsidR="00BF4870" w:rsidRDefault="00000000">
            <w:pPr>
              <w:pStyle w:val="TableParagraph"/>
              <w:spacing w:line="252" w:lineRule="exact"/>
              <w:ind w:left="62" w:right="19"/>
              <w:jc w:val="center"/>
              <w:rPr>
                <w:i/>
                <w:sz w:val="24"/>
              </w:rPr>
            </w:pPr>
            <w:r>
              <w:rPr>
                <w:i/>
                <w:spacing w:val="-10"/>
                <w:sz w:val="24"/>
              </w:rPr>
              <w:t>a</w:t>
            </w:r>
          </w:p>
        </w:tc>
      </w:tr>
    </w:tbl>
    <w:p w:rsidR="00BF4870" w:rsidRDefault="00000000">
      <w:pPr>
        <w:spacing w:before="139"/>
        <w:ind w:left="2260"/>
        <w:jc w:val="both"/>
        <w:rPr>
          <w:i/>
          <w:sz w:val="24"/>
        </w:rPr>
      </w:pPr>
      <w:r>
        <w:rPr>
          <w:i/>
          <w:sz w:val="24"/>
        </w:rPr>
        <w:t xml:space="preserve">1.000.000,00 UF </w:t>
      </w:r>
      <w:r>
        <w:rPr>
          <w:i/>
          <w:spacing w:val="-2"/>
          <w:sz w:val="24"/>
        </w:rPr>
        <w:t>Anuales.</w:t>
      </w:r>
    </w:p>
    <w:p w:rsidR="00BF4870" w:rsidRDefault="00000000">
      <w:pPr>
        <w:spacing w:before="136" w:line="360" w:lineRule="auto"/>
        <w:ind w:left="2260" w:right="159"/>
        <w:jc w:val="both"/>
        <w:rPr>
          <w:i/>
          <w:sz w:val="24"/>
        </w:rPr>
      </w:pPr>
      <w:r>
        <w:rPr>
          <w:i/>
          <w:sz w:val="24"/>
        </w:rPr>
        <w:t>D.- Cuarto Rango Gran Empresa: más de 1.000.000,01 UF Anuales.</w:t>
      </w:r>
    </w:p>
    <w:p w:rsidR="00BF4870" w:rsidRDefault="00BF4870">
      <w:pPr>
        <w:pStyle w:val="Textoindependiente"/>
        <w:spacing w:before="136"/>
        <w:rPr>
          <w:i/>
        </w:rPr>
      </w:pPr>
    </w:p>
    <w:p w:rsidR="00BF4870" w:rsidRDefault="00000000">
      <w:pPr>
        <w:ind w:left="1540"/>
        <w:jc w:val="both"/>
        <w:rPr>
          <w:i/>
          <w:sz w:val="24"/>
        </w:rPr>
      </w:pPr>
      <w:r>
        <w:rPr>
          <w:i/>
          <w:sz w:val="24"/>
        </w:rPr>
        <w:t xml:space="preserve">Quedan excluidas las pequeñas y medianas </w:t>
      </w:r>
      <w:r>
        <w:rPr>
          <w:i/>
          <w:spacing w:val="-2"/>
          <w:sz w:val="24"/>
        </w:rPr>
        <w:t>empresas.</w:t>
      </w:r>
    </w:p>
    <w:p w:rsidR="00BF4870" w:rsidRDefault="00BF4870">
      <w:pPr>
        <w:pStyle w:val="Textoindependiente"/>
        <w:rPr>
          <w:i/>
        </w:rPr>
      </w:pPr>
    </w:p>
    <w:p w:rsidR="00BF4870" w:rsidRDefault="00BF4870">
      <w:pPr>
        <w:pStyle w:val="Textoindependiente"/>
        <w:rPr>
          <w:i/>
        </w:rPr>
      </w:pPr>
    </w:p>
    <w:p w:rsidR="00BF4870" w:rsidRDefault="00000000">
      <w:pPr>
        <w:spacing w:line="360" w:lineRule="auto"/>
        <w:ind w:left="1540" w:right="156"/>
        <w:jc w:val="both"/>
        <w:rPr>
          <w:i/>
          <w:sz w:val="24"/>
        </w:rPr>
      </w:pPr>
      <w:r>
        <w:rPr>
          <w:i/>
          <w:sz w:val="24"/>
        </w:rPr>
        <w:t>Las formas de publicitar los canales de comunicación, con objeto de que sean atendidas las consultas o quejas, deberán constar en el contrato con la respectiva empresa, en la factura que se emita al cliente y en su sitio web, en una área de fácil identificación, de un tamaño considerable de fácil lectura y accesibilidad.</w:t>
      </w:r>
    </w:p>
    <w:p w:rsidR="00BF4870" w:rsidRDefault="00BF4870">
      <w:pPr>
        <w:pStyle w:val="Textoindependiente"/>
        <w:spacing w:before="136"/>
        <w:rPr>
          <w:i/>
        </w:rPr>
      </w:pPr>
    </w:p>
    <w:p w:rsidR="00BF4870" w:rsidRDefault="00000000">
      <w:pPr>
        <w:spacing w:line="360" w:lineRule="auto"/>
        <w:ind w:left="1540" w:right="158"/>
        <w:jc w:val="both"/>
        <w:rPr>
          <w:i/>
          <w:sz w:val="24"/>
        </w:rPr>
      </w:pPr>
      <w:r>
        <w:rPr>
          <w:i/>
          <w:sz w:val="24"/>
        </w:rPr>
        <w:t>En caso de que el documento que</w:t>
      </w:r>
      <w:r>
        <w:rPr>
          <w:i/>
          <w:spacing w:val="-4"/>
          <w:sz w:val="24"/>
        </w:rPr>
        <w:t xml:space="preserve"> </w:t>
      </w:r>
      <w:r>
        <w:rPr>
          <w:i/>
          <w:sz w:val="24"/>
        </w:rPr>
        <w:t>registra</w:t>
      </w:r>
      <w:r>
        <w:rPr>
          <w:i/>
          <w:spacing w:val="-4"/>
          <w:sz w:val="24"/>
        </w:rPr>
        <w:t xml:space="preserve"> </w:t>
      </w:r>
      <w:r>
        <w:rPr>
          <w:i/>
          <w:sz w:val="24"/>
        </w:rPr>
        <w:t>el</w:t>
      </w:r>
      <w:r>
        <w:rPr>
          <w:i/>
          <w:spacing w:val="-4"/>
          <w:sz w:val="24"/>
        </w:rPr>
        <w:t xml:space="preserve"> </w:t>
      </w:r>
      <w:r>
        <w:rPr>
          <w:i/>
          <w:sz w:val="24"/>
        </w:rPr>
        <w:t>contrato de servicios sea de una medida o tamaño pequeño, siendo imposible la constancia de los canales de comunicación en el mismo, deberá la empresa</w:t>
      </w:r>
      <w:r>
        <w:rPr>
          <w:i/>
          <w:spacing w:val="-5"/>
          <w:sz w:val="24"/>
        </w:rPr>
        <w:t xml:space="preserve"> </w:t>
      </w:r>
      <w:r>
        <w:rPr>
          <w:i/>
          <w:sz w:val="24"/>
        </w:rPr>
        <w:t>procurar que en sus lugares de venta sean visibles.</w:t>
      </w:r>
    </w:p>
    <w:p w:rsidR="00BF4870" w:rsidRDefault="00BF4870">
      <w:pPr>
        <w:spacing w:line="360" w:lineRule="auto"/>
        <w:jc w:val="both"/>
        <w:rPr>
          <w:sz w:val="24"/>
        </w:rPr>
        <w:sectPr w:rsidR="00BF4870">
          <w:pgSz w:w="11920" w:h="16840"/>
          <w:pgMar w:top="1360" w:right="1300" w:bottom="280" w:left="1340" w:header="720" w:footer="720" w:gutter="0"/>
          <w:cols w:space="720"/>
        </w:sectPr>
      </w:pPr>
    </w:p>
    <w:p w:rsidR="00BF4870" w:rsidRDefault="00000000">
      <w:pPr>
        <w:spacing w:before="88" w:line="360" w:lineRule="auto"/>
        <w:ind w:left="1540" w:right="152"/>
        <w:jc w:val="both"/>
        <w:rPr>
          <w:i/>
          <w:sz w:val="24"/>
        </w:rPr>
      </w:pPr>
      <w:r>
        <w:rPr>
          <w:i/>
          <w:sz w:val="24"/>
        </w:rPr>
        <w:t>Las empresas que no cumplan con la presente normativa, serán sancionadas con una multa de 1.000 UTM, o de la que establezca el órgano sectorial correspondiente, sin perjuicio de las otras acciones legales que puedan proceder.</w:t>
      </w:r>
    </w:p>
    <w:p w:rsidR="00BF4870" w:rsidRDefault="00BF4870">
      <w:pPr>
        <w:pStyle w:val="Textoindependiente"/>
        <w:spacing w:before="135"/>
        <w:rPr>
          <w:i/>
        </w:rPr>
      </w:pPr>
    </w:p>
    <w:p w:rsidR="00BF4870" w:rsidRDefault="00000000">
      <w:pPr>
        <w:pStyle w:val="Textoindependiente"/>
        <w:spacing w:line="360" w:lineRule="auto"/>
        <w:ind w:left="100" w:right="155"/>
        <w:jc w:val="both"/>
      </w:pPr>
      <w:r>
        <w:t>2.-Agrégase una nueva letra g) al artículo</w:t>
      </w:r>
      <w:r>
        <w:rPr>
          <w:spacing w:val="-4"/>
        </w:rPr>
        <w:t xml:space="preserve"> </w:t>
      </w:r>
      <w:r>
        <w:t>3.-</w:t>
      </w:r>
      <w:r>
        <w:rPr>
          <w:spacing w:val="-4"/>
        </w:rPr>
        <w:t xml:space="preserve"> </w:t>
      </w:r>
      <w:r>
        <w:t>que</w:t>
      </w:r>
      <w:r>
        <w:rPr>
          <w:spacing w:val="-4"/>
        </w:rPr>
        <w:t xml:space="preserve"> </w:t>
      </w:r>
      <w:r>
        <w:t xml:space="preserve">establezca: </w:t>
      </w:r>
      <w:r>
        <w:rPr>
          <w:i/>
        </w:rPr>
        <w:t>‘‘</w:t>
      </w:r>
      <w:r>
        <w:t xml:space="preserve">El recibir atención por personal humano, no automatizado, cuando el cliente lo solicite, durante una consulta, queja o </w:t>
      </w:r>
      <w:r>
        <w:rPr>
          <w:spacing w:val="-2"/>
        </w:rPr>
        <w:t>reclamación’’.</w:t>
      </w:r>
    </w:p>
    <w:sectPr w:rsidR="00BF4870">
      <w:pgSz w:w="11920" w:h="16840"/>
      <w:pgMar w:top="176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F4870"/>
    <w:rsid w:val="001D6621"/>
    <w:rsid w:val="00BF4870"/>
    <w:rsid w:val="00E557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74882B-527B-469C-8943-CE541C85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spacing w:before="1"/>
      <w:ind w:left="100"/>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924</Words>
  <Characters>5085</Characters>
  <Application>Microsoft Office Word</Application>
  <DocSecurity>0</DocSecurity>
  <Lines>42</Lines>
  <Paragraphs>11</Paragraphs>
  <ScaleCrop>false</ScaleCrop>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Atención personal y humana en empresas de servicios esenciales</dc:title>
  <cp:lastModifiedBy>Guillermo Diaz Vallejos</cp:lastModifiedBy>
  <cp:revision>1</cp:revision>
  <dcterms:created xsi:type="dcterms:W3CDTF">2024-08-14T14:31:00Z</dcterms:created>
  <dcterms:modified xsi:type="dcterms:W3CDTF">2024-09-03T16:29:00Z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m129 Google Docs Renderer</vt:lpwstr>
  </property>
</Properties>
</file>