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5500" w:rsidRDefault="00000000">
      <w:pPr>
        <w:pStyle w:val="Textoindependiente"/>
        <w:ind w:left="3842"/>
        <w:rPr>
          <w:rFonts w:ascii="Times New Roman"/>
          <w:sz w:val="20"/>
        </w:rPr>
      </w:pPr>
      <w:r>
        <w:rPr>
          <w:rFonts w:ascii="Times New Roman"/>
          <w:noProof/>
          <w:sz w:val="20"/>
        </w:rPr>
        <w:drawing>
          <wp:inline distT="0" distB="0" distL="0" distR="0">
            <wp:extent cx="892367"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2367" cy="859536"/>
                    </a:xfrm>
                    <a:prstGeom prst="rect">
                      <a:avLst/>
                    </a:prstGeom>
                  </pic:spPr>
                </pic:pic>
              </a:graphicData>
            </a:graphic>
          </wp:inline>
        </w:drawing>
      </w:r>
    </w:p>
    <w:p w:rsidR="00645500" w:rsidRDefault="00645500">
      <w:pPr>
        <w:pStyle w:val="Textoindependiente"/>
        <w:spacing w:before="143"/>
        <w:rPr>
          <w:rFonts w:ascii="Times New Roman"/>
          <w:sz w:val="23"/>
        </w:rPr>
      </w:pPr>
    </w:p>
    <w:p w:rsidR="00645500" w:rsidRDefault="00000000">
      <w:pPr>
        <w:spacing w:line="288" w:lineRule="auto"/>
        <w:ind w:left="19"/>
        <w:jc w:val="center"/>
        <w:rPr>
          <w:b/>
          <w:sz w:val="23"/>
        </w:rPr>
      </w:pPr>
      <w:r>
        <w:rPr>
          <w:b/>
          <w:sz w:val="23"/>
        </w:rPr>
        <w:t>MODIFICA LA LEY N°18.575, ORGÁNICA CONSTITUCIONAL DE BASES GENERALES DE LA ADMINISTRACIÓN DEL ESTADO, PARA ESTABLECER EXPRESAMENTE COMO CONDUCTA CONTRARIA</w:t>
      </w:r>
      <w:r>
        <w:rPr>
          <w:b/>
          <w:spacing w:val="-4"/>
          <w:sz w:val="23"/>
        </w:rPr>
        <w:t xml:space="preserve"> </w:t>
      </w:r>
      <w:r>
        <w:rPr>
          <w:b/>
          <w:sz w:val="23"/>
        </w:rPr>
        <w:t>A</w:t>
      </w:r>
      <w:r>
        <w:rPr>
          <w:b/>
          <w:spacing w:val="-4"/>
          <w:sz w:val="23"/>
        </w:rPr>
        <w:t xml:space="preserve"> </w:t>
      </w:r>
      <w:r>
        <w:rPr>
          <w:b/>
          <w:sz w:val="23"/>
        </w:rPr>
        <w:t>LA</w:t>
      </w:r>
      <w:r>
        <w:rPr>
          <w:b/>
          <w:spacing w:val="-4"/>
          <w:sz w:val="23"/>
        </w:rPr>
        <w:t xml:space="preserve"> </w:t>
      </w:r>
      <w:r>
        <w:rPr>
          <w:b/>
          <w:sz w:val="23"/>
        </w:rPr>
        <w:t>PROBIDAD</w:t>
      </w:r>
      <w:r>
        <w:rPr>
          <w:b/>
          <w:spacing w:val="-4"/>
          <w:sz w:val="23"/>
        </w:rPr>
        <w:t xml:space="preserve"> </w:t>
      </w:r>
      <w:r>
        <w:rPr>
          <w:b/>
          <w:sz w:val="23"/>
        </w:rPr>
        <w:t>ADMINISTRATIVA,</w:t>
      </w:r>
      <w:r>
        <w:rPr>
          <w:b/>
          <w:spacing w:val="-4"/>
          <w:sz w:val="23"/>
        </w:rPr>
        <w:t xml:space="preserve"> </w:t>
      </w:r>
      <w:r>
        <w:rPr>
          <w:b/>
          <w:sz w:val="23"/>
        </w:rPr>
        <w:t>EL</w:t>
      </w:r>
      <w:r>
        <w:rPr>
          <w:b/>
          <w:spacing w:val="-4"/>
          <w:sz w:val="23"/>
        </w:rPr>
        <w:t xml:space="preserve"> </w:t>
      </w:r>
      <w:r>
        <w:rPr>
          <w:b/>
          <w:sz w:val="23"/>
        </w:rPr>
        <w:t>CONSUMO</w:t>
      </w:r>
      <w:r>
        <w:rPr>
          <w:b/>
          <w:spacing w:val="-4"/>
          <w:sz w:val="23"/>
        </w:rPr>
        <w:t xml:space="preserve"> </w:t>
      </w:r>
      <w:r>
        <w:rPr>
          <w:b/>
          <w:sz w:val="23"/>
        </w:rPr>
        <w:t>DE</w:t>
      </w:r>
      <w:r>
        <w:rPr>
          <w:b/>
          <w:spacing w:val="-4"/>
          <w:sz w:val="23"/>
        </w:rPr>
        <w:t xml:space="preserve"> </w:t>
      </w:r>
      <w:r>
        <w:rPr>
          <w:b/>
          <w:sz w:val="23"/>
        </w:rPr>
        <w:t>SUSTANCIAS</w:t>
      </w:r>
      <w:r>
        <w:rPr>
          <w:b/>
          <w:spacing w:val="-4"/>
          <w:sz w:val="23"/>
        </w:rPr>
        <w:t xml:space="preserve"> </w:t>
      </w:r>
      <w:r>
        <w:rPr>
          <w:b/>
          <w:sz w:val="23"/>
        </w:rPr>
        <w:t>O</w:t>
      </w:r>
      <w:r>
        <w:rPr>
          <w:b/>
          <w:spacing w:val="-4"/>
          <w:sz w:val="23"/>
        </w:rPr>
        <w:t xml:space="preserve"> </w:t>
      </w:r>
      <w:r>
        <w:rPr>
          <w:b/>
          <w:sz w:val="23"/>
        </w:rPr>
        <w:t>DROGAS ESTUPEFACIENTES O SICOTRÓPICAS ILEGALES</w:t>
      </w:r>
    </w:p>
    <w:p w:rsidR="00645500" w:rsidRDefault="00645500">
      <w:pPr>
        <w:pStyle w:val="Textoindependiente"/>
        <w:rPr>
          <w:b/>
          <w:sz w:val="23"/>
        </w:rPr>
      </w:pPr>
    </w:p>
    <w:p w:rsidR="00645500" w:rsidRDefault="00645500">
      <w:pPr>
        <w:pStyle w:val="Textoindependiente"/>
        <w:spacing w:before="25"/>
        <w:rPr>
          <w:b/>
          <w:sz w:val="23"/>
        </w:rPr>
      </w:pPr>
    </w:p>
    <w:p w:rsidR="00645500" w:rsidRDefault="00000000">
      <w:pPr>
        <w:pStyle w:val="Prrafodelista"/>
        <w:numPr>
          <w:ilvl w:val="0"/>
          <w:numId w:val="1"/>
        </w:numPr>
        <w:tabs>
          <w:tab w:val="left" w:pos="658"/>
        </w:tabs>
        <w:ind w:hanging="539"/>
        <w:rPr>
          <w:b/>
          <w:sz w:val="23"/>
        </w:rPr>
      </w:pPr>
      <w:r>
        <w:rPr>
          <w:b/>
          <w:spacing w:val="-2"/>
          <w:sz w:val="23"/>
        </w:rPr>
        <w:t>ANTECEDENTES</w:t>
      </w:r>
    </w:p>
    <w:p w:rsidR="00645500" w:rsidRDefault="00645500">
      <w:pPr>
        <w:pStyle w:val="Textoindependiente"/>
        <w:spacing w:before="72"/>
        <w:rPr>
          <w:b/>
          <w:sz w:val="23"/>
        </w:rPr>
      </w:pPr>
    </w:p>
    <w:p w:rsidR="00645500" w:rsidRDefault="00000000">
      <w:pPr>
        <w:pStyle w:val="Textoindependiente"/>
        <w:spacing w:line="264" w:lineRule="auto"/>
        <w:ind w:left="119" w:right="100"/>
        <w:jc w:val="both"/>
      </w:pPr>
      <w:r>
        <w:t>La evidencia del último tiempo da cuenta que el consumo de drogas ha logrado instalarse con cierta permanencia en nuestro país, luego del avance sostenido de peligrosas bandas transnacionales ligadas al narcotráfico en la región latinoamericana, donde, además, el fenómeno de la narcocultura ha facilitado la expansión de un mercado ilícito que lamentablemente reúne a una gran cantidad de consumidores.</w:t>
      </w:r>
    </w:p>
    <w:p w:rsidR="00645500" w:rsidRDefault="00645500">
      <w:pPr>
        <w:pStyle w:val="Textoindependiente"/>
        <w:spacing w:before="30"/>
      </w:pPr>
    </w:p>
    <w:p w:rsidR="00645500" w:rsidRDefault="00000000">
      <w:pPr>
        <w:pStyle w:val="Textoindependiente"/>
        <w:spacing w:before="1" w:line="264" w:lineRule="auto"/>
        <w:ind w:left="119" w:right="100"/>
        <w:jc w:val="both"/>
      </w:pPr>
      <w:r>
        <w:t>La función pública que se orienta por el principio de la probidad administrativa y la búsqueda del bien común, necesariamente debe desarrollarse libre de cualquier vínculo con el narcotráfico y otros flagelos de igual relevancia asociados a este fenómeno, entre ellos, el crimen organizado.</w:t>
      </w:r>
    </w:p>
    <w:p w:rsidR="00645500" w:rsidRDefault="00645500">
      <w:pPr>
        <w:pStyle w:val="Textoindependiente"/>
        <w:spacing w:before="25"/>
      </w:pPr>
    </w:p>
    <w:p w:rsidR="00645500" w:rsidRDefault="00000000">
      <w:pPr>
        <w:spacing w:line="264" w:lineRule="auto"/>
        <w:ind w:left="119" w:right="100"/>
        <w:jc w:val="both"/>
        <w:rPr>
          <w:i/>
          <w:sz w:val="24"/>
        </w:rPr>
      </w:pPr>
      <w:r>
        <w:rPr>
          <w:sz w:val="24"/>
        </w:rPr>
        <w:t>En tal sentido, el artículo 8º de la Constitución Política indica que “</w:t>
      </w:r>
      <w:r>
        <w:rPr>
          <w:i/>
          <w:sz w:val="24"/>
        </w:rPr>
        <w:t>el ejercicio de las funciones</w:t>
      </w:r>
      <w:r>
        <w:rPr>
          <w:i/>
          <w:spacing w:val="-10"/>
          <w:sz w:val="24"/>
        </w:rPr>
        <w:t xml:space="preserve"> </w:t>
      </w:r>
      <w:r>
        <w:rPr>
          <w:i/>
          <w:sz w:val="24"/>
        </w:rPr>
        <w:t>públicas</w:t>
      </w:r>
      <w:r>
        <w:rPr>
          <w:i/>
          <w:spacing w:val="-10"/>
          <w:sz w:val="24"/>
        </w:rPr>
        <w:t xml:space="preserve"> </w:t>
      </w:r>
      <w:r>
        <w:rPr>
          <w:i/>
          <w:sz w:val="24"/>
        </w:rPr>
        <w:t>obliga</w:t>
      </w:r>
      <w:r>
        <w:rPr>
          <w:i/>
          <w:spacing w:val="-10"/>
          <w:sz w:val="24"/>
        </w:rPr>
        <w:t xml:space="preserve"> </w:t>
      </w:r>
      <w:r>
        <w:rPr>
          <w:i/>
          <w:sz w:val="24"/>
        </w:rPr>
        <w:t>a</w:t>
      </w:r>
      <w:r>
        <w:rPr>
          <w:i/>
          <w:spacing w:val="-10"/>
          <w:sz w:val="24"/>
        </w:rPr>
        <w:t xml:space="preserve"> </w:t>
      </w:r>
      <w:r>
        <w:rPr>
          <w:i/>
          <w:sz w:val="24"/>
        </w:rPr>
        <w:t>sus</w:t>
      </w:r>
      <w:r>
        <w:rPr>
          <w:i/>
          <w:spacing w:val="-10"/>
          <w:sz w:val="24"/>
        </w:rPr>
        <w:t xml:space="preserve"> </w:t>
      </w:r>
      <w:r>
        <w:rPr>
          <w:i/>
          <w:sz w:val="24"/>
        </w:rPr>
        <w:t>titulares</w:t>
      </w:r>
      <w:r>
        <w:rPr>
          <w:i/>
          <w:spacing w:val="-10"/>
          <w:sz w:val="24"/>
        </w:rPr>
        <w:t xml:space="preserve"> </w:t>
      </w:r>
      <w:r>
        <w:rPr>
          <w:i/>
          <w:sz w:val="24"/>
        </w:rPr>
        <w:t>a</w:t>
      </w:r>
      <w:r>
        <w:rPr>
          <w:i/>
          <w:spacing w:val="-10"/>
          <w:sz w:val="24"/>
        </w:rPr>
        <w:t xml:space="preserve"> </w:t>
      </w:r>
      <w:r>
        <w:rPr>
          <w:i/>
          <w:sz w:val="24"/>
        </w:rPr>
        <w:t>dar</w:t>
      </w:r>
      <w:r>
        <w:rPr>
          <w:i/>
          <w:spacing w:val="-10"/>
          <w:sz w:val="24"/>
        </w:rPr>
        <w:t xml:space="preserve"> </w:t>
      </w:r>
      <w:r>
        <w:rPr>
          <w:i/>
          <w:sz w:val="24"/>
        </w:rPr>
        <w:t>estricto</w:t>
      </w:r>
      <w:r>
        <w:rPr>
          <w:i/>
          <w:spacing w:val="-10"/>
          <w:sz w:val="24"/>
        </w:rPr>
        <w:t xml:space="preserve"> </w:t>
      </w:r>
      <w:r>
        <w:rPr>
          <w:i/>
          <w:sz w:val="24"/>
        </w:rPr>
        <w:t>cumplimiento</w:t>
      </w:r>
      <w:r>
        <w:rPr>
          <w:i/>
          <w:spacing w:val="-10"/>
          <w:sz w:val="24"/>
        </w:rPr>
        <w:t xml:space="preserve"> </w:t>
      </w:r>
      <w:r>
        <w:rPr>
          <w:i/>
          <w:sz w:val="24"/>
        </w:rPr>
        <w:t>al</w:t>
      </w:r>
      <w:r>
        <w:rPr>
          <w:i/>
          <w:spacing w:val="-10"/>
          <w:sz w:val="24"/>
        </w:rPr>
        <w:t xml:space="preserve"> </w:t>
      </w:r>
      <w:r>
        <w:rPr>
          <w:i/>
          <w:sz w:val="24"/>
        </w:rPr>
        <w:t>principio</w:t>
      </w:r>
      <w:r>
        <w:rPr>
          <w:i/>
          <w:spacing w:val="-10"/>
          <w:sz w:val="24"/>
        </w:rPr>
        <w:t xml:space="preserve"> </w:t>
      </w:r>
      <w:r>
        <w:rPr>
          <w:i/>
          <w:sz w:val="24"/>
        </w:rPr>
        <w:t>de</w:t>
      </w:r>
      <w:r>
        <w:rPr>
          <w:i/>
          <w:spacing w:val="-10"/>
          <w:sz w:val="24"/>
        </w:rPr>
        <w:t xml:space="preserve"> </w:t>
      </w:r>
      <w:r>
        <w:rPr>
          <w:i/>
          <w:sz w:val="24"/>
        </w:rPr>
        <w:t>probidad en</w:t>
      </w:r>
      <w:r>
        <w:rPr>
          <w:i/>
          <w:spacing w:val="-2"/>
          <w:sz w:val="24"/>
        </w:rPr>
        <w:t xml:space="preserve"> </w:t>
      </w:r>
      <w:r>
        <w:rPr>
          <w:i/>
          <w:sz w:val="24"/>
        </w:rPr>
        <w:t>todas</w:t>
      </w:r>
      <w:r>
        <w:rPr>
          <w:i/>
          <w:spacing w:val="-2"/>
          <w:sz w:val="24"/>
        </w:rPr>
        <w:t xml:space="preserve"> </w:t>
      </w:r>
      <w:r>
        <w:rPr>
          <w:i/>
          <w:sz w:val="24"/>
        </w:rPr>
        <w:t>sus</w:t>
      </w:r>
      <w:r>
        <w:rPr>
          <w:i/>
          <w:spacing w:val="-2"/>
          <w:sz w:val="24"/>
        </w:rPr>
        <w:t xml:space="preserve"> </w:t>
      </w:r>
      <w:r>
        <w:rPr>
          <w:i/>
          <w:sz w:val="24"/>
        </w:rPr>
        <w:t>actuaciones”</w:t>
      </w:r>
      <w:r>
        <w:rPr>
          <w:sz w:val="24"/>
        </w:rPr>
        <w:t>,</w:t>
      </w:r>
      <w:r>
        <w:rPr>
          <w:spacing w:val="-2"/>
          <w:sz w:val="24"/>
        </w:rPr>
        <w:t xml:space="preserve"> </w:t>
      </w:r>
      <w:r>
        <w:rPr>
          <w:sz w:val="24"/>
        </w:rPr>
        <w:t>mientras</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52</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ley</w:t>
      </w:r>
      <w:r>
        <w:rPr>
          <w:spacing w:val="-2"/>
          <w:sz w:val="24"/>
        </w:rPr>
        <w:t xml:space="preserve"> </w:t>
      </w:r>
      <w:r>
        <w:rPr>
          <w:sz w:val="24"/>
        </w:rPr>
        <w:t>Nº18.575</w:t>
      </w:r>
      <w:r>
        <w:rPr>
          <w:spacing w:val="-2"/>
          <w:sz w:val="24"/>
        </w:rPr>
        <w:t xml:space="preserve"> </w:t>
      </w:r>
      <w:r>
        <w:rPr>
          <w:sz w:val="24"/>
        </w:rPr>
        <w:t>establece</w:t>
      </w:r>
      <w:r>
        <w:rPr>
          <w:spacing w:val="-2"/>
          <w:sz w:val="24"/>
        </w:rPr>
        <w:t xml:space="preserve"> </w:t>
      </w:r>
      <w:r>
        <w:rPr>
          <w:sz w:val="24"/>
        </w:rPr>
        <w:t>que</w:t>
      </w:r>
      <w:r>
        <w:rPr>
          <w:spacing w:val="-3"/>
          <w:sz w:val="24"/>
        </w:rPr>
        <w:t xml:space="preserve"> </w:t>
      </w:r>
      <w:r>
        <w:rPr>
          <w:i/>
          <w:sz w:val="24"/>
        </w:rPr>
        <w:t>“el principio de la probidad administrativa consiste en observar una conducta funcionaria intachable y un desempeño honesto y leal de la función o cargo, con preeminencia del interés general sobre el particular”.</w:t>
      </w:r>
    </w:p>
    <w:p w:rsidR="00645500" w:rsidRDefault="00645500">
      <w:pPr>
        <w:pStyle w:val="Textoindependiente"/>
        <w:spacing w:before="30"/>
        <w:rPr>
          <w:i/>
        </w:rPr>
      </w:pPr>
    </w:p>
    <w:p w:rsidR="00645500" w:rsidRDefault="00000000">
      <w:pPr>
        <w:pStyle w:val="Textoindependiente"/>
        <w:spacing w:line="264" w:lineRule="auto"/>
        <w:ind w:left="119" w:right="100"/>
        <w:jc w:val="both"/>
      </w:pPr>
      <w:r>
        <w:t>Sin duda, el rol de las máximas autoridades del país y de funcionarios de reparticiones estatales</w:t>
      </w:r>
      <w:r>
        <w:rPr>
          <w:spacing w:val="-7"/>
        </w:rPr>
        <w:t xml:space="preserve"> </w:t>
      </w:r>
      <w:r>
        <w:t>resulta</w:t>
      </w:r>
      <w:r>
        <w:rPr>
          <w:spacing w:val="-7"/>
        </w:rPr>
        <w:t xml:space="preserve"> </w:t>
      </w:r>
      <w:r>
        <w:t>incompatible</w:t>
      </w:r>
      <w:r>
        <w:rPr>
          <w:spacing w:val="-7"/>
        </w:rPr>
        <w:t xml:space="preserve"> </w:t>
      </w:r>
      <w:r>
        <w:t>con</w:t>
      </w:r>
      <w:r>
        <w:rPr>
          <w:spacing w:val="-7"/>
        </w:rPr>
        <w:t xml:space="preserve"> </w:t>
      </w:r>
      <w:r>
        <w:t>el</w:t>
      </w:r>
      <w:r>
        <w:rPr>
          <w:spacing w:val="-7"/>
        </w:rPr>
        <w:t xml:space="preserve"> </w:t>
      </w:r>
      <w:r>
        <w:t>consumo</w:t>
      </w:r>
      <w:r>
        <w:rPr>
          <w:spacing w:val="-7"/>
        </w:rPr>
        <w:t xml:space="preserve"> </w:t>
      </w:r>
      <w:r>
        <w:t>de</w:t>
      </w:r>
      <w:r>
        <w:rPr>
          <w:spacing w:val="-7"/>
        </w:rPr>
        <w:t xml:space="preserve"> </w:t>
      </w:r>
      <w:r>
        <w:t>estupefacientes</w:t>
      </w:r>
      <w:r>
        <w:rPr>
          <w:spacing w:val="-7"/>
        </w:rPr>
        <w:t xml:space="preserve"> </w:t>
      </w:r>
      <w:r>
        <w:t>o</w:t>
      </w:r>
      <w:r>
        <w:rPr>
          <w:spacing w:val="-7"/>
        </w:rPr>
        <w:t xml:space="preserve"> </w:t>
      </w:r>
      <w:r>
        <w:t>sustancias</w:t>
      </w:r>
      <w:r>
        <w:rPr>
          <w:spacing w:val="-7"/>
        </w:rPr>
        <w:t xml:space="preserve"> </w:t>
      </w:r>
      <w:r>
        <w:t>sicotrópicas ilícitas no solo por eventuales conflictos de interés que puedan surgir en el desarrollo de labores fiscalizadoras, sino que también por la naturaleza propia de la función pública que conlleva un estándar superior de conducta.</w:t>
      </w:r>
    </w:p>
    <w:p w:rsidR="00645500" w:rsidRDefault="00645500">
      <w:pPr>
        <w:pStyle w:val="Textoindependiente"/>
        <w:spacing w:before="30"/>
      </w:pPr>
    </w:p>
    <w:p w:rsidR="00645500" w:rsidRDefault="00000000">
      <w:pPr>
        <w:pStyle w:val="Textoindependiente"/>
        <w:spacing w:line="264" w:lineRule="auto"/>
        <w:ind w:left="119" w:right="100"/>
        <w:jc w:val="both"/>
      </w:pPr>
      <w:r>
        <w:t>Al respecto, la ley Nº18.575, Orgánica Constitucional de Bases Generales de la Administración del Estado, en su artículo 61, establece un procedimiento de control de consumo</w:t>
      </w:r>
      <w:r>
        <w:rPr>
          <w:spacing w:val="48"/>
        </w:rPr>
        <w:t xml:space="preserve"> </w:t>
      </w:r>
      <w:r>
        <w:t>de</w:t>
      </w:r>
      <w:r>
        <w:rPr>
          <w:spacing w:val="50"/>
        </w:rPr>
        <w:t xml:space="preserve"> </w:t>
      </w:r>
      <w:r>
        <w:t>drogas</w:t>
      </w:r>
      <w:r>
        <w:rPr>
          <w:spacing w:val="51"/>
        </w:rPr>
        <w:t xml:space="preserve"> </w:t>
      </w:r>
      <w:r>
        <w:t>exigible</w:t>
      </w:r>
      <w:r>
        <w:rPr>
          <w:spacing w:val="50"/>
        </w:rPr>
        <w:t xml:space="preserve"> </w:t>
      </w:r>
      <w:r>
        <w:t>a</w:t>
      </w:r>
      <w:r>
        <w:rPr>
          <w:spacing w:val="50"/>
        </w:rPr>
        <w:t xml:space="preserve"> </w:t>
      </w:r>
      <w:r>
        <w:t>subsecretarios,</w:t>
      </w:r>
      <w:r>
        <w:rPr>
          <w:spacing w:val="51"/>
        </w:rPr>
        <w:t xml:space="preserve"> </w:t>
      </w:r>
      <w:r>
        <w:t>jefes</w:t>
      </w:r>
      <w:r>
        <w:rPr>
          <w:spacing w:val="50"/>
        </w:rPr>
        <w:t xml:space="preserve"> </w:t>
      </w:r>
      <w:r>
        <w:t>superiores</w:t>
      </w:r>
      <w:r>
        <w:rPr>
          <w:spacing w:val="50"/>
        </w:rPr>
        <w:t xml:space="preserve"> </w:t>
      </w:r>
      <w:r>
        <w:t>de</w:t>
      </w:r>
      <w:r>
        <w:rPr>
          <w:spacing w:val="51"/>
        </w:rPr>
        <w:t xml:space="preserve"> </w:t>
      </w:r>
      <w:r>
        <w:t>servicio</w:t>
      </w:r>
      <w:r>
        <w:rPr>
          <w:spacing w:val="50"/>
        </w:rPr>
        <w:t xml:space="preserve"> </w:t>
      </w:r>
      <w:r>
        <w:t>y</w:t>
      </w:r>
      <w:r>
        <w:rPr>
          <w:spacing w:val="51"/>
        </w:rPr>
        <w:t xml:space="preserve"> </w:t>
      </w:r>
      <w:r>
        <w:rPr>
          <w:spacing w:val="-2"/>
        </w:rPr>
        <w:t>directivos</w:t>
      </w:r>
    </w:p>
    <w:p w:rsidR="00645500" w:rsidRDefault="00645500">
      <w:pPr>
        <w:spacing w:line="264" w:lineRule="auto"/>
        <w:jc w:val="both"/>
        <w:sectPr w:rsidR="00645500">
          <w:type w:val="continuous"/>
          <w:pgSz w:w="12240" w:h="15840"/>
          <w:pgMar w:top="1120" w:right="1600" w:bottom="280" w:left="1580" w:header="720" w:footer="720" w:gutter="0"/>
          <w:cols w:space="720"/>
        </w:sectPr>
      </w:pPr>
    </w:p>
    <w:p w:rsidR="00645500" w:rsidRDefault="00000000">
      <w:pPr>
        <w:pStyle w:val="Textoindependiente"/>
        <w:spacing w:before="78" w:line="264" w:lineRule="auto"/>
        <w:ind w:left="119" w:right="100"/>
        <w:jc w:val="both"/>
      </w:pPr>
      <w:r>
        <w:lastRenderedPageBreak/>
        <w:t xml:space="preserve">superiores de un órgano u organismo estatal, hasta el grado de jefe de división o su </w:t>
      </w:r>
      <w:r>
        <w:rPr>
          <w:spacing w:val="-2"/>
        </w:rPr>
        <w:t>equivalente.</w:t>
      </w:r>
    </w:p>
    <w:p w:rsidR="00645500" w:rsidRDefault="00645500">
      <w:pPr>
        <w:pStyle w:val="Textoindependiente"/>
        <w:spacing w:before="31"/>
      </w:pPr>
    </w:p>
    <w:p w:rsidR="00645500" w:rsidRDefault="00000000">
      <w:pPr>
        <w:spacing w:before="1" w:line="264" w:lineRule="auto"/>
        <w:ind w:left="119" w:right="99"/>
        <w:jc w:val="both"/>
        <w:rPr>
          <w:i/>
          <w:sz w:val="24"/>
        </w:rPr>
      </w:pPr>
      <w:r>
        <w:rPr>
          <w:sz w:val="24"/>
        </w:rPr>
        <w:t xml:space="preserve">En cuanto a las características de la prueba, la norma precitada dispone que el procedimiento </w:t>
      </w:r>
      <w:r>
        <w:rPr>
          <w:i/>
          <w:sz w:val="24"/>
        </w:rPr>
        <w:t>“comprenderá a todos los integrantes de un grupo o sector de funcionarios que se determinará en forma aleatoria; se aplicará en forma reservada y resguardará la dignidad e intimidad de ellos, observando las prescripciones de la ley Nº 19.628, sobre protección de los datos de carácter personal. Sólo será admisible como prueba de la dependencia una certificación médica, basada en los exámenes que correspondan.”.</w:t>
      </w:r>
    </w:p>
    <w:p w:rsidR="00645500" w:rsidRDefault="00645500">
      <w:pPr>
        <w:pStyle w:val="Textoindependiente"/>
        <w:spacing w:before="29"/>
        <w:rPr>
          <w:i/>
        </w:rPr>
      </w:pPr>
    </w:p>
    <w:p w:rsidR="00645500" w:rsidRDefault="00000000">
      <w:pPr>
        <w:pStyle w:val="Textoindependiente"/>
        <w:spacing w:line="264" w:lineRule="auto"/>
        <w:ind w:left="119" w:right="100"/>
        <w:jc w:val="both"/>
      </w:pPr>
      <w:r>
        <w:t>Por otra parte, los artículos 55 bis y 40 del citado cuerpo legal indican que la dependencia a sustancias o drogas estupefacientes o psicotrópicas ilegales en el caso del Ministro de Estado y los mencionados funcionarios, respectivamente, constituye una inhabilidad para asumir en el cargo, a menos que justifique su consumo por un tratamiento médico, exigiendo al efecto la presentación de una declaración jurada que acredite que no se encuentra afecto a ese impedimento.</w:t>
      </w:r>
    </w:p>
    <w:p w:rsidR="00645500" w:rsidRDefault="00645500">
      <w:pPr>
        <w:pStyle w:val="Textoindependiente"/>
        <w:spacing w:before="29"/>
      </w:pPr>
    </w:p>
    <w:p w:rsidR="00645500" w:rsidRDefault="00000000">
      <w:pPr>
        <w:pStyle w:val="Textoindependiente"/>
        <w:spacing w:before="1" w:line="264" w:lineRule="auto"/>
        <w:ind w:left="119" w:right="100"/>
        <w:jc w:val="both"/>
      </w:pPr>
      <w:r>
        <w:t>Como se aprecia, la normativa vigente no es lo suficientemente estricta para asegurar que los cometidos legales de servidores públicos sean desarrollados libre de toda dependencia a sustancias ilícitas, cuyo consumo, además de afectar la capacidad cognitiva con consecuencias</w:t>
      </w:r>
      <w:r>
        <w:rPr>
          <w:spacing w:val="-7"/>
        </w:rPr>
        <w:t xml:space="preserve"> </w:t>
      </w:r>
      <w:r>
        <w:t>directas</w:t>
      </w:r>
      <w:r>
        <w:rPr>
          <w:spacing w:val="-7"/>
        </w:rPr>
        <w:t xml:space="preserve"> </w:t>
      </w:r>
      <w:r>
        <w:t>en</w:t>
      </w:r>
      <w:r>
        <w:rPr>
          <w:spacing w:val="-7"/>
        </w:rPr>
        <w:t xml:space="preserve"> </w:t>
      </w:r>
      <w:r>
        <w:t>el</w:t>
      </w:r>
      <w:r>
        <w:rPr>
          <w:spacing w:val="-7"/>
        </w:rPr>
        <w:t xml:space="preserve"> </w:t>
      </w:r>
      <w:r>
        <w:t>desempeño</w:t>
      </w:r>
      <w:r>
        <w:rPr>
          <w:spacing w:val="-7"/>
        </w:rPr>
        <w:t xml:space="preserve"> </w:t>
      </w:r>
      <w:r>
        <w:t>laboral,</w:t>
      </w:r>
      <w:r>
        <w:rPr>
          <w:spacing w:val="-7"/>
        </w:rPr>
        <w:t xml:space="preserve"> </w:t>
      </w:r>
      <w:r>
        <w:t>es</w:t>
      </w:r>
      <w:r>
        <w:rPr>
          <w:spacing w:val="-7"/>
        </w:rPr>
        <w:t xml:space="preserve"> </w:t>
      </w:r>
      <w:r>
        <w:t>aún</w:t>
      </w:r>
      <w:r>
        <w:rPr>
          <w:spacing w:val="-7"/>
        </w:rPr>
        <w:t xml:space="preserve"> </w:t>
      </w:r>
      <w:r>
        <w:t>más</w:t>
      </w:r>
      <w:r>
        <w:rPr>
          <w:spacing w:val="-7"/>
        </w:rPr>
        <w:t xml:space="preserve"> </w:t>
      </w:r>
      <w:r>
        <w:t>reprochable</w:t>
      </w:r>
      <w:r>
        <w:rPr>
          <w:spacing w:val="-7"/>
        </w:rPr>
        <w:t xml:space="preserve"> </w:t>
      </w:r>
      <w:r>
        <w:t>tratándose</w:t>
      </w:r>
      <w:r>
        <w:rPr>
          <w:spacing w:val="-7"/>
        </w:rPr>
        <w:t xml:space="preserve"> </w:t>
      </w:r>
      <w:r>
        <w:t>de</w:t>
      </w:r>
      <w:r>
        <w:rPr>
          <w:spacing w:val="-6"/>
        </w:rPr>
        <w:t xml:space="preserve"> </w:t>
      </w:r>
      <w:r>
        <w:t xml:space="preserve">las personas que están a cargo de las decisiones y políticas que tienen un impacto en toda la </w:t>
      </w:r>
      <w:r>
        <w:rPr>
          <w:spacing w:val="-2"/>
        </w:rPr>
        <w:t>comunidad.</w:t>
      </w:r>
    </w:p>
    <w:p w:rsidR="00645500" w:rsidRDefault="00645500">
      <w:pPr>
        <w:pStyle w:val="Textoindependiente"/>
        <w:spacing w:before="29"/>
      </w:pPr>
    </w:p>
    <w:p w:rsidR="00645500" w:rsidRDefault="00000000">
      <w:pPr>
        <w:pStyle w:val="Textoindependiente"/>
        <w:spacing w:line="264" w:lineRule="auto"/>
        <w:ind w:left="119" w:right="100"/>
        <w:jc w:val="both"/>
      </w:pPr>
      <w:r>
        <w:t>Por lo mismo, y en medio de la crisis de seguridad que afecta al país, entre otras circunstancias, por el actuar de organizaciones criminales vinculadas al narcotráfico, se detecta</w:t>
      </w:r>
      <w:r>
        <w:rPr>
          <w:spacing w:val="-5"/>
        </w:rPr>
        <w:t xml:space="preserve"> </w:t>
      </w:r>
      <w:r>
        <w:t>la</w:t>
      </w:r>
      <w:r>
        <w:rPr>
          <w:spacing w:val="-5"/>
        </w:rPr>
        <w:t xml:space="preserve"> </w:t>
      </w:r>
      <w:r>
        <w:t>necesidad</w:t>
      </w:r>
      <w:r>
        <w:rPr>
          <w:spacing w:val="-5"/>
        </w:rPr>
        <w:t xml:space="preserve"> </w:t>
      </w:r>
      <w:r>
        <w:t>de</w:t>
      </w:r>
      <w:r>
        <w:rPr>
          <w:spacing w:val="-5"/>
        </w:rPr>
        <w:t xml:space="preserve"> </w:t>
      </w:r>
      <w:r>
        <w:t>evitar</w:t>
      </w:r>
      <w:r>
        <w:rPr>
          <w:spacing w:val="-5"/>
        </w:rPr>
        <w:t xml:space="preserve"> </w:t>
      </w:r>
      <w:r>
        <w:t>que</w:t>
      </w:r>
      <w:r>
        <w:rPr>
          <w:spacing w:val="-5"/>
        </w:rPr>
        <w:t xml:space="preserve"> </w:t>
      </w:r>
      <w:r>
        <w:t>el</w:t>
      </w:r>
      <w:r>
        <w:rPr>
          <w:spacing w:val="-5"/>
        </w:rPr>
        <w:t xml:space="preserve"> </w:t>
      </w:r>
      <w:r>
        <w:t>flagelo</w:t>
      </w:r>
      <w:r>
        <w:rPr>
          <w:spacing w:val="-5"/>
        </w:rPr>
        <w:t xml:space="preserve"> </w:t>
      </w:r>
      <w:r>
        <w:t>de</w:t>
      </w:r>
      <w:r>
        <w:rPr>
          <w:spacing w:val="-5"/>
        </w:rPr>
        <w:t xml:space="preserve"> </w:t>
      </w:r>
      <w:r>
        <w:t>la</w:t>
      </w:r>
      <w:r>
        <w:rPr>
          <w:spacing w:val="-5"/>
        </w:rPr>
        <w:t xml:space="preserve"> </w:t>
      </w:r>
      <w:r>
        <w:t>droga</w:t>
      </w:r>
      <w:r>
        <w:rPr>
          <w:spacing w:val="-5"/>
        </w:rPr>
        <w:t xml:space="preserve"> </w:t>
      </w:r>
      <w:r>
        <w:t>logre</w:t>
      </w:r>
      <w:r>
        <w:rPr>
          <w:spacing w:val="-5"/>
        </w:rPr>
        <w:t xml:space="preserve"> </w:t>
      </w:r>
      <w:r>
        <w:t>instalarse</w:t>
      </w:r>
      <w:r>
        <w:rPr>
          <w:spacing w:val="-5"/>
        </w:rPr>
        <w:t xml:space="preserve"> </w:t>
      </w:r>
      <w:r>
        <w:t>en</w:t>
      </w:r>
      <w:r>
        <w:rPr>
          <w:spacing w:val="-5"/>
        </w:rPr>
        <w:t xml:space="preserve"> </w:t>
      </w:r>
      <w:r>
        <w:t>el</w:t>
      </w:r>
      <w:r>
        <w:rPr>
          <w:spacing w:val="-5"/>
        </w:rPr>
        <w:t xml:space="preserve"> </w:t>
      </w:r>
      <w:r>
        <w:t>Estado,</w:t>
      </w:r>
      <w:r>
        <w:rPr>
          <w:spacing w:val="-5"/>
        </w:rPr>
        <w:t xml:space="preserve"> </w:t>
      </w:r>
      <w:r>
        <w:t>como ha ocurrido en otros países de América Latina.</w:t>
      </w:r>
    </w:p>
    <w:p w:rsidR="00645500" w:rsidRDefault="00645500">
      <w:pPr>
        <w:pStyle w:val="Textoindependiente"/>
        <w:spacing w:before="26"/>
      </w:pPr>
    </w:p>
    <w:p w:rsidR="00645500" w:rsidRDefault="00000000">
      <w:pPr>
        <w:pStyle w:val="Textoindependiente"/>
        <w:spacing w:line="264" w:lineRule="auto"/>
        <w:ind w:left="119" w:right="100"/>
        <w:jc w:val="both"/>
      </w:pPr>
      <w:r>
        <w:t>La observancia de la probidad administrativa requiere que la legislación establezca expresamente que el consumo de drogas constituye una conducta atentatoria contra este principio</w:t>
      </w:r>
      <w:r>
        <w:rPr>
          <w:spacing w:val="-1"/>
        </w:rPr>
        <w:t xml:space="preserve"> </w:t>
      </w:r>
      <w:r>
        <w:t>rector</w:t>
      </w:r>
      <w:r>
        <w:rPr>
          <w:spacing w:val="-1"/>
        </w:rPr>
        <w:t xml:space="preserve"> </w:t>
      </w:r>
      <w:r>
        <w:t>de</w:t>
      </w:r>
      <w:r>
        <w:rPr>
          <w:spacing w:val="-1"/>
        </w:rPr>
        <w:t xml:space="preserve"> </w:t>
      </w:r>
      <w:r>
        <w:t>la</w:t>
      </w:r>
      <w:r>
        <w:rPr>
          <w:spacing w:val="-1"/>
        </w:rPr>
        <w:t xml:space="preserve"> </w:t>
      </w:r>
      <w:r>
        <w:t>función</w:t>
      </w:r>
      <w:r>
        <w:rPr>
          <w:spacing w:val="-1"/>
        </w:rPr>
        <w:t xml:space="preserve"> </w:t>
      </w:r>
      <w:r>
        <w:t>pública,</w:t>
      </w:r>
      <w:r>
        <w:rPr>
          <w:spacing w:val="-1"/>
        </w:rPr>
        <w:t xml:space="preserve"> </w:t>
      </w:r>
      <w:r>
        <w:t>de</w:t>
      </w:r>
      <w:r>
        <w:rPr>
          <w:spacing w:val="-1"/>
        </w:rPr>
        <w:t xml:space="preserve"> </w:t>
      </w:r>
      <w:r>
        <w:t>tal</w:t>
      </w:r>
      <w:r>
        <w:rPr>
          <w:spacing w:val="-1"/>
        </w:rPr>
        <w:t xml:space="preserve"> </w:t>
      </w:r>
      <w:r>
        <w:t>manera</w:t>
      </w:r>
      <w:r>
        <w:rPr>
          <w:spacing w:val="-1"/>
        </w:rPr>
        <w:t xml:space="preserve"> </w:t>
      </w:r>
      <w:r>
        <w:t>de</w:t>
      </w:r>
      <w:r>
        <w:rPr>
          <w:spacing w:val="-1"/>
        </w:rPr>
        <w:t xml:space="preserve"> </w:t>
      </w:r>
      <w:r>
        <w:t>asegurar</w:t>
      </w:r>
      <w:r>
        <w:rPr>
          <w:spacing w:val="-1"/>
        </w:rPr>
        <w:t xml:space="preserve"> </w:t>
      </w:r>
      <w:r>
        <w:t>que</w:t>
      </w:r>
      <w:r>
        <w:rPr>
          <w:spacing w:val="-1"/>
        </w:rPr>
        <w:t xml:space="preserve"> </w:t>
      </w:r>
      <w:r>
        <w:t>los</w:t>
      </w:r>
      <w:r>
        <w:rPr>
          <w:spacing w:val="-1"/>
        </w:rPr>
        <w:t xml:space="preserve"> </w:t>
      </w:r>
      <w:r>
        <w:t>cometidos</w:t>
      </w:r>
      <w:r>
        <w:rPr>
          <w:spacing w:val="-1"/>
        </w:rPr>
        <w:t xml:space="preserve"> </w:t>
      </w:r>
      <w:r>
        <w:t>legales de quienes integran los servicios estatales se realicen lejos del fenómeno del narcotráfico y, en caso de verificarse el uso indebido de sustancias ilícitas, hacer efectivas las responsabilidades administrativas que deriven de tal infracción.</w:t>
      </w:r>
    </w:p>
    <w:p w:rsidR="00645500" w:rsidRDefault="00645500">
      <w:pPr>
        <w:spacing w:line="264" w:lineRule="auto"/>
        <w:jc w:val="both"/>
        <w:sectPr w:rsidR="00645500">
          <w:pgSz w:w="12240" w:h="15840"/>
          <w:pgMar w:top="1340" w:right="1600" w:bottom="280" w:left="1580" w:header="720" w:footer="720" w:gutter="0"/>
          <w:cols w:space="720"/>
        </w:sectPr>
      </w:pPr>
    </w:p>
    <w:p w:rsidR="00645500" w:rsidRDefault="00000000">
      <w:pPr>
        <w:pStyle w:val="Prrafodelista"/>
        <w:numPr>
          <w:ilvl w:val="0"/>
          <w:numId w:val="1"/>
        </w:numPr>
        <w:tabs>
          <w:tab w:val="left" w:pos="667"/>
        </w:tabs>
        <w:spacing w:before="78"/>
        <w:ind w:left="667" w:hanging="548"/>
        <w:rPr>
          <w:b/>
          <w:sz w:val="23"/>
        </w:rPr>
      </w:pPr>
      <w:r>
        <w:rPr>
          <w:b/>
          <w:sz w:val="23"/>
        </w:rPr>
        <w:lastRenderedPageBreak/>
        <w:t>OBJETIVO</w:t>
      </w:r>
      <w:r>
        <w:rPr>
          <w:b/>
          <w:spacing w:val="-8"/>
          <w:sz w:val="23"/>
        </w:rPr>
        <w:t xml:space="preserve"> </w:t>
      </w:r>
      <w:r>
        <w:rPr>
          <w:b/>
          <w:sz w:val="23"/>
        </w:rPr>
        <w:t>DEL</w:t>
      </w:r>
      <w:r>
        <w:rPr>
          <w:b/>
          <w:spacing w:val="-5"/>
          <w:sz w:val="23"/>
        </w:rPr>
        <w:t xml:space="preserve"> </w:t>
      </w:r>
      <w:r>
        <w:rPr>
          <w:b/>
          <w:spacing w:val="-2"/>
          <w:sz w:val="23"/>
        </w:rPr>
        <w:t>PROYECTO</w:t>
      </w:r>
    </w:p>
    <w:p w:rsidR="00645500" w:rsidRDefault="00645500">
      <w:pPr>
        <w:pStyle w:val="Textoindependiente"/>
        <w:spacing w:before="71"/>
        <w:rPr>
          <w:b/>
          <w:sz w:val="23"/>
        </w:rPr>
      </w:pPr>
    </w:p>
    <w:p w:rsidR="00645500" w:rsidRDefault="00000000">
      <w:pPr>
        <w:pStyle w:val="Textoindependiente"/>
        <w:spacing w:before="1" w:line="264" w:lineRule="auto"/>
        <w:ind w:left="119" w:right="100"/>
        <w:jc w:val="both"/>
      </w:pPr>
      <w:r>
        <w:t>El</w:t>
      </w:r>
      <w:r>
        <w:rPr>
          <w:spacing w:val="-9"/>
        </w:rPr>
        <w:t xml:space="preserve"> </w:t>
      </w:r>
      <w:r>
        <w:t>presente</w:t>
      </w:r>
      <w:r>
        <w:rPr>
          <w:spacing w:val="-9"/>
        </w:rPr>
        <w:t xml:space="preserve"> </w:t>
      </w:r>
      <w:r>
        <w:t>proyecto</w:t>
      </w:r>
      <w:r>
        <w:rPr>
          <w:spacing w:val="-10"/>
        </w:rPr>
        <w:t xml:space="preserve"> </w:t>
      </w:r>
      <w:r>
        <w:t>tiene</w:t>
      </w:r>
      <w:r>
        <w:rPr>
          <w:spacing w:val="-9"/>
        </w:rPr>
        <w:t xml:space="preserve"> </w:t>
      </w:r>
      <w:r>
        <w:t>por</w:t>
      </w:r>
      <w:r>
        <w:rPr>
          <w:spacing w:val="-10"/>
        </w:rPr>
        <w:t xml:space="preserve"> </w:t>
      </w:r>
      <w:r>
        <w:t>finalidad</w:t>
      </w:r>
      <w:r>
        <w:rPr>
          <w:spacing w:val="-9"/>
        </w:rPr>
        <w:t xml:space="preserve"> </w:t>
      </w:r>
      <w:r>
        <w:t>establecer</w:t>
      </w:r>
      <w:r>
        <w:rPr>
          <w:spacing w:val="-9"/>
        </w:rPr>
        <w:t xml:space="preserve"> </w:t>
      </w:r>
      <w:r>
        <w:t>expresamente</w:t>
      </w:r>
      <w:r>
        <w:rPr>
          <w:spacing w:val="-9"/>
        </w:rPr>
        <w:t xml:space="preserve"> </w:t>
      </w:r>
      <w:r>
        <w:t>como</w:t>
      </w:r>
      <w:r>
        <w:rPr>
          <w:spacing w:val="-9"/>
        </w:rPr>
        <w:t xml:space="preserve"> </w:t>
      </w:r>
      <w:r>
        <w:t>conducta</w:t>
      </w:r>
      <w:r>
        <w:rPr>
          <w:spacing w:val="-10"/>
        </w:rPr>
        <w:t xml:space="preserve"> </w:t>
      </w:r>
      <w:r>
        <w:t>contraria a la probidad administrativa, el consumo de sustancias o drogas estupefacientes o sicotrópicas</w:t>
      </w:r>
      <w:r>
        <w:rPr>
          <w:spacing w:val="-4"/>
        </w:rPr>
        <w:t xml:space="preserve"> </w:t>
      </w:r>
      <w:r>
        <w:t>ilegales,</w:t>
      </w:r>
      <w:r>
        <w:rPr>
          <w:spacing w:val="-4"/>
        </w:rPr>
        <w:t xml:space="preserve"> </w:t>
      </w:r>
      <w:r>
        <w:t>de</w:t>
      </w:r>
      <w:r>
        <w:rPr>
          <w:spacing w:val="-4"/>
        </w:rPr>
        <w:t xml:space="preserve"> </w:t>
      </w:r>
      <w:r>
        <w:t>modo</w:t>
      </w:r>
      <w:r>
        <w:rPr>
          <w:spacing w:val="-4"/>
        </w:rPr>
        <w:t xml:space="preserve"> </w:t>
      </w:r>
      <w:r>
        <w:t>de</w:t>
      </w:r>
      <w:r>
        <w:rPr>
          <w:spacing w:val="-4"/>
        </w:rPr>
        <w:t xml:space="preserve"> </w:t>
      </w:r>
      <w:r>
        <w:t>incorporar</w:t>
      </w:r>
      <w:r>
        <w:rPr>
          <w:spacing w:val="-4"/>
        </w:rPr>
        <w:t xml:space="preserve"> </w:t>
      </w:r>
      <w:r>
        <w:t>dicha</w:t>
      </w:r>
      <w:r>
        <w:rPr>
          <w:spacing w:val="-4"/>
        </w:rPr>
        <w:t xml:space="preserve"> </w:t>
      </w:r>
      <w:r>
        <w:t>conducta</w:t>
      </w:r>
      <w:r>
        <w:rPr>
          <w:spacing w:val="-4"/>
        </w:rPr>
        <w:t xml:space="preserve"> </w:t>
      </w:r>
      <w:r>
        <w:t>dentro</w:t>
      </w:r>
      <w:r>
        <w:rPr>
          <w:spacing w:val="-4"/>
        </w:rPr>
        <w:t xml:space="preserve"> </w:t>
      </w:r>
      <w:r>
        <w:t>de</w:t>
      </w:r>
      <w:r>
        <w:rPr>
          <w:spacing w:val="-4"/>
        </w:rPr>
        <w:t xml:space="preserve"> </w:t>
      </w:r>
      <w:r>
        <w:t>las</w:t>
      </w:r>
      <w:r>
        <w:rPr>
          <w:spacing w:val="-4"/>
        </w:rPr>
        <w:t xml:space="preserve"> </w:t>
      </w:r>
      <w:r>
        <w:t>contravenciones que enumera el actual artículo 62 de la ley Nº18.575, Orgánica Constitucional de Bases Generales de la Administración del Estado.</w:t>
      </w:r>
    </w:p>
    <w:p w:rsidR="00645500" w:rsidRDefault="00645500">
      <w:pPr>
        <w:pStyle w:val="Textoindependiente"/>
      </w:pPr>
    </w:p>
    <w:p w:rsidR="00645500" w:rsidRDefault="00645500">
      <w:pPr>
        <w:pStyle w:val="Textoindependiente"/>
        <w:spacing w:before="58"/>
      </w:pPr>
    </w:p>
    <w:p w:rsidR="00645500" w:rsidRDefault="00000000">
      <w:pPr>
        <w:pStyle w:val="Prrafodelista"/>
        <w:numPr>
          <w:ilvl w:val="0"/>
          <w:numId w:val="1"/>
        </w:numPr>
        <w:tabs>
          <w:tab w:val="left" w:pos="676"/>
        </w:tabs>
        <w:ind w:left="676" w:hanging="557"/>
        <w:rPr>
          <w:b/>
          <w:sz w:val="23"/>
        </w:rPr>
      </w:pPr>
      <w:r>
        <w:rPr>
          <w:b/>
          <w:sz w:val="23"/>
        </w:rPr>
        <w:t>PROYECTO</w:t>
      </w:r>
      <w:r>
        <w:rPr>
          <w:b/>
          <w:spacing w:val="-5"/>
          <w:sz w:val="23"/>
        </w:rPr>
        <w:t xml:space="preserve"> </w:t>
      </w:r>
      <w:r>
        <w:rPr>
          <w:b/>
          <w:sz w:val="23"/>
        </w:rPr>
        <w:t>DE</w:t>
      </w:r>
      <w:r>
        <w:rPr>
          <w:b/>
          <w:spacing w:val="-5"/>
          <w:sz w:val="23"/>
        </w:rPr>
        <w:t xml:space="preserve"> LEY</w:t>
      </w:r>
    </w:p>
    <w:p w:rsidR="00645500" w:rsidRDefault="00645500">
      <w:pPr>
        <w:pStyle w:val="Textoindependiente"/>
        <w:spacing w:before="67"/>
        <w:rPr>
          <w:b/>
          <w:sz w:val="23"/>
        </w:rPr>
      </w:pPr>
    </w:p>
    <w:p w:rsidR="00645500" w:rsidRDefault="00000000">
      <w:pPr>
        <w:pStyle w:val="Textoindependiente"/>
        <w:spacing w:before="1" w:line="264" w:lineRule="auto"/>
        <w:ind w:left="119" w:right="100"/>
        <w:jc w:val="both"/>
      </w:pPr>
      <w:r>
        <w:rPr>
          <w:b/>
        </w:rPr>
        <w:t>Artículo</w:t>
      </w:r>
      <w:r>
        <w:rPr>
          <w:b/>
          <w:spacing w:val="-11"/>
        </w:rPr>
        <w:t xml:space="preserve"> </w:t>
      </w:r>
      <w:r>
        <w:rPr>
          <w:b/>
        </w:rPr>
        <w:t>único:</w:t>
      </w:r>
      <w:r>
        <w:rPr>
          <w:b/>
          <w:spacing w:val="-10"/>
        </w:rPr>
        <w:t xml:space="preserve"> </w:t>
      </w:r>
      <w:r>
        <w:t>Incorpórase</w:t>
      </w:r>
      <w:r>
        <w:rPr>
          <w:spacing w:val="-11"/>
        </w:rPr>
        <w:t xml:space="preserve"> </w:t>
      </w:r>
      <w:r>
        <w:t>en</w:t>
      </w:r>
      <w:r>
        <w:rPr>
          <w:spacing w:val="-11"/>
        </w:rPr>
        <w:t xml:space="preserve"> </w:t>
      </w:r>
      <w:r>
        <w:t>el</w:t>
      </w:r>
      <w:r>
        <w:rPr>
          <w:spacing w:val="-10"/>
        </w:rPr>
        <w:t xml:space="preserve"> </w:t>
      </w:r>
      <w:r>
        <w:t>artículo</w:t>
      </w:r>
      <w:r>
        <w:rPr>
          <w:spacing w:val="-11"/>
        </w:rPr>
        <w:t xml:space="preserve"> </w:t>
      </w:r>
      <w:r>
        <w:t>62,</w:t>
      </w:r>
      <w:r>
        <w:rPr>
          <w:spacing w:val="-11"/>
        </w:rPr>
        <w:t xml:space="preserve"> </w:t>
      </w:r>
      <w:r>
        <w:t>de</w:t>
      </w:r>
      <w:r>
        <w:rPr>
          <w:spacing w:val="-11"/>
        </w:rPr>
        <w:t xml:space="preserve"> </w:t>
      </w:r>
      <w:r>
        <w:t>la</w:t>
      </w:r>
      <w:r>
        <w:rPr>
          <w:spacing w:val="-11"/>
        </w:rPr>
        <w:t xml:space="preserve"> </w:t>
      </w:r>
      <w:r>
        <w:t>ley</w:t>
      </w:r>
      <w:r>
        <w:rPr>
          <w:spacing w:val="-11"/>
        </w:rPr>
        <w:t xml:space="preserve"> </w:t>
      </w:r>
      <w:r>
        <w:t>Nº18.575,</w:t>
      </w:r>
      <w:r>
        <w:rPr>
          <w:spacing w:val="-11"/>
        </w:rPr>
        <w:t xml:space="preserve"> </w:t>
      </w:r>
      <w:r>
        <w:t>Orgánica</w:t>
      </w:r>
      <w:r>
        <w:rPr>
          <w:spacing w:val="-11"/>
        </w:rPr>
        <w:t xml:space="preserve"> </w:t>
      </w:r>
      <w:r>
        <w:t>Constitucional</w:t>
      </w:r>
      <w:r>
        <w:rPr>
          <w:spacing w:val="-11"/>
        </w:rPr>
        <w:t xml:space="preserve"> </w:t>
      </w:r>
      <w:r>
        <w:t>de Bases Generales de la Administración del Estado, un numeral 10), nuevo, del siguiente tenor: “10. El consumo de sustancias o drogas estupefacientes o sicotrópicas ilegales.”.</w:t>
      </w:r>
    </w:p>
    <w:sectPr w:rsidR="00645500">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4757"/>
    <w:multiLevelType w:val="hybridMultilevel"/>
    <w:tmpl w:val="276E286C"/>
    <w:lvl w:ilvl="0" w:tplc="0A7A3418">
      <w:start w:val="1"/>
      <w:numFmt w:val="upperRoman"/>
      <w:lvlText w:val="%1."/>
      <w:lvlJc w:val="left"/>
      <w:pPr>
        <w:ind w:left="658" w:hanging="540"/>
        <w:jc w:val="left"/>
      </w:pPr>
      <w:rPr>
        <w:rFonts w:ascii="Calibri" w:eastAsia="Calibri" w:hAnsi="Calibri" w:cs="Calibri" w:hint="default"/>
        <w:b/>
        <w:bCs/>
        <w:i w:val="0"/>
        <w:iCs w:val="0"/>
        <w:spacing w:val="-1"/>
        <w:w w:val="100"/>
        <w:sz w:val="23"/>
        <w:szCs w:val="23"/>
        <w:lang w:val="es-ES" w:eastAsia="en-US" w:bidi="ar-SA"/>
      </w:rPr>
    </w:lvl>
    <w:lvl w:ilvl="1" w:tplc="05E219FE">
      <w:numFmt w:val="bullet"/>
      <w:lvlText w:val="•"/>
      <w:lvlJc w:val="left"/>
      <w:pPr>
        <w:ind w:left="1500" w:hanging="540"/>
      </w:pPr>
      <w:rPr>
        <w:rFonts w:hint="default"/>
        <w:lang w:val="es-ES" w:eastAsia="en-US" w:bidi="ar-SA"/>
      </w:rPr>
    </w:lvl>
    <w:lvl w:ilvl="2" w:tplc="6FF0E7D8">
      <w:numFmt w:val="bullet"/>
      <w:lvlText w:val="•"/>
      <w:lvlJc w:val="left"/>
      <w:pPr>
        <w:ind w:left="2340" w:hanging="540"/>
      </w:pPr>
      <w:rPr>
        <w:rFonts w:hint="default"/>
        <w:lang w:val="es-ES" w:eastAsia="en-US" w:bidi="ar-SA"/>
      </w:rPr>
    </w:lvl>
    <w:lvl w:ilvl="3" w:tplc="C6CAEC88">
      <w:numFmt w:val="bullet"/>
      <w:lvlText w:val="•"/>
      <w:lvlJc w:val="left"/>
      <w:pPr>
        <w:ind w:left="3180" w:hanging="540"/>
      </w:pPr>
      <w:rPr>
        <w:rFonts w:hint="default"/>
        <w:lang w:val="es-ES" w:eastAsia="en-US" w:bidi="ar-SA"/>
      </w:rPr>
    </w:lvl>
    <w:lvl w:ilvl="4" w:tplc="B2C6CF1A">
      <w:numFmt w:val="bullet"/>
      <w:lvlText w:val="•"/>
      <w:lvlJc w:val="left"/>
      <w:pPr>
        <w:ind w:left="4020" w:hanging="540"/>
      </w:pPr>
      <w:rPr>
        <w:rFonts w:hint="default"/>
        <w:lang w:val="es-ES" w:eastAsia="en-US" w:bidi="ar-SA"/>
      </w:rPr>
    </w:lvl>
    <w:lvl w:ilvl="5" w:tplc="AA003C0C">
      <w:numFmt w:val="bullet"/>
      <w:lvlText w:val="•"/>
      <w:lvlJc w:val="left"/>
      <w:pPr>
        <w:ind w:left="4860" w:hanging="540"/>
      </w:pPr>
      <w:rPr>
        <w:rFonts w:hint="default"/>
        <w:lang w:val="es-ES" w:eastAsia="en-US" w:bidi="ar-SA"/>
      </w:rPr>
    </w:lvl>
    <w:lvl w:ilvl="6" w:tplc="2B269DA6">
      <w:numFmt w:val="bullet"/>
      <w:lvlText w:val="•"/>
      <w:lvlJc w:val="left"/>
      <w:pPr>
        <w:ind w:left="5700" w:hanging="540"/>
      </w:pPr>
      <w:rPr>
        <w:rFonts w:hint="default"/>
        <w:lang w:val="es-ES" w:eastAsia="en-US" w:bidi="ar-SA"/>
      </w:rPr>
    </w:lvl>
    <w:lvl w:ilvl="7" w:tplc="80AA5A40">
      <w:numFmt w:val="bullet"/>
      <w:lvlText w:val="•"/>
      <w:lvlJc w:val="left"/>
      <w:pPr>
        <w:ind w:left="6540" w:hanging="540"/>
      </w:pPr>
      <w:rPr>
        <w:rFonts w:hint="default"/>
        <w:lang w:val="es-ES" w:eastAsia="en-US" w:bidi="ar-SA"/>
      </w:rPr>
    </w:lvl>
    <w:lvl w:ilvl="8" w:tplc="C1FA1F58">
      <w:numFmt w:val="bullet"/>
      <w:lvlText w:val="•"/>
      <w:lvlJc w:val="left"/>
      <w:pPr>
        <w:ind w:left="7380" w:hanging="540"/>
      </w:pPr>
      <w:rPr>
        <w:rFonts w:hint="default"/>
        <w:lang w:val="es-ES" w:eastAsia="en-US" w:bidi="ar-SA"/>
      </w:rPr>
    </w:lvl>
  </w:abstractNum>
  <w:num w:numId="1" w16cid:durableId="150242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00"/>
    <w:rsid w:val="000C6914"/>
    <w:rsid w:val="004431C6"/>
    <w:rsid w:val="006455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C7DE9-CD72-42B7-8491-9484AC58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58" w:hanging="5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4385</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2024-08-22T19:57:00Z</dcterms:created>
  <dcterms:modified xsi:type="dcterms:W3CDTF">2024-09-04T16:58:00Z</dcterms:modified>
</cp:coreProperties>
</file>