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2541F" w:rsidRDefault="0012541F">
      <w:pPr>
        <w:pStyle w:val="Textoindependiente"/>
        <w:spacing w:before="166"/>
      </w:pPr>
    </w:p>
    <w:p w:rsidR="0012541F" w:rsidRDefault="00000000">
      <w:pPr>
        <w:pStyle w:val="Ttulo1"/>
        <w:spacing w:line="276" w:lineRule="auto"/>
        <w:ind w:left="100" w:right="119"/>
        <w:jc w:val="both"/>
      </w:pPr>
      <w:r>
        <w:t xml:space="preserve">PROYECTO DE LEY QUE ESTABLECE MEDIDAS PARA LA INCLUSIÓN DE PERSONAS CON DISCAPACIDAD VISUAL PARA IMPLEMENTAR EL USO DE SEÑALES AUDITIVAS O TÁCTILES PARA EL USO DE ESCALERAS </w:t>
      </w:r>
      <w:r>
        <w:rPr>
          <w:spacing w:val="-2"/>
        </w:rPr>
        <w:t>MECÁNICAS.</w:t>
      </w:r>
    </w:p>
    <w:p w:rsidR="0012541F" w:rsidRDefault="0012541F">
      <w:pPr>
        <w:pStyle w:val="Textoindependiente"/>
        <w:rPr>
          <w:b/>
        </w:rPr>
      </w:pPr>
    </w:p>
    <w:p w:rsidR="0012541F" w:rsidRDefault="0012541F">
      <w:pPr>
        <w:pStyle w:val="Textoindependiente"/>
        <w:rPr>
          <w:b/>
        </w:rPr>
      </w:pPr>
    </w:p>
    <w:p w:rsidR="0012541F" w:rsidRDefault="0012541F">
      <w:pPr>
        <w:pStyle w:val="Textoindependiente"/>
        <w:rPr>
          <w:b/>
        </w:rPr>
      </w:pPr>
    </w:p>
    <w:p w:rsidR="0012541F" w:rsidRDefault="0012541F">
      <w:pPr>
        <w:pStyle w:val="Textoindependiente"/>
        <w:spacing w:before="128"/>
        <w:rPr>
          <w:b/>
        </w:rPr>
      </w:pPr>
    </w:p>
    <w:p w:rsidR="0012541F" w:rsidRDefault="00000000">
      <w:pPr>
        <w:pStyle w:val="Prrafodelista"/>
        <w:numPr>
          <w:ilvl w:val="0"/>
          <w:numId w:val="1"/>
        </w:numPr>
        <w:tabs>
          <w:tab w:val="left" w:pos="820"/>
        </w:tabs>
        <w:jc w:val="left"/>
        <w:rPr>
          <w:b/>
          <w:sz w:val="24"/>
        </w:rPr>
      </w:pPr>
      <w:r>
        <w:rPr>
          <w:b/>
          <w:spacing w:val="-2"/>
          <w:sz w:val="24"/>
        </w:rPr>
        <w:t>FUNDAMENTOS.</w:t>
      </w:r>
    </w:p>
    <w:p w:rsidR="0012541F" w:rsidRDefault="00000000">
      <w:pPr>
        <w:pStyle w:val="Textoindependiente"/>
        <w:spacing w:before="243" w:line="276" w:lineRule="auto"/>
        <w:ind w:left="100" w:right="118"/>
        <w:jc w:val="both"/>
      </w:pPr>
      <w:r>
        <w:t>La</w:t>
      </w:r>
      <w:r>
        <w:rPr>
          <w:spacing w:val="-3"/>
        </w:rPr>
        <w:t xml:space="preserve"> </w:t>
      </w:r>
      <w:r>
        <w:t>Convención</w:t>
      </w:r>
      <w:r>
        <w:rPr>
          <w:spacing w:val="-1"/>
        </w:rPr>
        <w:t xml:space="preserve"> </w:t>
      </w:r>
      <w:r>
        <w:t>de</w:t>
      </w:r>
      <w:r>
        <w:rPr>
          <w:spacing w:val="-2"/>
        </w:rPr>
        <w:t xml:space="preserve"> </w:t>
      </w:r>
      <w:r>
        <w:t>las</w:t>
      </w:r>
      <w:r>
        <w:rPr>
          <w:spacing w:val="-2"/>
        </w:rPr>
        <w:t xml:space="preserve"> </w:t>
      </w:r>
      <w:r>
        <w:t>Naciones</w:t>
      </w:r>
      <w:r>
        <w:rPr>
          <w:spacing w:val="-2"/>
        </w:rPr>
        <w:t xml:space="preserve"> </w:t>
      </w:r>
      <w:r>
        <w:t>Unidas</w:t>
      </w:r>
      <w:r>
        <w:rPr>
          <w:spacing w:val="-1"/>
        </w:rPr>
        <w:t xml:space="preserve"> </w:t>
      </w:r>
      <w:r>
        <w:t>sobre</w:t>
      </w:r>
      <w:r>
        <w:rPr>
          <w:spacing w:val="-3"/>
        </w:rPr>
        <w:t xml:space="preserve"> </w:t>
      </w:r>
      <w:r>
        <w:t>los</w:t>
      </w:r>
      <w:r>
        <w:rPr>
          <w:spacing w:val="-3"/>
        </w:rPr>
        <w:t xml:space="preserve"> </w:t>
      </w:r>
      <w:r>
        <w:t>Derechos</w:t>
      </w:r>
      <w:r>
        <w:rPr>
          <w:spacing w:val="-1"/>
        </w:rPr>
        <w:t xml:space="preserve"> </w:t>
      </w:r>
      <w:r>
        <w:t>de</w:t>
      </w:r>
      <w:r>
        <w:rPr>
          <w:spacing w:val="-2"/>
        </w:rPr>
        <w:t xml:space="preserve"> </w:t>
      </w:r>
      <w:r>
        <w:t>las</w:t>
      </w:r>
      <w:r>
        <w:rPr>
          <w:spacing w:val="-2"/>
        </w:rPr>
        <w:t xml:space="preserve"> </w:t>
      </w:r>
      <w:r>
        <w:t>Personas</w:t>
      </w:r>
      <w:r>
        <w:rPr>
          <w:spacing w:val="-1"/>
        </w:rPr>
        <w:t xml:space="preserve"> </w:t>
      </w:r>
      <w:r>
        <w:t>con</w:t>
      </w:r>
      <w:r>
        <w:rPr>
          <w:spacing w:val="-1"/>
        </w:rPr>
        <w:t xml:space="preserve"> </w:t>
      </w:r>
      <w:r>
        <w:t xml:space="preserve">Discapacidad, ratificada por Chile, tiene como propósito promover, proteger y asegurar el goce pleno y en condiciones de igualdad de todos los derechos humanos y libertades fundamentales por todas las personas con discapacidad, y promover el respeto de su dignidad inherente. Así, Chile ha promulgado diversas leyes con el objeto de promover la inclusión de las personas con </w:t>
      </w:r>
      <w:r>
        <w:rPr>
          <w:spacing w:val="-2"/>
        </w:rPr>
        <w:t>discapacidad.</w:t>
      </w:r>
    </w:p>
    <w:p w:rsidR="0012541F" w:rsidRDefault="00000000">
      <w:pPr>
        <w:pStyle w:val="Textoindependiente"/>
        <w:spacing w:before="201" w:line="276" w:lineRule="auto"/>
        <w:ind w:left="100" w:right="116"/>
        <w:jc w:val="both"/>
      </w:pPr>
      <w:r>
        <w:t>Sin embargo, promover la inclusión de las personas va más allá de lo laboral y lo educativo, también es necesario establecer las medidas necesarias para que puedan desarrollar su vida cotidiana</w:t>
      </w:r>
      <w:r>
        <w:rPr>
          <w:spacing w:val="-15"/>
        </w:rPr>
        <w:t xml:space="preserve"> </w:t>
      </w:r>
      <w:r>
        <w:t>sin</w:t>
      </w:r>
      <w:r>
        <w:rPr>
          <w:spacing w:val="-15"/>
        </w:rPr>
        <w:t xml:space="preserve"> </w:t>
      </w:r>
      <w:r>
        <w:t>complicaciones,</w:t>
      </w:r>
      <w:r>
        <w:rPr>
          <w:spacing w:val="-15"/>
        </w:rPr>
        <w:t xml:space="preserve"> </w:t>
      </w:r>
      <w:r>
        <w:t>prueba</w:t>
      </w:r>
      <w:r>
        <w:rPr>
          <w:spacing w:val="-15"/>
        </w:rPr>
        <w:t xml:space="preserve"> </w:t>
      </w:r>
      <w:r>
        <w:t>de</w:t>
      </w:r>
      <w:r>
        <w:rPr>
          <w:spacing w:val="-15"/>
        </w:rPr>
        <w:t xml:space="preserve"> </w:t>
      </w:r>
      <w:r>
        <w:t>ello</w:t>
      </w:r>
      <w:r>
        <w:rPr>
          <w:spacing w:val="-15"/>
        </w:rPr>
        <w:t xml:space="preserve"> </w:t>
      </w:r>
      <w:r>
        <w:t>son</w:t>
      </w:r>
      <w:r>
        <w:rPr>
          <w:spacing w:val="-15"/>
        </w:rPr>
        <w:t xml:space="preserve"> </w:t>
      </w:r>
      <w:r>
        <w:t>las</w:t>
      </w:r>
      <w:r>
        <w:rPr>
          <w:spacing w:val="-15"/>
        </w:rPr>
        <w:t xml:space="preserve"> </w:t>
      </w:r>
      <w:r>
        <w:t>denominadas</w:t>
      </w:r>
      <w:r>
        <w:rPr>
          <w:spacing w:val="-15"/>
        </w:rPr>
        <w:t xml:space="preserve"> </w:t>
      </w:r>
      <w:r>
        <w:rPr>
          <w:i/>
        </w:rPr>
        <w:t>“huellas</w:t>
      </w:r>
      <w:r>
        <w:rPr>
          <w:i/>
          <w:spacing w:val="-15"/>
        </w:rPr>
        <w:t xml:space="preserve"> </w:t>
      </w:r>
      <w:r>
        <w:rPr>
          <w:i/>
        </w:rPr>
        <w:t>podotáctil</w:t>
      </w:r>
      <w:r>
        <w:t>”</w:t>
      </w:r>
      <w:r>
        <w:rPr>
          <w:spacing w:val="-15"/>
        </w:rPr>
        <w:t xml:space="preserve"> </w:t>
      </w:r>
      <w:r>
        <w:t>definido legalmente como aquel recorrido de pavimento con texturas en sobre relieve y contraste cromático respecto del pavimento circundante, destinada</w:t>
      </w:r>
      <w:r>
        <w:rPr>
          <w:spacing w:val="-1"/>
        </w:rPr>
        <w:t xml:space="preserve"> </w:t>
      </w:r>
      <w:r>
        <w:t>a guiar y/o alterar de</w:t>
      </w:r>
      <w:r>
        <w:rPr>
          <w:spacing w:val="-1"/>
        </w:rPr>
        <w:t xml:space="preserve"> </w:t>
      </w:r>
      <w:r>
        <w:t>los cambios de dirección o nivel en una circulación peatonal</w:t>
      </w:r>
      <w:hyperlink w:anchor="_bookmark0" w:history="1">
        <w:r>
          <w:rPr>
            <w:vertAlign w:val="superscript"/>
          </w:rPr>
          <w:t>1</w:t>
        </w:r>
      </w:hyperlink>
      <w:r>
        <w:t>. Lo que, en otras palabras, es aquellas parte de la vereda que tiene un color distinto y un relieve para aquellas personas con discapacidad puedan hacer uso de ellas para guiarse por las calles de la ciudad.</w:t>
      </w:r>
    </w:p>
    <w:p w:rsidR="0012541F" w:rsidRDefault="00000000">
      <w:pPr>
        <w:pStyle w:val="Textoindependiente"/>
        <w:spacing w:before="199" w:line="276" w:lineRule="auto"/>
        <w:ind w:left="100" w:right="123"/>
        <w:jc w:val="both"/>
      </w:pPr>
      <w:r>
        <w:t>También, las municipalidades están obligadas a dotar los semáforos con señales auditivas luminosas para las personas con discapacidad visual y auditiva, debiendo ubicar éstos adyacentes a los pasos para peatones.</w:t>
      </w:r>
    </w:p>
    <w:p w:rsidR="0012541F" w:rsidRDefault="00000000">
      <w:pPr>
        <w:pStyle w:val="Textoindependiente"/>
        <w:spacing w:before="201" w:line="276" w:lineRule="auto"/>
        <w:ind w:left="100" w:right="115"/>
        <w:jc w:val="both"/>
      </w:pPr>
      <w:r>
        <w:t>Es por</w:t>
      </w:r>
      <w:r>
        <w:rPr>
          <w:spacing w:val="-1"/>
        </w:rPr>
        <w:t xml:space="preserve"> </w:t>
      </w:r>
      <w:r>
        <w:t>ello, que un aspecto que</w:t>
      </w:r>
      <w:r>
        <w:rPr>
          <w:spacing w:val="-1"/>
        </w:rPr>
        <w:t xml:space="preserve"> </w:t>
      </w:r>
      <w:r>
        <w:t>ha</w:t>
      </w:r>
      <w:r>
        <w:rPr>
          <w:spacing w:val="-1"/>
        </w:rPr>
        <w:t xml:space="preserve"> </w:t>
      </w:r>
      <w:r>
        <w:t>quedado en el olvido es el uso de escaleras mecánicas para las personas con discapacidad, pues estas no contienen ninguna advertencia para su uso. La deficiente información sobre la dirección de las escaleras mecánicas tanto en los recintos públicos como privados puede conllevar a accidentes, especialmente para aquellas personas con discapacidad visual, quienes pueden no estar conscientes del movimiento de la escalera; de</w:t>
      </w:r>
      <w:r>
        <w:rPr>
          <w:spacing w:val="-9"/>
        </w:rPr>
        <w:t xml:space="preserve"> </w:t>
      </w:r>
      <w:r>
        <w:t>manera</w:t>
      </w:r>
      <w:r>
        <w:rPr>
          <w:spacing w:val="-10"/>
        </w:rPr>
        <w:t xml:space="preserve"> </w:t>
      </w:r>
      <w:r>
        <w:t>que</w:t>
      </w:r>
      <w:r>
        <w:rPr>
          <w:spacing w:val="-9"/>
        </w:rPr>
        <w:t xml:space="preserve"> </w:t>
      </w:r>
      <w:r>
        <w:t>se</w:t>
      </w:r>
      <w:r>
        <w:rPr>
          <w:spacing w:val="-9"/>
        </w:rPr>
        <w:t xml:space="preserve"> </w:t>
      </w:r>
      <w:r>
        <w:t>torna</w:t>
      </w:r>
      <w:r>
        <w:rPr>
          <w:spacing w:val="-9"/>
        </w:rPr>
        <w:t xml:space="preserve"> </w:t>
      </w:r>
      <w:r>
        <w:t>fundamental</w:t>
      </w:r>
      <w:r>
        <w:rPr>
          <w:spacing w:val="-8"/>
        </w:rPr>
        <w:t xml:space="preserve"> </w:t>
      </w:r>
      <w:r>
        <w:t>la</w:t>
      </w:r>
      <w:r>
        <w:rPr>
          <w:spacing w:val="-9"/>
        </w:rPr>
        <w:t xml:space="preserve"> </w:t>
      </w:r>
      <w:r>
        <w:t>implementaciones</w:t>
      </w:r>
      <w:r>
        <w:rPr>
          <w:spacing w:val="-6"/>
        </w:rPr>
        <w:t xml:space="preserve"> </w:t>
      </w:r>
      <w:r>
        <w:t>de</w:t>
      </w:r>
      <w:r>
        <w:rPr>
          <w:spacing w:val="-9"/>
        </w:rPr>
        <w:t xml:space="preserve"> </w:t>
      </w:r>
      <w:r>
        <w:t>medidas</w:t>
      </w:r>
      <w:r>
        <w:rPr>
          <w:spacing w:val="-8"/>
        </w:rPr>
        <w:t xml:space="preserve"> </w:t>
      </w:r>
      <w:r>
        <w:t>para</w:t>
      </w:r>
      <w:r>
        <w:rPr>
          <w:spacing w:val="-10"/>
        </w:rPr>
        <w:t xml:space="preserve"> </w:t>
      </w:r>
      <w:r>
        <w:t>tales</w:t>
      </w:r>
      <w:r>
        <w:rPr>
          <w:spacing w:val="-9"/>
        </w:rPr>
        <w:t xml:space="preserve"> </w:t>
      </w:r>
      <w:r>
        <w:t>situaciones,</w:t>
      </w:r>
      <w:r>
        <w:rPr>
          <w:spacing w:val="-9"/>
        </w:rPr>
        <w:t xml:space="preserve"> </w:t>
      </w:r>
      <w:r>
        <w:t>ya sea a través de señales auditivas y táctiles para fomentar la movilidad segura y autónoma de las personas con discapacidad visual.</w:t>
      </w:r>
    </w:p>
    <w:p w:rsidR="0012541F" w:rsidRDefault="0012541F">
      <w:pPr>
        <w:pStyle w:val="Textoindependiente"/>
        <w:rPr>
          <w:sz w:val="20"/>
        </w:rPr>
      </w:pPr>
    </w:p>
    <w:p w:rsidR="0012541F" w:rsidRDefault="00000000">
      <w:pPr>
        <w:pStyle w:val="Textoindependiente"/>
        <w:spacing w:before="4"/>
        <w:rPr>
          <w:sz w:val="20"/>
        </w:rPr>
      </w:pPr>
      <w:r>
        <w:rPr>
          <w:noProof/>
        </w:rPr>
        <mc:AlternateContent>
          <mc:Choice Requires="wps">
            <w:drawing>
              <wp:anchor distT="0" distB="0" distL="0" distR="0" simplePos="0" relativeHeight="487587840" behindDoc="1" locked="0" layoutInCell="1" allowOverlap="1">
                <wp:simplePos x="0" y="0"/>
                <wp:positionH relativeFrom="page">
                  <wp:posOffset>914704</wp:posOffset>
                </wp:positionH>
                <wp:positionV relativeFrom="paragraph">
                  <wp:posOffset>164301</wp:posOffset>
                </wp:positionV>
                <wp:extent cx="182943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E7D80B" id="Graphic 2" o:spid="_x0000_s1026" style="position:absolute;margin-left:1in;margin-top:12.95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" path="m1829054,l,,,7619r1829054,l1829054,xe" fillcolor="black" stroked="f">
                <v:path arrowok="t"/>
                <w10:wrap type="topAndBottom" anchorx="page"/>
              </v:shape>
            </w:pict>
          </mc:Fallback>
        </mc:AlternateContent>
      </w:r>
    </w:p>
    <w:p w:rsidR="0012541F" w:rsidRDefault="00000000">
      <w:pPr>
        <w:spacing w:before="91"/>
        <w:ind w:left="100" w:right="122"/>
        <w:jc w:val="both"/>
      </w:pPr>
      <w:bookmarkStart w:id="0" w:name="_bookmark0"/>
      <w:bookmarkEnd w:id="0"/>
      <w:r>
        <w:rPr>
          <w:rFonts w:ascii="Arial" w:hAnsi="Arial"/>
          <w:vertAlign w:val="superscript"/>
        </w:rPr>
        <w:t>1</w:t>
      </w:r>
      <w:r>
        <w:rPr>
          <w:rFonts w:ascii="Arial" w:hAnsi="Arial"/>
        </w:rPr>
        <w:t xml:space="preserve"> </w:t>
      </w:r>
      <w:r>
        <w:t>Decreto 50</w:t>
      </w:r>
      <w:r>
        <w:rPr>
          <w:spacing w:val="40"/>
        </w:rPr>
        <w:t xml:space="preserve"> </w:t>
      </w:r>
      <w:r>
        <w:t>que Modifica Nº47, de Vivienda y Urbanismo, de 1992, Ordenanza General de Construcciones en el sentido de actualizar sus normas a las disposiciones de la ley N° 20.422, sobre Igualdad de Oportunidades e Inclusión Social de las Personas con Discapacidad.</w:t>
      </w:r>
    </w:p>
    <w:p w:rsidR="0012541F" w:rsidRDefault="0012541F">
      <w:pPr>
        <w:jc w:val="both"/>
        <w:sectPr w:rsidR="0012541F">
          <w:headerReference w:type="default" r:id="rId7"/>
          <w:type w:val="continuous"/>
          <w:pgSz w:w="11910" w:h="16840"/>
          <w:pgMar w:top="2040" w:right="1320" w:bottom="280" w:left="1340" w:header="720" w:footer="0" w:gutter="0"/>
          <w:pgNumType w:start="1"/>
          <w:cols w:space="720"/>
        </w:sectPr>
      </w:pPr>
    </w:p>
    <w:p w:rsidR="0012541F" w:rsidRDefault="00000000">
      <w:pPr>
        <w:pStyle w:val="Textoindependiente"/>
        <w:spacing w:before="241" w:line="276" w:lineRule="auto"/>
        <w:ind w:left="100" w:right="115"/>
        <w:jc w:val="both"/>
      </w:pPr>
      <w:r>
        <w:lastRenderedPageBreak/>
        <w:t>Lo anterior, teniendo presente que según los datos entregados por el Tercer Estudio Nacional de la Discapacidad organizado por el Servicio Nacional de Discapacidad (SENADIS) el 17% de la población de 2 años y más estimada en Chile, tiene discapacidad, lo que correspondería a aproximadamente</w:t>
      </w:r>
      <w:r>
        <w:rPr>
          <w:spacing w:val="69"/>
        </w:rPr>
        <w:t xml:space="preserve"> </w:t>
      </w:r>
      <w:r>
        <w:t>a 3.291.602 personas; mientras que el 17,6% de la población de 18 años y más tiene discapacidad, es decir, 2.703.893 de personas</w:t>
      </w:r>
      <w:hyperlink w:anchor="_bookmark1" w:history="1">
        <w:r>
          <w:rPr>
            <w:vertAlign w:val="superscript"/>
          </w:rPr>
          <w:t>2</w:t>
        </w:r>
      </w:hyperlink>
      <w:r>
        <w:t>. Cifras que resaltan la importancia de seguir implementando medidas para aquel porcentaje de la población.</w:t>
      </w:r>
    </w:p>
    <w:p w:rsidR="0012541F" w:rsidRDefault="00000000">
      <w:pPr>
        <w:pStyle w:val="Textoindependiente"/>
        <w:spacing w:before="198" w:line="276" w:lineRule="auto"/>
        <w:ind w:left="100" w:right="117"/>
        <w:jc w:val="both"/>
      </w:pPr>
      <w:r>
        <w:t>De</w:t>
      </w:r>
      <w:r>
        <w:rPr>
          <w:spacing w:val="-4"/>
        </w:rPr>
        <w:t xml:space="preserve"> </w:t>
      </w:r>
      <w:r>
        <w:t>forma</w:t>
      </w:r>
      <w:r>
        <w:rPr>
          <w:spacing w:val="-4"/>
        </w:rPr>
        <w:t xml:space="preserve"> </w:t>
      </w:r>
      <w:r>
        <w:t>tal,</w:t>
      </w:r>
      <w:r>
        <w:rPr>
          <w:spacing w:val="-2"/>
        </w:rPr>
        <w:t xml:space="preserve"> </w:t>
      </w:r>
      <w:r>
        <w:t>que</w:t>
      </w:r>
      <w:r>
        <w:rPr>
          <w:spacing w:val="-3"/>
        </w:rPr>
        <w:t xml:space="preserve"> </w:t>
      </w:r>
      <w:r>
        <w:t>es necesario</w:t>
      </w:r>
      <w:r>
        <w:rPr>
          <w:spacing w:val="-2"/>
        </w:rPr>
        <w:t xml:space="preserve"> </w:t>
      </w:r>
      <w:r>
        <w:t>establecer</w:t>
      </w:r>
      <w:r>
        <w:rPr>
          <w:spacing w:val="-1"/>
        </w:rPr>
        <w:t xml:space="preserve"> </w:t>
      </w:r>
      <w:r>
        <w:t>medidas para</w:t>
      </w:r>
      <w:r>
        <w:rPr>
          <w:spacing w:val="-2"/>
        </w:rPr>
        <w:t xml:space="preserve"> </w:t>
      </w:r>
      <w:r>
        <w:t>el</w:t>
      </w:r>
      <w:r>
        <w:rPr>
          <w:spacing w:val="-2"/>
        </w:rPr>
        <w:t xml:space="preserve"> </w:t>
      </w:r>
      <w:r>
        <w:t>debido</w:t>
      </w:r>
      <w:r>
        <w:rPr>
          <w:spacing w:val="-2"/>
        </w:rPr>
        <w:t xml:space="preserve"> </w:t>
      </w:r>
      <w:r>
        <w:t>y seguro</w:t>
      </w:r>
      <w:r>
        <w:rPr>
          <w:spacing w:val="-1"/>
        </w:rPr>
        <w:t xml:space="preserve"> </w:t>
      </w:r>
      <w:r>
        <w:t>uso</w:t>
      </w:r>
      <w:r>
        <w:rPr>
          <w:spacing w:val="-2"/>
        </w:rPr>
        <w:t xml:space="preserve"> </w:t>
      </w:r>
      <w:r>
        <w:t>de</w:t>
      </w:r>
      <w:r>
        <w:rPr>
          <w:spacing w:val="-3"/>
        </w:rPr>
        <w:t xml:space="preserve"> </w:t>
      </w:r>
      <w:r>
        <w:t>las</w:t>
      </w:r>
      <w:r>
        <w:rPr>
          <w:spacing w:val="-1"/>
        </w:rPr>
        <w:t xml:space="preserve"> </w:t>
      </w:r>
      <w:r>
        <w:t>escaleras mecánicas,</w:t>
      </w:r>
      <w:r>
        <w:rPr>
          <w:spacing w:val="-7"/>
        </w:rPr>
        <w:t xml:space="preserve"> </w:t>
      </w:r>
      <w:r>
        <w:t>teniendo</w:t>
      </w:r>
      <w:r>
        <w:rPr>
          <w:spacing w:val="-7"/>
        </w:rPr>
        <w:t xml:space="preserve"> </w:t>
      </w:r>
      <w:r>
        <w:t>presente</w:t>
      </w:r>
      <w:r>
        <w:rPr>
          <w:spacing w:val="-8"/>
        </w:rPr>
        <w:t xml:space="preserve"> </w:t>
      </w:r>
      <w:r>
        <w:t>que</w:t>
      </w:r>
      <w:r>
        <w:rPr>
          <w:spacing w:val="-8"/>
        </w:rPr>
        <w:t xml:space="preserve"> </w:t>
      </w:r>
      <w:r>
        <w:t>su</w:t>
      </w:r>
      <w:r>
        <w:rPr>
          <w:spacing w:val="-7"/>
        </w:rPr>
        <w:t xml:space="preserve"> </w:t>
      </w:r>
      <w:r>
        <w:t>uso</w:t>
      </w:r>
      <w:r>
        <w:rPr>
          <w:spacing w:val="-7"/>
        </w:rPr>
        <w:t xml:space="preserve"> </w:t>
      </w:r>
      <w:r>
        <w:t>es</w:t>
      </w:r>
      <w:r>
        <w:rPr>
          <w:spacing w:val="-7"/>
        </w:rPr>
        <w:t xml:space="preserve"> </w:t>
      </w:r>
      <w:r>
        <w:t>masivo</w:t>
      </w:r>
      <w:r>
        <w:rPr>
          <w:spacing w:val="-7"/>
        </w:rPr>
        <w:t xml:space="preserve"> </w:t>
      </w:r>
      <w:r>
        <w:t>en</w:t>
      </w:r>
      <w:r>
        <w:rPr>
          <w:spacing w:val="-7"/>
        </w:rPr>
        <w:t xml:space="preserve"> </w:t>
      </w:r>
      <w:r>
        <w:t>la</w:t>
      </w:r>
      <w:r>
        <w:rPr>
          <w:spacing w:val="-8"/>
        </w:rPr>
        <w:t xml:space="preserve"> </w:t>
      </w:r>
      <w:r>
        <w:t>mayoría</w:t>
      </w:r>
      <w:r>
        <w:rPr>
          <w:spacing w:val="-8"/>
        </w:rPr>
        <w:t xml:space="preserve"> </w:t>
      </w:r>
      <w:r>
        <w:t>de</w:t>
      </w:r>
      <w:r>
        <w:rPr>
          <w:spacing w:val="-8"/>
        </w:rPr>
        <w:t xml:space="preserve"> </w:t>
      </w:r>
      <w:r>
        <w:t>los</w:t>
      </w:r>
      <w:r>
        <w:rPr>
          <w:spacing w:val="-7"/>
        </w:rPr>
        <w:t xml:space="preserve"> </w:t>
      </w:r>
      <w:r>
        <w:t>recintos</w:t>
      </w:r>
      <w:r>
        <w:rPr>
          <w:spacing w:val="-7"/>
        </w:rPr>
        <w:t xml:space="preserve"> </w:t>
      </w:r>
      <w:r>
        <w:t>del</w:t>
      </w:r>
      <w:r>
        <w:rPr>
          <w:spacing w:val="-7"/>
        </w:rPr>
        <w:t xml:space="preserve"> </w:t>
      </w:r>
      <w:r>
        <w:t>país,</w:t>
      </w:r>
      <w:r>
        <w:rPr>
          <w:spacing w:val="-7"/>
        </w:rPr>
        <w:t xml:space="preserve"> </w:t>
      </w:r>
      <w:r>
        <w:t>tanto en los centros comerciales como en el servicio de Metro de Santiago. Así, facilitar la identificación</w:t>
      </w:r>
      <w:r>
        <w:rPr>
          <w:spacing w:val="-11"/>
        </w:rPr>
        <w:t xml:space="preserve"> </w:t>
      </w:r>
      <w:r>
        <w:t>del</w:t>
      </w:r>
      <w:r>
        <w:rPr>
          <w:spacing w:val="-11"/>
        </w:rPr>
        <w:t xml:space="preserve"> </w:t>
      </w:r>
      <w:r>
        <w:t>sentido</w:t>
      </w:r>
      <w:r>
        <w:rPr>
          <w:spacing w:val="-12"/>
        </w:rPr>
        <w:t xml:space="preserve"> </w:t>
      </w:r>
      <w:r>
        <w:t>de</w:t>
      </w:r>
      <w:r>
        <w:rPr>
          <w:spacing w:val="-13"/>
        </w:rPr>
        <w:t xml:space="preserve"> </w:t>
      </w:r>
      <w:r>
        <w:t>las</w:t>
      </w:r>
      <w:r>
        <w:rPr>
          <w:spacing w:val="-12"/>
        </w:rPr>
        <w:t xml:space="preserve"> </w:t>
      </w:r>
      <w:r>
        <w:t>escaleras</w:t>
      </w:r>
      <w:r>
        <w:rPr>
          <w:spacing w:val="-11"/>
        </w:rPr>
        <w:t xml:space="preserve"> </w:t>
      </w:r>
      <w:r>
        <w:t>mecánicas</w:t>
      </w:r>
      <w:r>
        <w:rPr>
          <w:spacing w:val="-11"/>
        </w:rPr>
        <w:t xml:space="preserve"> </w:t>
      </w:r>
      <w:r>
        <w:t>permitiría</w:t>
      </w:r>
      <w:r>
        <w:rPr>
          <w:spacing w:val="-13"/>
        </w:rPr>
        <w:t xml:space="preserve"> </w:t>
      </w:r>
      <w:r>
        <w:t>a</w:t>
      </w:r>
      <w:r>
        <w:rPr>
          <w:spacing w:val="-13"/>
        </w:rPr>
        <w:t xml:space="preserve"> </w:t>
      </w:r>
      <w:r>
        <w:t>las</w:t>
      </w:r>
      <w:r>
        <w:rPr>
          <w:spacing w:val="-12"/>
        </w:rPr>
        <w:t xml:space="preserve"> </w:t>
      </w:r>
      <w:r>
        <w:t>personas</w:t>
      </w:r>
      <w:r>
        <w:rPr>
          <w:spacing w:val="-11"/>
        </w:rPr>
        <w:t xml:space="preserve"> </w:t>
      </w:r>
      <w:r>
        <w:t>con</w:t>
      </w:r>
      <w:r>
        <w:rPr>
          <w:spacing w:val="-12"/>
        </w:rPr>
        <w:t xml:space="preserve"> </w:t>
      </w:r>
      <w:r>
        <w:t>discapacidad visual moverse de manera más independiente y libre, reduciendo la asistencia constante y, además, permitirá una mayor participación de ellas en la sociedad.</w:t>
      </w:r>
    </w:p>
    <w:p w:rsidR="0012541F" w:rsidRDefault="00000000">
      <w:pPr>
        <w:pStyle w:val="Textoindependiente"/>
        <w:spacing w:before="201" w:line="276" w:lineRule="auto"/>
        <w:ind w:left="100" w:right="118"/>
        <w:jc w:val="both"/>
      </w:pPr>
      <w:r>
        <w:t>En países como Australia, las directrices del transporte público incluyen requisitos para la accesibilidad, asegurando que la implementación de señales auditivas y táctiles están disponibles para usuarios con discapacidad visual. En Japón, se utiliza un sistema de señales auditivas</w:t>
      </w:r>
      <w:r>
        <w:rPr>
          <w:spacing w:val="-1"/>
        </w:rPr>
        <w:t xml:space="preserve"> </w:t>
      </w:r>
      <w:r>
        <w:t>y visuales para informar a</w:t>
      </w:r>
      <w:r>
        <w:rPr>
          <w:spacing w:val="-1"/>
        </w:rPr>
        <w:t xml:space="preserve"> </w:t>
      </w:r>
      <w:r>
        <w:t>los usuarios sobre</w:t>
      </w:r>
      <w:r>
        <w:rPr>
          <w:spacing w:val="-2"/>
        </w:rPr>
        <w:t xml:space="preserve"> </w:t>
      </w:r>
      <w:r>
        <w:t>la dirección de las escaleras mecánicas y otras instalaciones del servicio de transporte público.</w:t>
      </w:r>
    </w:p>
    <w:p w:rsidR="0012541F" w:rsidRDefault="00000000">
      <w:pPr>
        <w:pStyle w:val="Textoindependiente"/>
        <w:spacing w:before="202" w:line="276" w:lineRule="auto"/>
        <w:ind w:left="100" w:right="121"/>
        <w:jc w:val="both"/>
      </w:pPr>
      <w:r>
        <w:t>A raíz de lo mencionado, se torna fundamental implementar medidas en razón de mejorar la accesibilidad para las personas con discapacidad visual en las escaleras mecánicas, lo que no solo alineará a Chile con las mejores prácticas internacionales, sino que también reforzaría el compromiso del país con la accesibilidad y la igualdad para todas las personas.</w:t>
      </w:r>
    </w:p>
    <w:p w:rsidR="0012541F" w:rsidRDefault="0012541F">
      <w:pPr>
        <w:pStyle w:val="Textoindependiente"/>
      </w:pPr>
    </w:p>
    <w:p w:rsidR="0012541F" w:rsidRDefault="0012541F">
      <w:pPr>
        <w:pStyle w:val="Textoindependiente"/>
        <w:spacing w:before="163"/>
      </w:pPr>
    </w:p>
    <w:p w:rsidR="0012541F" w:rsidRDefault="00000000">
      <w:pPr>
        <w:pStyle w:val="Ttulo1"/>
        <w:numPr>
          <w:ilvl w:val="0"/>
          <w:numId w:val="1"/>
        </w:numPr>
        <w:tabs>
          <w:tab w:val="left" w:pos="820"/>
        </w:tabs>
        <w:ind w:hanging="607"/>
        <w:jc w:val="left"/>
      </w:pPr>
      <w:r>
        <w:t xml:space="preserve">IDEA </w:t>
      </w:r>
      <w:r>
        <w:rPr>
          <w:spacing w:val="-2"/>
        </w:rPr>
        <w:t>MATRIZ.</w:t>
      </w:r>
    </w:p>
    <w:p w:rsidR="0012541F" w:rsidRDefault="00000000">
      <w:pPr>
        <w:pStyle w:val="Textoindependiente"/>
        <w:spacing w:before="243" w:line="276" w:lineRule="auto"/>
        <w:ind w:left="100" w:right="354"/>
        <w:jc w:val="both"/>
      </w:pPr>
      <w:r>
        <w:t>Establecer</w:t>
      </w:r>
      <w:r>
        <w:rPr>
          <w:spacing w:val="-4"/>
        </w:rPr>
        <w:t xml:space="preserve"> </w:t>
      </w:r>
      <w:r>
        <w:t>la</w:t>
      </w:r>
      <w:r>
        <w:rPr>
          <w:spacing w:val="-5"/>
        </w:rPr>
        <w:t xml:space="preserve"> </w:t>
      </w:r>
      <w:r>
        <w:t>obligación</w:t>
      </w:r>
      <w:r>
        <w:rPr>
          <w:spacing w:val="-2"/>
        </w:rPr>
        <w:t xml:space="preserve"> </w:t>
      </w:r>
      <w:r>
        <w:t>de</w:t>
      </w:r>
      <w:r>
        <w:rPr>
          <w:spacing w:val="-5"/>
        </w:rPr>
        <w:t xml:space="preserve"> </w:t>
      </w:r>
      <w:r>
        <w:t>todo</w:t>
      </w:r>
      <w:r>
        <w:rPr>
          <w:spacing w:val="-4"/>
        </w:rPr>
        <w:t xml:space="preserve"> </w:t>
      </w:r>
      <w:r>
        <w:t>recinto</w:t>
      </w:r>
      <w:r>
        <w:rPr>
          <w:spacing w:val="-4"/>
        </w:rPr>
        <w:t xml:space="preserve"> </w:t>
      </w:r>
      <w:r>
        <w:t>privado</w:t>
      </w:r>
      <w:r>
        <w:rPr>
          <w:spacing w:val="-4"/>
        </w:rPr>
        <w:t xml:space="preserve"> </w:t>
      </w:r>
      <w:r>
        <w:t>que</w:t>
      </w:r>
      <w:r>
        <w:rPr>
          <w:spacing w:val="-5"/>
        </w:rPr>
        <w:t xml:space="preserve"> </w:t>
      </w:r>
      <w:r>
        <w:t>utilice</w:t>
      </w:r>
      <w:r>
        <w:rPr>
          <w:spacing w:val="-5"/>
        </w:rPr>
        <w:t xml:space="preserve"> </w:t>
      </w:r>
      <w:r>
        <w:t>escaleras</w:t>
      </w:r>
      <w:r>
        <w:rPr>
          <w:spacing w:val="-2"/>
        </w:rPr>
        <w:t xml:space="preserve"> </w:t>
      </w:r>
      <w:r>
        <w:t>eléctricas</w:t>
      </w:r>
      <w:r>
        <w:rPr>
          <w:spacing w:val="-4"/>
        </w:rPr>
        <w:t xml:space="preserve"> </w:t>
      </w:r>
      <w:r>
        <w:t>o</w:t>
      </w:r>
      <w:r>
        <w:rPr>
          <w:spacing w:val="-4"/>
        </w:rPr>
        <w:t xml:space="preserve"> </w:t>
      </w:r>
      <w:r>
        <w:t>mecánicas de la obligación de contar con elementos sonoros que indiquen la dirección que tiene dicha escalera con el objeto de ser identificable por personas con discapacidad visual.</w:t>
      </w:r>
    </w:p>
    <w:p w:rsidR="0012541F" w:rsidRDefault="0012541F">
      <w:pPr>
        <w:pStyle w:val="Textoindependiente"/>
        <w:rPr>
          <w:sz w:val="20"/>
        </w:rPr>
      </w:pPr>
    </w:p>
    <w:p w:rsidR="0012541F" w:rsidRDefault="0012541F">
      <w:pPr>
        <w:pStyle w:val="Textoindependiente"/>
        <w:rPr>
          <w:sz w:val="20"/>
        </w:rPr>
      </w:pPr>
    </w:p>
    <w:p w:rsidR="0012541F" w:rsidRDefault="0012541F">
      <w:pPr>
        <w:pStyle w:val="Textoindependiente"/>
        <w:rPr>
          <w:sz w:val="20"/>
        </w:rPr>
      </w:pPr>
    </w:p>
    <w:p w:rsidR="0012541F" w:rsidRDefault="0012541F">
      <w:pPr>
        <w:pStyle w:val="Textoindependiente"/>
        <w:rPr>
          <w:sz w:val="20"/>
        </w:rPr>
      </w:pPr>
    </w:p>
    <w:p w:rsidR="0012541F" w:rsidRDefault="0012541F">
      <w:pPr>
        <w:pStyle w:val="Textoindependiente"/>
        <w:rPr>
          <w:sz w:val="20"/>
        </w:rPr>
      </w:pPr>
    </w:p>
    <w:p w:rsidR="0012541F" w:rsidRDefault="0012541F">
      <w:pPr>
        <w:pStyle w:val="Textoindependiente"/>
        <w:rPr>
          <w:sz w:val="20"/>
        </w:rPr>
      </w:pPr>
    </w:p>
    <w:p w:rsidR="0012541F" w:rsidRDefault="0012541F">
      <w:pPr>
        <w:pStyle w:val="Textoindependiente"/>
        <w:rPr>
          <w:sz w:val="20"/>
        </w:rPr>
      </w:pPr>
    </w:p>
    <w:p w:rsidR="0012541F" w:rsidRDefault="0012541F">
      <w:pPr>
        <w:pStyle w:val="Textoindependiente"/>
        <w:rPr>
          <w:sz w:val="20"/>
        </w:rPr>
      </w:pPr>
    </w:p>
    <w:p w:rsidR="0012541F" w:rsidRDefault="0012541F">
      <w:pPr>
        <w:pStyle w:val="Textoindependiente"/>
        <w:rPr>
          <w:sz w:val="20"/>
        </w:rPr>
      </w:pPr>
    </w:p>
    <w:p w:rsidR="0012541F" w:rsidRDefault="0012541F">
      <w:pPr>
        <w:pStyle w:val="Textoindependiente"/>
        <w:rPr>
          <w:sz w:val="20"/>
        </w:rPr>
      </w:pPr>
    </w:p>
    <w:p w:rsidR="0012541F" w:rsidRDefault="0012541F">
      <w:pPr>
        <w:pStyle w:val="Textoindependiente"/>
        <w:rPr>
          <w:sz w:val="20"/>
        </w:rPr>
      </w:pPr>
    </w:p>
    <w:p w:rsidR="0012541F" w:rsidRDefault="0012541F">
      <w:pPr>
        <w:pStyle w:val="Textoindependiente"/>
        <w:rPr>
          <w:sz w:val="20"/>
        </w:rPr>
      </w:pPr>
    </w:p>
    <w:p w:rsidR="0012541F" w:rsidRDefault="00000000">
      <w:pPr>
        <w:pStyle w:val="Textoindependiente"/>
        <w:spacing w:before="58"/>
        <w:rPr>
          <w:sz w:val="20"/>
        </w:rPr>
      </w:pPr>
      <w:r>
        <w:rPr>
          <w:noProof/>
        </w:rPr>
        <mc:AlternateContent>
          <mc:Choice Requires="wps">
            <w:drawing>
              <wp:anchor distT="0" distB="0" distL="0" distR="0" simplePos="0" relativeHeight="487588352" behindDoc="1" locked="0" layoutInCell="1" allowOverlap="1">
                <wp:simplePos x="0" y="0"/>
                <wp:positionH relativeFrom="page">
                  <wp:posOffset>914704</wp:posOffset>
                </wp:positionH>
                <wp:positionV relativeFrom="paragraph">
                  <wp:posOffset>198216</wp:posOffset>
                </wp:positionV>
                <wp:extent cx="182943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0C707F" id="Graphic 3" o:spid="_x0000_s1026" style="position:absolute;margin-left:1in;margin-top:15.6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" path="m1829054,l,,,7619r1829054,l1829054,xe" fillcolor="black" stroked="f">
                <v:path arrowok="t"/>
                <w10:wrap type="topAndBottom" anchorx="page"/>
              </v:shape>
            </w:pict>
          </mc:Fallback>
        </mc:AlternateContent>
      </w:r>
    </w:p>
    <w:p w:rsidR="0012541F" w:rsidRDefault="00000000">
      <w:pPr>
        <w:spacing w:before="110" w:line="242" w:lineRule="auto"/>
        <w:ind w:left="100" w:right="820"/>
        <w:rPr>
          <w:rFonts w:ascii="Arial"/>
          <w:sz w:val="20"/>
        </w:rPr>
      </w:pPr>
      <w:bookmarkStart w:id="1" w:name="_bookmark1"/>
      <w:bookmarkEnd w:id="1"/>
      <w:r>
        <w:rPr>
          <w:rFonts w:ascii="Arial"/>
          <w:sz w:val="20"/>
          <w:vertAlign w:val="superscript"/>
        </w:rPr>
        <w:t>2</w:t>
      </w:r>
      <w:r>
        <w:rPr>
          <w:rFonts w:ascii="Arial"/>
          <w:spacing w:val="-14"/>
          <w:sz w:val="20"/>
        </w:rPr>
        <w:t xml:space="preserve"> </w:t>
      </w:r>
      <w:hyperlink r:id="rId8">
        <w:r>
          <w:rPr>
            <w:rFonts w:ascii="Arial"/>
            <w:color w:val="1154CC"/>
            <w:sz w:val="20"/>
            <w:u w:val="single" w:color="1154CC"/>
          </w:rPr>
          <w:t>https://www.senadis.gob.cl/sala_prensa/d/noticias/5967/chile-conmemora-los-10-anos-de-la-</w:t>
        </w:r>
      </w:hyperlink>
      <w:r>
        <w:rPr>
          <w:rFonts w:ascii="Arial"/>
          <w:color w:val="1154CC"/>
          <w:sz w:val="20"/>
        </w:rPr>
        <w:t xml:space="preserve"> </w:t>
      </w:r>
      <w:hyperlink r:id="rId9">
        <w:r>
          <w:rPr>
            <w:rFonts w:ascii="Arial"/>
            <w:color w:val="1154CC"/>
            <w:spacing w:val="-2"/>
            <w:sz w:val="20"/>
            <w:u w:val="single" w:color="1154CC"/>
          </w:rPr>
          <w:t>convencion-de-naciones-unidas-sobre-los-derechos-de-las-personas-con-discapacidad</w:t>
        </w:r>
      </w:hyperlink>
    </w:p>
    <w:p w:rsidR="0012541F" w:rsidRDefault="0012541F">
      <w:pPr>
        <w:spacing w:line="242" w:lineRule="auto"/>
        <w:rPr>
          <w:rFonts w:ascii="Arial"/>
          <w:sz w:val="20"/>
        </w:rPr>
        <w:sectPr w:rsidR="0012541F">
          <w:pgSz w:w="11910" w:h="16840"/>
          <w:pgMar w:top="2040" w:right="1320" w:bottom="280" w:left="1340" w:header="720" w:footer="0" w:gutter="0"/>
          <w:cols w:space="720"/>
        </w:sectPr>
      </w:pPr>
    </w:p>
    <w:p w:rsidR="0012541F" w:rsidRDefault="00000000">
      <w:pPr>
        <w:pStyle w:val="Ttulo1"/>
        <w:spacing w:before="241"/>
        <w:ind w:left="0" w:right="18"/>
        <w:jc w:val="center"/>
      </w:pPr>
      <w:r>
        <w:lastRenderedPageBreak/>
        <w:t>PROYECTO</w:t>
      </w:r>
      <w:r>
        <w:rPr>
          <w:spacing w:val="-1"/>
        </w:rPr>
        <w:t xml:space="preserve"> </w:t>
      </w:r>
      <w:r>
        <w:t xml:space="preserve">DE </w:t>
      </w:r>
      <w:r>
        <w:rPr>
          <w:spacing w:val="-4"/>
        </w:rPr>
        <w:t>LEY.</w:t>
      </w:r>
    </w:p>
    <w:p w:rsidR="0012541F" w:rsidRDefault="0012541F">
      <w:pPr>
        <w:pStyle w:val="Textoindependiente"/>
        <w:rPr>
          <w:b/>
        </w:rPr>
      </w:pPr>
    </w:p>
    <w:p w:rsidR="0012541F" w:rsidRDefault="0012541F">
      <w:pPr>
        <w:pStyle w:val="Textoindependiente"/>
        <w:spacing w:before="206"/>
        <w:rPr>
          <w:b/>
        </w:rPr>
      </w:pPr>
    </w:p>
    <w:p w:rsidR="0012541F" w:rsidRDefault="00000000">
      <w:pPr>
        <w:pStyle w:val="Textoindependiente"/>
        <w:spacing w:line="276" w:lineRule="auto"/>
        <w:ind w:left="100" w:right="123"/>
        <w:jc w:val="both"/>
      </w:pPr>
      <w:r>
        <w:rPr>
          <w:b/>
        </w:rPr>
        <w:t xml:space="preserve">ARTÍCULO ÚNICO.- </w:t>
      </w:r>
      <w:r>
        <w:t>Modifíquese la Ley N°20.422 incorporando un artículo 28 bis nuevo del siguiente tenor:</w:t>
      </w:r>
    </w:p>
    <w:p w:rsidR="0012541F" w:rsidRDefault="00000000">
      <w:pPr>
        <w:pStyle w:val="Textoindependiente"/>
        <w:spacing w:before="198" w:line="276" w:lineRule="auto"/>
        <w:ind w:left="100" w:right="121"/>
        <w:jc w:val="both"/>
      </w:pPr>
      <w:r>
        <w:t>“Artículo 28 bis.- Toda infraestructura de carácter privado que utilizare escaleras eléctricas o mecánicas con el objeto de facilitar el ascenso o descenso de las personas entre los diferentes pisos de dicha edificación, deberá incorporar en cada una de dichas escaleras mecánicas, un aviso sonoro que posibilite la identificación clara por parte de las personas con discapacidad visual de la dirección que posea dicha escalera.</w:t>
      </w:r>
    </w:p>
    <w:p w:rsidR="0012541F" w:rsidRDefault="00000000">
      <w:pPr>
        <w:pStyle w:val="Textoindependiente"/>
        <w:spacing w:before="202" w:line="276" w:lineRule="auto"/>
        <w:ind w:left="100" w:right="122"/>
        <w:jc w:val="both"/>
      </w:pPr>
      <w:r>
        <w:t>Las</w:t>
      </w:r>
      <w:r>
        <w:rPr>
          <w:spacing w:val="-14"/>
        </w:rPr>
        <w:t xml:space="preserve"> </w:t>
      </w:r>
      <w:r>
        <w:t>edificaciones</w:t>
      </w:r>
      <w:r>
        <w:rPr>
          <w:spacing w:val="-14"/>
        </w:rPr>
        <w:t xml:space="preserve"> </w:t>
      </w:r>
      <w:r>
        <w:t>que</w:t>
      </w:r>
      <w:r>
        <w:rPr>
          <w:spacing w:val="-14"/>
        </w:rPr>
        <w:t xml:space="preserve"> </w:t>
      </w:r>
      <w:r>
        <w:t>no</w:t>
      </w:r>
      <w:r>
        <w:rPr>
          <w:spacing w:val="-12"/>
        </w:rPr>
        <w:t xml:space="preserve"> </w:t>
      </w:r>
      <w:r>
        <w:t>cumplan</w:t>
      </w:r>
      <w:r>
        <w:rPr>
          <w:spacing w:val="-14"/>
        </w:rPr>
        <w:t xml:space="preserve"> </w:t>
      </w:r>
      <w:r>
        <w:t>con</w:t>
      </w:r>
      <w:r>
        <w:rPr>
          <w:spacing w:val="-14"/>
        </w:rPr>
        <w:t xml:space="preserve"> </w:t>
      </w:r>
      <w:r>
        <w:t>lo</w:t>
      </w:r>
      <w:r>
        <w:rPr>
          <w:spacing w:val="-14"/>
        </w:rPr>
        <w:t xml:space="preserve"> </w:t>
      </w:r>
      <w:r>
        <w:t>establecido</w:t>
      </w:r>
      <w:r>
        <w:rPr>
          <w:spacing w:val="-14"/>
        </w:rPr>
        <w:t xml:space="preserve"> </w:t>
      </w:r>
      <w:r>
        <w:t>en</w:t>
      </w:r>
      <w:r>
        <w:rPr>
          <w:spacing w:val="-14"/>
        </w:rPr>
        <w:t xml:space="preserve"> </w:t>
      </w:r>
      <w:r>
        <w:t>el</w:t>
      </w:r>
      <w:r>
        <w:rPr>
          <w:spacing w:val="-14"/>
        </w:rPr>
        <w:t xml:space="preserve"> </w:t>
      </w:r>
      <w:r>
        <w:t>inciso</w:t>
      </w:r>
      <w:r>
        <w:rPr>
          <w:spacing w:val="-14"/>
        </w:rPr>
        <w:t xml:space="preserve"> </w:t>
      </w:r>
      <w:r>
        <w:t>precedente,</w:t>
      </w:r>
      <w:r>
        <w:rPr>
          <w:spacing w:val="-14"/>
        </w:rPr>
        <w:t xml:space="preserve"> </w:t>
      </w:r>
      <w:r>
        <w:t>serán</w:t>
      </w:r>
      <w:r>
        <w:rPr>
          <w:spacing w:val="-14"/>
        </w:rPr>
        <w:t xml:space="preserve"> </w:t>
      </w:r>
      <w:r>
        <w:t>sancionadas de conformidad al procedimiento establecido en el Título VI de esta ley”.</w:t>
      </w:r>
    </w:p>
    <w:p w:rsidR="0012541F" w:rsidRDefault="0012541F">
      <w:pPr>
        <w:pStyle w:val="Textoindependiente"/>
      </w:pPr>
    </w:p>
    <w:p w:rsidR="0012541F" w:rsidRDefault="0012541F">
      <w:pPr>
        <w:pStyle w:val="Textoindependiente"/>
        <w:spacing w:before="164"/>
      </w:pPr>
    </w:p>
    <w:p w:rsidR="0012541F" w:rsidRDefault="00000000">
      <w:pPr>
        <w:pStyle w:val="Textoindependiente"/>
        <w:spacing w:before="1" w:line="276" w:lineRule="auto"/>
        <w:ind w:left="100" w:right="120"/>
        <w:jc w:val="both"/>
      </w:pPr>
      <w:r>
        <w:rPr>
          <w:b/>
        </w:rPr>
        <w:t>ARTÍCULO</w:t>
      </w:r>
      <w:r>
        <w:rPr>
          <w:b/>
          <w:spacing w:val="-1"/>
        </w:rPr>
        <w:t xml:space="preserve"> </w:t>
      </w:r>
      <w:r>
        <w:rPr>
          <w:b/>
        </w:rPr>
        <w:t>TRANSITORIO.-</w:t>
      </w:r>
      <w:r>
        <w:rPr>
          <w:b/>
          <w:spacing w:val="-2"/>
        </w:rPr>
        <w:t xml:space="preserve"> </w:t>
      </w:r>
      <w:r>
        <w:t>La</w:t>
      </w:r>
      <w:r>
        <w:rPr>
          <w:spacing w:val="-3"/>
        </w:rPr>
        <w:t xml:space="preserve"> </w:t>
      </w:r>
      <w:r>
        <w:t>autoridad competente,</w:t>
      </w:r>
      <w:r>
        <w:rPr>
          <w:spacing w:val="-2"/>
        </w:rPr>
        <w:t xml:space="preserve"> </w:t>
      </w:r>
      <w:r>
        <w:t>en</w:t>
      </w:r>
      <w:r>
        <w:rPr>
          <w:spacing w:val="-1"/>
        </w:rPr>
        <w:t xml:space="preserve"> </w:t>
      </w:r>
      <w:r>
        <w:t>el</w:t>
      </w:r>
      <w:r>
        <w:rPr>
          <w:spacing w:val="-1"/>
        </w:rPr>
        <w:t xml:space="preserve"> </w:t>
      </w:r>
      <w:r>
        <w:t>plazo</w:t>
      </w:r>
      <w:r>
        <w:rPr>
          <w:spacing w:val="-1"/>
        </w:rPr>
        <w:t xml:space="preserve"> </w:t>
      </w:r>
      <w:r>
        <w:t>de seis</w:t>
      </w:r>
      <w:r>
        <w:rPr>
          <w:spacing w:val="-1"/>
        </w:rPr>
        <w:t xml:space="preserve"> </w:t>
      </w:r>
      <w:r>
        <w:t>meses</w:t>
      </w:r>
      <w:r>
        <w:rPr>
          <w:spacing w:val="-1"/>
        </w:rPr>
        <w:t xml:space="preserve"> </w:t>
      </w:r>
      <w:r>
        <w:t>desde</w:t>
      </w:r>
      <w:r>
        <w:rPr>
          <w:spacing w:val="-2"/>
        </w:rPr>
        <w:t xml:space="preserve"> </w:t>
      </w:r>
      <w:r>
        <w:t>la publicación de esta ley en el Diario Oficial, deberá dictar un reglamento que establezca las normativa</w:t>
      </w:r>
      <w:r>
        <w:rPr>
          <w:spacing w:val="-9"/>
        </w:rPr>
        <w:t xml:space="preserve"> </w:t>
      </w:r>
      <w:r>
        <w:t>técnica</w:t>
      </w:r>
      <w:r>
        <w:rPr>
          <w:spacing w:val="-9"/>
        </w:rPr>
        <w:t xml:space="preserve"> </w:t>
      </w:r>
      <w:r>
        <w:t>y</w:t>
      </w:r>
      <w:r>
        <w:rPr>
          <w:spacing w:val="-6"/>
        </w:rPr>
        <w:t xml:space="preserve"> </w:t>
      </w:r>
      <w:r>
        <w:t>reglamentaria</w:t>
      </w:r>
      <w:r>
        <w:rPr>
          <w:spacing w:val="-9"/>
        </w:rPr>
        <w:t xml:space="preserve"> </w:t>
      </w:r>
      <w:r>
        <w:t>que</w:t>
      </w:r>
      <w:r>
        <w:rPr>
          <w:spacing w:val="-9"/>
        </w:rPr>
        <w:t xml:space="preserve"> </w:t>
      </w:r>
      <w:r>
        <w:t>deberán</w:t>
      </w:r>
      <w:r>
        <w:rPr>
          <w:spacing w:val="-6"/>
        </w:rPr>
        <w:t xml:space="preserve"> </w:t>
      </w:r>
      <w:r>
        <w:t>seguir</w:t>
      </w:r>
      <w:r>
        <w:rPr>
          <w:spacing w:val="-9"/>
        </w:rPr>
        <w:t xml:space="preserve"> </w:t>
      </w:r>
      <w:r>
        <w:t>las</w:t>
      </w:r>
      <w:r>
        <w:rPr>
          <w:spacing w:val="-9"/>
        </w:rPr>
        <w:t xml:space="preserve"> </w:t>
      </w:r>
      <w:r>
        <w:t>edificaciones</w:t>
      </w:r>
      <w:r>
        <w:rPr>
          <w:spacing w:val="-8"/>
        </w:rPr>
        <w:t xml:space="preserve"> </w:t>
      </w:r>
      <w:r>
        <w:t>indicadas</w:t>
      </w:r>
      <w:r>
        <w:rPr>
          <w:spacing w:val="-8"/>
        </w:rPr>
        <w:t xml:space="preserve"> </w:t>
      </w:r>
      <w:r>
        <w:t>en</w:t>
      </w:r>
      <w:r>
        <w:rPr>
          <w:spacing w:val="-6"/>
        </w:rPr>
        <w:t xml:space="preserve"> </w:t>
      </w:r>
      <w:r>
        <w:t>el</w:t>
      </w:r>
      <w:r>
        <w:rPr>
          <w:spacing w:val="-5"/>
        </w:rPr>
        <w:t xml:space="preserve"> </w:t>
      </w:r>
      <w:r>
        <w:t>artículo único de la presente ley para su correcta ejecución y habilitación.”.</w:t>
      </w:r>
    </w:p>
    <w:p w:rsidR="0012541F" w:rsidRDefault="0012541F">
      <w:pPr>
        <w:pStyle w:val="Textoindependiente"/>
        <w:rPr>
          <w:sz w:val="20"/>
        </w:rPr>
      </w:pPr>
    </w:p>
    <w:p w:rsidR="0012541F" w:rsidRDefault="0012541F">
      <w:pPr>
        <w:pStyle w:val="Textoindependiente"/>
        <w:rPr>
          <w:sz w:val="20"/>
        </w:rPr>
      </w:pPr>
    </w:p>
    <w:p w:rsidR="0012541F" w:rsidRDefault="0012541F">
      <w:pPr>
        <w:pStyle w:val="Textoindependiente"/>
        <w:rPr>
          <w:sz w:val="20"/>
        </w:rPr>
      </w:pPr>
    </w:p>
    <w:p w:rsidR="0012541F" w:rsidRDefault="0012541F">
      <w:pPr>
        <w:pStyle w:val="Textoindependiente"/>
        <w:rPr>
          <w:sz w:val="20"/>
        </w:rPr>
      </w:pPr>
    </w:p>
    <w:p w:rsidR="0012541F" w:rsidRDefault="0012541F">
      <w:pPr>
        <w:pStyle w:val="Textoindependiente"/>
        <w:rPr>
          <w:sz w:val="20"/>
        </w:rPr>
      </w:pPr>
    </w:p>
    <w:p w:rsidR="0012541F" w:rsidRDefault="0012541F">
      <w:pPr>
        <w:pStyle w:val="Textoindependiente"/>
        <w:rPr>
          <w:sz w:val="20"/>
        </w:rPr>
      </w:pPr>
    </w:p>
    <w:p w:rsidR="0012541F" w:rsidRDefault="0012541F">
      <w:pPr>
        <w:pStyle w:val="Textoindependiente"/>
        <w:rPr>
          <w:sz w:val="20"/>
        </w:rPr>
      </w:pPr>
    </w:p>
    <w:p w:rsidR="0012541F" w:rsidRDefault="0012541F">
      <w:pPr>
        <w:pStyle w:val="Textoindependiente"/>
        <w:rPr>
          <w:sz w:val="20"/>
        </w:rPr>
      </w:pPr>
    </w:p>
    <w:p w:rsidR="0012541F" w:rsidRDefault="0012541F">
      <w:pPr>
        <w:pStyle w:val="Textoindependiente"/>
        <w:rPr>
          <w:sz w:val="20"/>
        </w:rPr>
      </w:pPr>
    </w:p>
    <w:p w:rsidR="0012541F" w:rsidRDefault="0012541F">
      <w:pPr>
        <w:pStyle w:val="Textoindependiente"/>
        <w:spacing w:before="99"/>
        <w:rPr>
          <w:sz w:val="20"/>
        </w:rPr>
      </w:pPr>
    </w:p>
    <w:tbl>
      <w:tblPr>
        <w:tblStyle w:val="TableNormal"/>
        <w:tblW w:w="0" w:type="auto"/>
        <w:tblInd w:w="650" w:type="dxa"/>
        <w:tblLayout w:type="fixed"/>
        <w:tblLook w:val="01E0" w:firstRow="1" w:lastRow="1" w:firstColumn="1" w:lastColumn="1" w:noHBand="0" w:noVBand="0"/>
      </w:tblPr>
      <w:tblGrid>
        <w:gridCol w:w="4147"/>
        <w:gridCol w:w="3425"/>
      </w:tblGrid>
      <w:tr w:rsidR="0012541F">
        <w:trPr>
          <w:trHeight w:val="541"/>
        </w:trPr>
        <w:tc>
          <w:tcPr>
            <w:tcW w:w="4147" w:type="dxa"/>
          </w:tcPr>
          <w:p w:rsidR="0012541F" w:rsidRDefault="00000000">
            <w:pPr>
              <w:pStyle w:val="TableParagraph"/>
              <w:spacing w:line="266" w:lineRule="exact"/>
              <w:ind w:right="723"/>
              <w:jc w:val="center"/>
              <w:rPr>
                <w:b/>
                <w:sz w:val="24"/>
              </w:rPr>
            </w:pPr>
            <w:r>
              <w:rPr>
                <w:b/>
                <w:sz w:val="24"/>
              </w:rPr>
              <w:t>JORGE</w:t>
            </w:r>
            <w:r>
              <w:rPr>
                <w:b/>
                <w:spacing w:val="-1"/>
                <w:sz w:val="24"/>
              </w:rPr>
              <w:t xml:space="preserve"> </w:t>
            </w:r>
            <w:r>
              <w:rPr>
                <w:b/>
                <w:sz w:val="24"/>
              </w:rPr>
              <w:t xml:space="preserve">SAFFIRIO </w:t>
            </w:r>
            <w:r>
              <w:rPr>
                <w:b/>
                <w:spacing w:val="-2"/>
                <w:sz w:val="24"/>
              </w:rPr>
              <w:t>ESPINOZA</w:t>
            </w:r>
          </w:p>
          <w:p w:rsidR="0012541F" w:rsidRDefault="00000000">
            <w:pPr>
              <w:pStyle w:val="TableParagraph"/>
              <w:ind w:right="723"/>
              <w:jc w:val="center"/>
              <w:rPr>
                <w:sz w:val="24"/>
              </w:rPr>
            </w:pPr>
            <w:r>
              <w:rPr>
                <w:sz w:val="24"/>
              </w:rPr>
              <w:t>Diputado de</w:t>
            </w:r>
            <w:r>
              <w:rPr>
                <w:spacing w:val="-2"/>
                <w:sz w:val="24"/>
              </w:rPr>
              <w:t xml:space="preserve"> </w:t>
            </w:r>
            <w:r>
              <w:rPr>
                <w:sz w:val="24"/>
              </w:rPr>
              <w:t xml:space="preserve">la </w:t>
            </w:r>
            <w:r>
              <w:rPr>
                <w:spacing w:val="-2"/>
                <w:sz w:val="24"/>
              </w:rPr>
              <w:t>República</w:t>
            </w:r>
          </w:p>
        </w:tc>
        <w:tc>
          <w:tcPr>
            <w:tcW w:w="3425" w:type="dxa"/>
          </w:tcPr>
          <w:p w:rsidR="0012541F" w:rsidRDefault="00000000">
            <w:pPr>
              <w:pStyle w:val="TableParagraph"/>
              <w:spacing w:line="266" w:lineRule="exact"/>
              <w:ind w:left="776"/>
              <w:rPr>
                <w:b/>
                <w:sz w:val="24"/>
              </w:rPr>
            </w:pPr>
            <w:r>
              <w:rPr>
                <w:b/>
                <w:sz w:val="24"/>
              </w:rPr>
              <w:t>JOANNA</w:t>
            </w:r>
            <w:r>
              <w:rPr>
                <w:b/>
                <w:spacing w:val="-3"/>
                <w:sz w:val="24"/>
              </w:rPr>
              <w:t xml:space="preserve"> </w:t>
            </w:r>
            <w:r>
              <w:rPr>
                <w:b/>
                <w:sz w:val="24"/>
              </w:rPr>
              <w:t>PÉREZ</w:t>
            </w:r>
            <w:r>
              <w:rPr>
                <w:b/>
                <w:spacing w:val="-1"/>
                <w:sz w:val="24"/>
              </w:rPr>
              <w:t xml:space="preserve"> </w:t>
            </w:r>
            <w:r>
              <w:rPr>
                <w:b/>
                <w:spacing w:val="-4"/>
                <w:sz w:val="24"/>
              </w:rPr>
              <w:t>OLEA</w:t>
            </w:r>
          </w:p>
          <w:p w:rsidR="0012541F" w:rsidRDefault="00000000">
            <w:pPr>
              <w:pStyle w:val="TableParagraph"/>
              <w:ind w:left="857"/>
              <w:rPr>
                <w:sz w:val="24"/>
              </w:rPr>
            </w:pPr>
            <w:r>
              <w:rPr>
                <w:sz w:val="24"/>
              </w:rPr>
              <w:t>Diputada</w:t>
            </w:r>
            <w:r>
              <w:rPr>
                <w:spacing w:val="-2"/>
                <w:sz w:val="24"/>
              </w:rPr>
              <w:t xml:space="preserve"> </w:t>
            </w:r>
            <w:r>
              <w:rPr>
                <w:sz w:val="24"/>
              </w:rPr>
              <w:t>de</w:t>
            </w:r>
            <w:r>
              <w:rPr>
                <w:spacing w:val="-1"/>
                <w:sz w:val="24"/>
              </w:rPr>
              <w:t xml:space="preserve"> </w:t>
            </w:r>
            <w:r>
              <w:rPr>
                <w:sz w:val="24"/>
              </w:rPr>
              <w:t xml:space="preserve">la </w:t>
            </w:r>
            <w:r>
              <w:rPr>
                <w:spacing w:val="-2"/>
                <w:sz w:val="24"/>
              </w:rPr>
              <w:t>República</w:t>
            </w:r>
          </w:p>
        </w:tc>
      </w:tr>
    </w:tbl>
    <w:p w:rsidR="009A5BCD" w:rsidRDefault="009A5BCD"/>
    <w:sectPr w:rsidR="009A5BCD">
      <w:pgSz w:w="11910" w:h="16840"/>
      <w:pgMar w:top="2040" w:right="1320" w:bottom="280" w:left="134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A5BCD" w:rsidRDefault="009A5BCD">
      <w:r>
        <w:separator/>
      </w:r>
    </w:p>
  </w:endnote>
  <w:endnote w:type="continuationSeparator" w:id="0">
    <w:p w:rsidR="009A5BCD" w:rsidRDefault="009A5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A5BCD" w:rsidRDefault="009A5BCD">
      <w:r>
        <w:separator/>
      </w:r>
    </w:p>
  </w:footnote>
  <w:footnote w:type="continuationSeparator" w:id="0">
    <w:p w:rsidR="009A5BCD" w:rsidRDefault="009A5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541F" w:rsidRDefault="00000000">
    <w:pPr>
      <w:pStyle w:val="Textoindependiente"/>
      <w:spacing w:line="14" w:lineRule="auto"/>
      <w:rPr>
        <w:sz w:val="20"/>
      </w:rPr>
    </w:pPr>
    <w:r>
      <w:rPr>
        <w:noProof/>
      </w:rPr>
      <w:drawing>
        <wp:anchor distT="0" distB="0" distL="0" distR="0" simplePos="0" relativeHeight="487532032" behindDoc="1" locked="0" layoutInCell="1" allowOverlap="1">
          <wp:simplePos x="0" y="0"/>
          <wp:positionH relativeFrom="page">
            <wp:posOffset>3332226</wp:posOffset>
          </wp:positionH>
          <wp:positionV relativeFrom="page">
            <wp:posOffset>457187</wp:posOffset>
          </wp:positionV>
          <wp:extent cx="897889" cy="84176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97889" cy="84176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D241B2"/>
    <w:multiLevelType w:val="hybridMultilevel"/>
    <w:tmpl w:val="37B2F5F2"/>
    <w:lvl w:ilvl="0" w:tplc="0A8CFD6A">
      <w:start w:val="1"/>
      <w:numFmt w:val="upperRoman"/>
      <w:lvlText w:val="%1."/>
      <w:lvlJc w:val="left"/>
      <w:pPr>
        <w:ind w:left="820" w:hanging="514"/>
        <w:jc w:val="right"/>
      </w:pPr>
      <w:rPr>
        <w:rFonts w:ascii="Times New Roman" w:eastAsia="Times New Roman" w:hAnsi="Times New Roman" w:cs="Times New Roman" w:hint="default"/>
        <w:b/>
        <w:bCs/>
        <w:i w:val="0"/>
        <w:iCs w:val="0"/>
        <w:spacing w:val="0"/>
        <w:w w:val="100"/>
        <w:sz w:val="24"/>
        <w:szCs w:val="24"/>
        <w:lang w:val="es-ES" w:eastAsia="en-US" w:bidi="ar-SA"/>
      </w:rPr>
    </w:lvl>
    <w:lvl w:ilvl="1" w:tplc="951008A6">
      <w:numFmt w:val="bullet"/>
      <w:lvlText w:val="•"/>
      <w:lvlJc w:val="left"/>
      <w:pPr>
        <w:ind w:left="1662" w:hanging="514"/>
      </w:pPr>
      <w:rPr>
        <w:rFonts w:hint="default"/>
        <w:lang w:val="es-ES" w:eastAsia="en-US" w:bidi="ar-SA"/>
      </w:rPr>
    </w:lvl>
    <w:lvl w:ilvl="2" w:tplc="3F8088CC">
      <w:numFmt w:val="bullet"/>
      <w:lvlText w:val="•"/>
      <w:lvlJc w:val="left"/>
      <w:pPr>
        <w:ind w:left="2505" w:hanging="514"/>
      </w:pPr>
      <w:rPr>
        <w:rFonts w:hint="default"/>
        <w:lang w:val="es-ES" w:eastAsia="en-US" w:bidi="ar-SA"/>
      </w:rPr>
    </w:lvl>
    <w:lvl w:ilvl="3" w:tplc="9244CEDC">
      <w:numFmt w:val="bullet"/>
      <w:lvlText w:val="•"/>
      <w:lvlJc w:val="left"/>
      <w:pPr>
        <w:ind w:left="3348" w:hanging="514"/>
      </w:pPr>
      <w:rPr>
        <w:rFonts w:hint="default"/>
        <w:lang w:val="es-ES" w:eastAsia="en-US" w:bidi="ar-SA"/>
      </w:rPr>
    </w:lvl>
    <w:lvl w:ilvl="4" w:tplc="6FCA15E8">
      <w:numFmt w:val="bullet"/>
      <w:lvlText w:val="•"/>
      <w:lvlJc w:val="left"/>
      <w:pPr>
        <w:ind w:left="4191" w:hanging="514"/>
      </w:pPr>
      <w:rPr>
        <w:rFonts w:hint="default"/>
        <w:lang w:val="es-ES" w:eastAsia="en-US" w:bidi="ar-SA"/>
      </w:rPr>
    </w:lvl>
    <w:lvl w:ilvl="5" w:tplc="AEB25C36">
      <w:numFmt w:val="bullet"/>
      <w:lvlText w:val="•"/>
      <w:lvlJc w:val="left"/>
      <w:pPr>
        <w:ind w:left="5034" w:hanging="514"/>
      </w:pPr>
      <w:rPr>
        <w:rFonts w:hint="default"/>
        <w:lang w:val="es-ES" w:eastAsia="en-US" w:bidi="ar-SA"/>
      </w:rPr>
    </w:lvl>
    <w:lvl w:ilvl="6" w:tplc="F7DE9196">
      <w:numFmt w:val="bullet"/>
      <w:lvlText w:val="•"/>
      <w:lvlJc w:val="left"/>
      <w:pPr>
        <w:ind w:left="5877" w:hanging="514"/>
      </w:pPr>
      <w:rPr>
        <w:rFonts w:hint="default"/>
        <w:lang w:val="es-ES" w:eastAsia="en-US" w:bidi="ar-SA"/>
      </w:rPr>
    </w:lvl>
    <w:lvl w:ilvl="7" w:tplc="C764E974">
      <w:numFmt w:val="bullet"/>
      <w:lvlText w:val="•"/>
      <w:lvlJc w:val="left"/>
      <w:pPr>
        <w:ind w:left="6720" w:hanging="514"/>
      </w:pPr>
      <w:rPr>
        <w:rFonts w:hint="default"/>
        <w:lang w:val="es-ES" w:eastAsia="en-US" w:bidi="ar-SA"/>
      </w:rPr>
    </w:lvl>
    <w:lvl w:ilvl="8" w:tplc="B0A2BDDE">
      <w:numFmt w:val="bullet"/>
      <w:lvlText w:val="•"/>
      <w:lvlJc w:val="left"/>
      <w:pPr>
        <w:ind w:left="7563" w:hanging="514"/>
      </w:pPr>
      <w:rPr>
        <w:rFonts w:hint="default"/>
        <w:lang w:val="es-ES" w:eastAsia="en-US" w:bidi="ar-SA"/>
      </w:rPr>
    </w:lvl>
  </w:abstractNum>
  <w:num w:numId="1" w16cid:durableId="990056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41F"/>
    <w:rsid w:val="0012541F"/>
    <w:rsid w:val="007E7FD1"/>
    <w:rsid w:val="009A5BCD"/>
    <w:rsid w:val="00B80C5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81290E-4786-4527-8AEB-6E3F6929D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82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0" w:hanging="607"/>
    </w:pPr>
  </w:style>
  <w:style w:type="paragraph" w:customStyle="1" w:styleId="TableParagraph">
    <w:name w:val="Table Paragraph"/>
    <w:basedOn w:val="Normal"/>
    <w:uiPriority w:val="1"/>
    <w:qFormat/>
    <w:pPr>
      <w:spacing w:line="256"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senadis.gob.cl/sala_prensa/d/noticias/5967/chile-conmemora-los-10-anos-de-la-convencion-de-naciones-unidas-sobre-los-derechos-de-las-personas-con-discapacidad"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enadis.gob.cl/sala_prensa/d/noticias/5967/chile-conmemora-los-10-anos-de-la-convencion-de-naciones-unidas-sobre-los-derechos-de-las-personas-con-discapacid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5476</Characters>
  <Application>Microsoft Office Word</Application>
  <DocSecurity>0</DocSecurity>
  <Lines>45</Lines>
  <Paragraphs>12</Paragraphs>
  <ScaleCrop>false</ScaleCrop>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Aguilera</dc:creator>
  <cp:lastModifiedBy>Guillermo Diaz Vallejos</cp:lastModifiedBy>
  <cp:revision>1</cp:revision>
  <dcterms:created xsi:type="dcterms:W3CDTF">2024-09-02T14:15:00Z</dcterms:created>
  <dcterms:modified xsi:type="dcterms:W3CDTF">2024-09-25T16:29:00Z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2024-08-30T00:00:00Z</vt:filetime>
  </property>
  <property fmtid="{D5CDD505-2E9C-101B-9397-08002B2CF9AE}" pid="3" name="Creator">
    <vt:lpwstr>Microsoft® Word 2021</vt:lpwstr>
  </property>
  <property fmtid="{D5CDD505-2E9C-101B-9397-08002B2CF9AE}" pid="4" name="LastSaved">
    <vt:filetime>2024-09-02T00:00:00Z</vt:filetime>
  </property>
  <property fmtid="{D5CDD505-2E9C-101B-9397-08002B2CF9AE}" pid="5" name="Producer">
    <vt:lpwstr>Microsoft® Word 2021</vt:lpwstr>
  </property>
</Properties>
</file>