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35A0" w:rsidRDefault="00A535A0">
      <w:pPr>
        <w:pStyle w:val="Textoindependiente"/>
        <w:spacing w:before="195"/>
      </w:pPr>
    </w:p>
    <w:p w:rsidR="00A535A0" w:rsidRDefault="00000000">
      <w:pPr>
        <w:pStyle w:val="Ttulo1"/>
        <w:spacing w:before="1" w:line="276" w:lineRule="auto"/>
        <w:ind w:right="117"/>
      </w:pPr>
      <w:r>
        <w:t>PROYECTO DE LEY QUE ESTABLECE LA NULIDAD DE DERECHO DE LOS CONTRATOS DE TRABAJO QUE INCUMPLAN LAS PROHIBICIONES E INHABILIDADES PARA EL TRABAJO CON MENORES DE EDAD, ESTABLECIENDO LAS SANCIONES QUE SE INDICAN</w:t>
      </w:r>
    </w:p>
    <w:p w:rsidR="00A535A0" w:rsidRDefault="00A535A0">
      <w:pPr>
        <w:pStyle w:val="Textoindependiente"/>
        <w:rPr>
          <w:b/>
        </w:rPr>
      </w:pPr>
    </w:p>
    <w:p w:rsidR="00A535A0" w:rsidRDefault="00A535A0">
      <w:pPr>
        <w:pStyle w:val="Textoindependiente"/>
        <w:rPr>
          <w:b/>
        </w:rPr>
      </w:pPr>
    </w:p>
    <w:p w:rsidR="00A535A0" w:rsidRDefault="00A535A0">
      <w:pPr>
        <w:pStyle w:val="Textoindependiente"/>
        <w:rPr>
          <w:b/>
        </w:rPr>
      </w:pPr>
    </w:p>
    <w:p w:rsidR="00A535A0" w:rsidRDefault="00A535A0">
      <w:pPr>
        <w:pStyle w:val="Textoindependiente"/>
        <w:spacing w:before="132"/>
        <w:rPr>
          <w:b/>
        </w:rPr>
      </w:pPr>
    </w:p>
    <w:p w:rsidR="00A535A0" w:rsidRDefault="00000000">
      <w:pPr>
        <w:ind w:left="100"/>
        <w:rPr>
          <w:b/>
          <w:sz w:val="24"/>
        </w:rPr>
      </w:pPr>
      <w:r>
        <w:rPr>
          <w:b/>
          <w:spacing w:val="-2"/>
          <w:sz w:val="24"/>
        </w:rPr>
        <w:t>FUNDAMENTOS.</w:t>
      </w:r>
    </w:p>
    <w:p w:rsidR="00A535A0" w:rsidRDefault="00000000">
      <w:pPr>
        <w:pStyle w:val="Textoindependiente"/>
        <w:spacing w:before="237" w:line="276" w:lineRule="auto"/>
        <w:ind w:left="100" w:right="117"/>
        <w:jc w:val="both"/>
      </w:pPr>
      <w:r>
        <w:t>La ley N°20.594 que crea inhabilidades para condenados por delitos sexuales contra menores y establece registro de dichas inhabilidades, publicada el 19 de junio de 2012, modificó el Código</w:t>
      </w:r>
      <w:r>
        <w:rPr>
          <w:spacing w:val="-1"/>
        </w:rPr>
        <w:t xml:space="preserve"> </w:t>
      </w:r>
      <w:r>
        <w:t>Penal</w:t>
      </w:r>
      <w:r>
        <w:rPr>
          <w:spacing w:val="-1"/>
        </w:rPr>
        <w:t xml:space="preserve"> </w:t>
      </w:r>
      <w:r>
        <w:t>incorporando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nueva</w:t>
      </w:r>
      <w:r>
        <w:rPr>
          <w:spacing w:val="-1"/>
        </w:rPr>
        <w:t xml:space="preserve"> </w:t>
      </w:r>
      <w:r>
        <w:t>sanción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inhabilidad</w:t>
      </w:r>
      <w:r>
        <w:rPr>
          <w:spacing w:val="-1"/>
        </w:rPr>
        <w:t xml:space="preserve"> </w:t>
      </w:r>
      <w:r>
        <w:t>absoluta</w:t>
      </w:r>
      <w:r>
        <w:rPr>
          <w:spacing w:val="-1"/>
        </w:rPr>
        <w:t xml:space="preserve"> </w:t>
      </w:r>
      <w:r>
        <w:t>perpetua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cargos, empleos,</w:t>
      </w:r>
      <w:r>
        <w:rPr>
          <w:spacing w:val="-15"/>
        </w:rPr>
        <w:t xml:space="preserve"> </w:t>
      </w:r>
      <w:r>
        <w:t>oficios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profesiones</w:t>
      </w:r>
      <w:r>
        <w:rPr>
          <w:spacing w:val="-15"/>
        </w:rPr>
        <w:t xml:space="preserve"> </w:t>
      </w:r>
      <w:r>
        <w:t>ejercido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ámbitos</w:t>
      </w:r>
      <w:r>
        <w:rPr>
          <w:spacing w:val="-15"/>
        </w:rPr>
        <w:t xml:space="preserve"> </w:t>
      </w:r>
      <w:r>
        <w:t>educacionales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involucren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relación directa y habitual con menores de edad. Así, es aplicable dicha sanción a todos aquellos que cometieren alguno de delitos contemplados en el artículo 372 del Código Penal, entre ellos, abuso sexual, violación, distribución de material pornográfico, etc.</w:t>
      </w:r>
    </w:p>
    <w:p w:rsidR="00A535A0" w:rsidRDefault="00000000">
      <w:pPr>
        <w:pStyle w:val="Textoindependiente"/>
        <w:spacing w:before="203" w:line="276" w:lineRule="auto"/>
        <w:ind w:left="100" w:right="117"/>
        <w:jc w:val="both"/>
      </w:pPr>
      <w:r>
        <w:t>Junto con la creación de la mencionada ley, se modificó el Decreto Ley N°645 de 1925 del Ministerio de Justicia, sobre el Registro General de Condenas, incorporándose una sección especial denominada “Inhabilidades para ejercer funciones en ámbitos educacionales o con menores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edad”,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registran</w:t>
      </w:r>
      <w:r>
        <w:rPr>
          <w:spacing w:val="-2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inhabilidades</w:t>
      </w:r>
      <w:r>
        <w:rPr>
          <w:spacing w:val="-2"/>
        </w:rPr>
        <w:t xml:space="preserve"> </w:t>
      </w:r>
      <w:r>
        <w:t>señaladas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Penal y siempre que cuya sanción se establezca por sentencia ejecutoriada.</w:t>
      </w:r>
    </w:p>
    <w:p w:rsidR="00A535A0" w:rsidRDefault="00000000">
      <w:pPr>
        <w:pStyle w:val="Textoindependiente"/>
        <w:spacing w:before="199" w:line="276" w:lineRule="auto"/>
        <w:ind w:left="100" w:right="117"/>
        <w:jc w:val="both"/>
      </w:pPr>
      <w:r>
        <w:t>Ambas disposiciones se complementan con el mismo objetivo: prohibir explícitamente que personas condenadas por ciertos delitos desempeñen cargos o labores relacionadas con menores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edad.</w:t>
      </w:r>
      <w:r>
        <w:rPr>
          <w:spacing w:val="-13"/>
        </w:rPr>
        <w:t xml:space="preserve"> </w:t>
      </w:r>
      <w:r>
        <w:t>Sin</w:t>
      </w:r>
      <w:r>
        <w:rPr>
          <w:spacing w:val="-13"/>
        </w:rPr>
        <w:t xml:space="preserve"> </w:t>
      </w:r>
      <w:r>
        <w:t>embargo,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vacío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mantiene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normativa</w:t>
      </w:r>
      <w:r>
        <w:rPr>
          <w:spacing w:val="-13"/>
        </w:rPr>
        <w:t xml:space="preserve"> </w:t>
      </w:r>
      <w:r>
        <w:t>actual</w:t>
      </w:r>
      <w:r>
        <w:rPr>
          <w:spacing w:val="-13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falta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sanción ante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incumplimiento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medida,</w:t>
      </w:r>
      <w:r>
        <w:rPr>
          <w:spacing w:val="-15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dificulta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fiscalización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negar</w:t>
      </w:r>
      <w:r>
        <w:rPr>
          <w:spacing w:val="-15"/>
        </w:rPr>
        <w:t xml:space="preserve"> </w:t>
      </w:r>
      <w:r>
        <w:t>dichos</w:t>
      </w:r>
      <w:r>
        <w:rPr>
          <w:spacing w:val="-15"/>
        </w:rPr>
        <w:t xml:space="preserve"> </w:t>
      </w:r>
      <w:r>
        <w:t>espacios a los individuos mencionados, debilitando el sentido y propósito de la ley dictadas para la protección de niños, niñas y adolescentes en el país.</w:t>
      </w:r>
    </w:p>
    <w:p w:rsidR="00A535A0" w:rsidRDefault="00000000">
      <w:pPr>
        <w:pStyle w:val="Textoindependiente"/>
        <w:spacing w:before="203" w:line="276" w:lineRule="auto"/>
        <w:ind w:left="100" w:right="117"/>
        <w:jc w:val="both"/>
      </w:pPr>
      <w:r>
        <w:t>Lo anterior, entendiendo que corresponde al Estado la protección a los niños, niñas y adolescentes es fundamental tanto a nivel nacional como internacional. El interés superior del niño es un principio rector de nuestra legislación actual y la ratificación de diversos tratados internacionales conllevan a una promoción y protección irrestricta por parte del Estado.</w:t>
      </w:r>
    </w:p>
    <w:p w:rsidR="00A535A0" w:rsidRDefault="00000000">
      <w:pPr>
        <w:pStyle w:val="Textoindependiente"/>
        <w:spacing w:before="199" w:line="276" w:lineRule="auto"/>
        <w:ind w:left="100" w:right="117"/>
        <w:jc w:val="both"/>
      </w:pPr>
      <w:r>
        <w:t>Sin</w:t>
      </w:r>
      <w:r>
        <w:rPr>
          <w:spacing w:val="-13"/>
        </w:rPr>
        <w:t xml:space="preserve"> </w:t>
      </w:r>
      <w:r>
        <w:t>embargo,</w:t>
      </w:r>
      <w:r>
        <w:rPr>
          <w:spacing w:val="-13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modificaciones</w:t>
      </w:r>
      <w:r>
        <w:rPr>
          <w:spacing w:val="-13"/>
        </w:rPr>
        <w:t xml:space="preserve"> </w:t>
      </w:r>
      <w:r>
        <w:t>legales</w:t>
      </w:r>
      <w:r>
        <w:rPr>
          <w:spacing w:val="-13"/>
        </w:rPr>
        <w:t xml:space="preserve"> </w:t>
      </w:r>
      <w:r>
        <w:t>impulsadas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mencionada</w:t>
      </w:r>
      <w:r>
        <w:rPr>
          <w:spacing w:val="-13"/>
        </w:rPr>
        <w:t xml:space="preserve"> </w:t>
      </w:r>
      <w:r>
        <w:t>reforma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normativa, no estableció en ningún momento sanciones a los empleadores que no observaren las inhabilidades</w:t>
      </w:r>
      <w:r>
        <w:rPr>
          <w:spacing w:val="-11"/>
        </w:rPr>
        <w:t xml:space="preserve"> </w:t>
      </w:r>
      <w:r>
        <w:t>planteadas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ley,</w:t>
      </w:r>
      <w:r>
        <w:rPr>
          <w:spacing w:val="-8"/>
        </w:rPr>
        <w:t xml:space="preserve"> </w:t>
      </w:r>
      <w:r>
        <w:t>dejando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puerta</w:t>
      </w:r>
      <w:r>
        <w:rPr>
          <w:spacing w:val="-9"/>
        </w:rPr>
        <w:t xml:space="preserve"> </w:t>
      </w:r>
      <w:r>
        <w:t>abierta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vulneración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rPr>
          <w:spacing w:val="-2"/>
        </w:rPr>
        <w:t>normativa.</w:t>
      </w:r>
    </w:p>
    <w:p w:rsidR="00A535A0" w:rsidRDefault="00000000">
      <w:pPr>
        <w:pStyle w:val="Textoindependiente"/>
        <w:spacing w:before="200" w:line="276" w:lineRule="auto"/>
        <w:ind w:left="100" w:right="117"/>
        <w:jc w:val="both"/>
      </w:pPr>
      <w:r>
        <w:t>Es necesario, entonces, que la presente iniciativa propone que aquellos empleadores que no den cumplimiento a la prohibición de contratar estipulada expresamente en el artículo 6 del Decreto</w:t>
      </w:r>
      <w:r>
        <w:rPr>
          <w:spacing w:val="3"/>
        </w:rPr>
        <w:t xml:space="preserve"> </w:t>
      </w:r>
      <w:r>
        <w:t>Ley</w:t>
      </w:r>
      <w:r>
        <w:rPr>
          <w:spacing w:val="6"/>
        </w:rPr>
        <w:t xml:space="preserve"> </w:t>
      </w:r>
      <w:r>
        <w:t>N°645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contrataré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quien</w:t>
      </w:r>
      <w:r>
        <w:rPr>
          <w:spacing w:val="5"/>
        </w:rPr>
        <w:t xml:space="preserve"> </w:t>
      </w:r>
      <w:r>
        <w:t>mantenga</w:t>
      </w:r>
      <w:r>
        <w:rPr>
          <w:spacing w:val="6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inhabilidad</w:t>
      </w:r>
      <w:r>
        <w:rPr>
          <w:spacing w:val="5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trabajar</w:t>
      </w:r>
      <w:r>
        <w:rPr>
          <w:spacing w:val="6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rPr>
          <w:spacing w:val="-2"/>
        </w:rPr>
        <w:t>menores</w:t>
      </w:r>
    </w:p>
    <w:p w:rsidR="00A535A0" w:rsidRDefault="00A535A0">
      <w:pPr>
        <w:spacing w:line="276" w:lineRule="auto"/>
        <w:jc w:val="both"/>
        <w:sectPr w:rsidR="00A535A0">
          <w:headerReference w:type="default" r:id="rId7"/>
          <w:type w:val="continuous"/>
          <w:pgSz w:w="11910" w:h="16840"/>
          <w:pgMar w:top="2040" w:right="1320" w:bottom="280" w:left="1340" w:header="720" w:footer="0" w:gutter="0"/>
          <w:pgNumType w:start="1"/>
          <w:cols w:space="720"/>
        </w:sectPr>
      </w:pPr>
    </w:p>
    <w:p w:rsidR="00A535A0" w:rsidRDefault="00000000">
      <w:pPr>
        <w:pStyle w:val="Textoindependiente"/>
        <w:spacing w:before="270" w:line="276" w:lineRule="auto"/>
        <w:ind w:left="100" w:right="117"/>
        <w:jc w:val="both"/>
      </w:pPr>
      <w:r>
        <w:lastRenderedPageBreak/>
        <w:t>de</w:t>
      </w:r>
      <w:r>
        <w:rPr>
          <w:spacing w:val="-1"/>
        </w:rPr>
        <w:t xml:space="preserve"> </w:t>
      </w:r>
      <w:r>
        <w:t>edad sea</w:t>
      </w:r>
      <w:r>
        <w:rPr>
          <w:spacing w:val="-1"/>
        </w:rPr>
        <w:t xml:space="preserve"> </w:t>
      </w:r>
      <w:r>
        <w:t>sancionado con multas y con la</w:t>
      </w:r>
      <w:r>
        <w:rPr>
          <w:spacing w:val="-1"/>
        </w:rPr>
        <w:t xml:space="preserve"> </w:t>
      </w:r>
      <w:r>
        <w:t>nulidad de</w:t>
      </w:r>
      <w:r>
        <w:rPr>
          <w:spacing w:val="-1"/>
        </w:rPr>
        <w:t xml:space="preserve"> </w:t>
      </w:r>
      <w:r>
        <w:t>los contratos laborales, culminando de pleno derecho la relación laboral o la prestación de servicio que se hubiere pactado. Ello, con el</w:t>
      </w:r>
      <w:r>
        <w:rPr>
          <w:spacing w:val="-6"/>
        </w:rPr>
        <w:t xml:space="preserve"> </w:t>
      </w:r>
      <w:r>
        <w:t>propósito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garantizar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marco</w:t>
      </w:r>
      <w:r>
        <w:rPr>
          <w:spacing w:val="-6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sólido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disuasivo,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impida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vulneración</w:t>
      </w:r>
      <w:r>
        <w:rPr>
          <w:spacing w:val="-6"/>
        </w:rPr>
        <w:t xml:space="preserve"> </w:t>
      </w:r>
      <w:r>
        <w:t>de los derechos de niños, niñas y adolescentes, puesto que al operar de manera automática la nulidad del contrato, los empleadores tendrán la obligación de verificar de manera exhaustiva y responsable lo antecedentes de las personas que deseen contratar, especialmente, si dichas funciones significan relacionarse con menores de edad.</w:t>
      </w:r>
    </w:p>
    <w:p w:rsidR="00A535A0" w:rsidRDefault="00000000">
      <w:pPr>
        <w:pStyle w:val="Textoindependiente"/>
        <w:spacing w:before="241" w:line="276" w:lineRule="auto"/>
        <w:ind w:left="100" w:right="117"/>
        <w:jc w:val="both"/>
      </w:pPr>
      <w:r>
        <w:t>Finalmente, un proyecto en esta línea también fortalecería la responsabilidad de las instituciones para cumplir con la normativa vigente, aplicar controles de verificación más rigurosos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prevenir</w:t>
      </w:r>
      <w:r>
        <w:rPr>
          <w:spacing w:val="-8"/>
        </w:rPr>
        <w:t xml:space="preserve"> </w:t>
      </w:r>
      <w:r>
        <w:t>cualquier</w:t>
      </w:r>
      <w:r>
        <w:rPr>
          <w:spacing w:val="-8"/>
        </w:rPr>
        <w:t xml:space="preserve"> </w:t>
      </w:r>
      <w:r>
        <w:t>conflicto</w:t>
      </w:r>
      <w:r>
        <w:rPr>
          <w:spacing w:val="-8"/>
        </w:rPr>
        <w:t xml:space="preserve"> </w:t>
      </w:r>
      <w:r>
        <w:t>derivado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contratación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personas</w:t>
      </w:r>
      <w:r>
        <w:rPr>
          <w:spacing w:val="-8"/>
        </w:rPr>
        <w:t xml:space="preserve"> </w:t>
      </w:r>
      <w:r>
        <w:t>incluidas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 registro de inhabilidades.</w:t>
      </w:r>
    </w:p>
    <w:p w:rsidR="00A535A0" w:rsidRDefault="00000000">
      <w:pPr>
        <w:pStyle w:val="Ttulo1"/>
        <w:spacing w:before="242"/>
      </w:pPr>
      <w:r>
        <w:t>IDEA</w:t>
      </w:r>
      <w:r>
        <w:rPr>
          <w:spacing w:val="-1"/>
        </w:rPr>
        <w:t xml:space="preserve"> </w:t>
      </w:r>
      <w:r>
        <w:rPr>
          <w:spacing w:val="-2"/>
        </w:rPr>
        <w:t>MATRIZ.</w:t>
      </w:r>
    </w:p>
    <w:p w:rsidR="00A535A0" w:rsidRDefault="00000000">
      <w:pPr>
        <w:pStyle w:val="Textoindependiente"/>
        <w:spacing w:before="238" w:line="276" w:lineRule="auto"/>
        <w:ind w:left="100" w:right="117"/>
        <w:jc w:val="both"/>
      </w:pPr>
      <w:r>
        <w:t>Modificar diversos cuerpos legales para establecer que aquellos empleadores que no den cumplimiento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prohibición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contratar</w:t>
      </w:r>
      <w:r>
        <w:rPr>
          <w:spacing w:val="-15"/>
        </w:rPr>
        <w:t xml:space="preserve"> </w:t>
      </w:r>
      <w:r>
        <w:t>estipulada</w:t>
      </w:r>
      <w:r>
        <w:rPr>
          <w:spacing w:val="-15"/>
        </w:rPr>
        <w:t xml:space="preserve"> </w:t>
      </w:r>
      <w:r>
        <w:t>expresamente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artículo</w:t>
      </w:r>
      <w:r>
        <w:rPr>
          <w:spacing w:val="-15"/>
        </w:rPr>
        <w:t xml:space="preserve"> </w:t>
      </w:r>
      <w:r>
        <w:t>6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Decreto Ley N°645 sea sancionado con multas y con la nulidad de los contratos laborales que se trate, sin derecho a repetir lo pagado al trabajador inhabilitado.</w:t>
      </w:r>
    </w:p>
    <w:p w:rsidR="00A535A0" w:rsidRDefault="00A535A0">
      <w:pPr>
        <w:pStyle w:val="Textoindependiente"/>
      </w:pPr>
    </w:p>
    <w:p w:rsidR="00A535A0" w:rsidRDefault="00A535A0">
      <w:pPr>
        <w:pStyle w:val="Textoindependiente"/>
        <w:spacing w:before="166"/>
      </w:pPr>
    </w:p>
    <w:p w:rsidR="00A535A0" w:rsidRDefault="00000000">
      <w:pPr>
        <w:pStyle w:val="Ttulo1"/>
        <w:ind w:left="0" w:right="17"/>
        <w:jc w:val="center"/>
      </w:pPr>
      <w:r>
        <w:t>PROYECTO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5"/>
        </w:rPr>
        <w:t>LEY</w:t>
      </w:r>
    </w:p>
    <w:p w:rsidR="00A535A0" w:rsidRDefault="00A535A0">
      <w:pPr>
        <w:pStyle w:val="Textoindependiente"/>
        <w:rPr>
          <w:b/>
        </w:rPr>
      </w:pPr>
    </w:p>
    <w:p w:rsidR="00A535A0" w:rsidRDefault="00A535A0">
      <w:pPr>
        <w:pStyle w:val="Textoindependiente"/>
        <w:spacing w:before="208"/>
        <w:rPr>
          <w:b/>
        </w:rPr>
      </w:pPr>
    </w:p>
    <w:p w:rsidR="00A535A0" w:rsidRDefault="00000000">
      <w:pPr>
        <w:pStyle w:val="Textoindependiente"/>
        <w:spacing w:before="1" w:line="276" w:lineRule="auto"/>
        <w:ind w:left="100" w:right="117"/>
        <w:jc w:val="both"/>
      </w:pPr>
      <w:r>
        <w:rPr>
          <w:b/>
        </w:rPr>
        <w:t xml:space="preserve">ARTÍCULO PRIMERO.- </w:t>
      </w:r>
      <w:r>
        <w:t>Incorpórese en el artículo 6 bis del Decreto Ley N°645 de 1925 del Ministerio de Justicia, sobre el Registro General de Condenas, un inciso sexto y séptimo nuevos del siguiente tenor:</w:t>
      </w:r>
    </w:p>
    <w:p w:rsidR="00A535A0" w:rsidRDefault="00000000">
      <w:pPr>
        <w:pStyle w:val="Textoindependiente"/>
        <w:spacing w:before="199" w:line="276" w:lineRule="auto"/>
        <w:ind w:left="820" w:right="117"/>
        <w:jc w:val="both"/>
      </w:pPr>
      <w:r>
        <w:t>“La institución que no diere cumplimiento a lo establecido en el presente artículo y contratare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mantenga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inhabilidad de</w:t>
      </w:r>
      <w:r>
        <w:rPr>
          <w:spacing w:val="-1"/>
        </w:rPr>
        <w:t xml:space="preserve"> </w:t>
      </w:r>
      <w:r>
        <w:t>las establecidas en el inciso primero será sancionada con una multa a beneficio fiscal de entre cien y doscientas cincuenta</w:t>
      </w:r>
      <w:r>
        <w:rPr>
          <w:spacing w:val="-2"/>
        </w:rPr>
        <w:t xml:space="preserve"> </w:t>
      </w:r>
      <w:r>
        <w:t>unidades</w:t>
      </w:r>
      <w:r>
        <w:rPr>
          <w:spacing w:val="-2"/>
        </w:rPr>
        <w:t xml:space="preserve"> </w:t>
      </w:r>
      <w:r>
        <w:t>tributarias</w:t>
      </w:r>
      <w:r>
        <w:rPr>
          <w:spacing w:val="-2"/>
        </w:rPr>
        <w:t xml:space="preserve"> </w:t>
      </w:r>
      <w:r>
        <w:t>mensuales.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reincidencia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sanción</w:t>
      </w:r>
      <w:r>
        <w:rPr>
          <w:spacing w:val="-2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ser duplicada. Tratándose de empresas públicas dará lugar a las responsabilidades administrativas y judiciales que correspondan de conformidad a la ley.</w:t>
      </w:r>
    </w:p>
    <w:p w:rsidR="00A535A0" w:rsidRDefault="00000000">
      <w:pPr>
        <w:pStyle w:val="Textoindependiente"/>
        <w:spacing w:before="199" w:line="276" w:lineRule="auto"/>
        <w:ind w:left="820" w:right="117"/>
        <w:jc w:val="both"/>
      </w:pPr>
      <w:r>
        <w:t>Con todo, los contratos que se desarrollaren en incumplimiento de las normas establecidas en el presente artículo serán nulos, concluyéndose de pleno derecho la relación laboral o de prestación de servicios que regulan y no dando posibilidad al empleador de reclamar los sueldos, bonos u otros emolumentos pagados antes de declarada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infracción, ni dando lugar al trabajador a</w:t>
      </w:r>
      <w:r>
        <w:rPr>
          <w:spacing w:val="-1"/>
        </w:rPr>
        <w:t xml:space="preserve"> </w:t>
      </w:r>
      <w:r>
        <w:t>ningún tipo de</w:t>
      </w:r>
      <w:r>
        <w:rPr>
          <w:spacing w:val="-1"/>
        </w:rPr>
        <w:t xml:space="preserve"> </w:t>
      </w:r>
      <w:r>
        <w:t>indemnización.”.</w:t>
      </w:r>
    </w:p>
    <w:p w:rsidR="00A535A0" w:rsidRDefault="00A535A0">
      <w:pPr>
        <w:spacing w:line="276" w:lineRule="auto"/>
        <w:jc w:val="both"/>
        <w:sectPr w:rsidR="00A535A0">
          <w:pgSz w:w="11910" w:h="16840"/>
          <w:pgMar w:top="2040" w:right="1320" w:bottom="280" w:left="1340" w:header="720" w:footer="0" w:gutter="0"/>
          <w:cols w:space="720"/>
        </w:sectPr>
      </w:pPr>
    </w:p>
    <w:p w:rsidR="00A535A0" w:rsidRDefault="00000000">
      <w:pPr>
        <w:spacing w:before="270"/>
        <w:ind w:left="100"/>
        <w:rPr>
          <w:sz w:val="24"/>
        </w:rPr>
      </w:pPr>
      <w:r>
        <w:rPr>
          <w:b/>
          <w:sz w:val="24"/>
        </w:rPr>
        <w:lastRenderedPageBreak/>
        <w:t>ARTÍCULO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SEGUNDO.-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Modifíquese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Código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Trabajo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siguiente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sentido:</w:t>
      </w:r>
    </w:p>
    <w:p w:rsidR="00A535A0" w:rsidRDefault="00000000">
      <w:pPr>
        <w:pStyle w:val="Prrafodelista"/>
        <w:numPr>
          <w:ilvl w:val="0"/>
          <w:numId w:val="1"/>
        </w:numPr>
        <w:tabs>
          <w:tab w:val="left" w:pos="818"/>
        </w:tabs>
        <w:spacing w:before="242"/>
        <w:ind w:left="818" w:hanging="358"/>
        <w:rPr>
          <w:sz w:val="24"/>
        </w:rPr>
      </w:pPr>
      <w:r>
        <w:rPr>
          <w:sz w:val="24"/>
        </w:rPr>
        <w:t>Incorpórese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numeral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nuevo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artículo</w:t>
      </w:r>
      <w:r>
        <w:rPr>
          <w:spacing w:val="-1"/>
          <w:sz w:val="24"/>
        </w:rPr>
        <w:t xml:space="preserve"> </w:t>
      </w:r>
      <w:r>
        <w:rPr>
          <w:sz w:val="24"/>
        </w:rPr>
        <w:t>154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siguiente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tenor:</w:t>
      </w:r>
    </w:p>
    <w:p w:rsidR="00A535A0" w:rsidRDefault="00000000">
      <w:pPr>
        <w:pStyle w:val="Textoindependiente"/>
        <w:spacing w:before="243" w:line="276" w:lineRule="auto"/>
        <w:ind w:left="820" w:right="117"/>
        <w:jc w:val="both"/>
      </w:pPr>
      <w:r>
        <w:t>“14.- El procedimiento a que se someterán las denuncias que se deduzcan de conformidad al artículo 192 bis.”</w:t>
      </w:r>
    </w:p>
    <w:p w:rsidR="00A535A0" w:rsidRDefault="00000000">
      <w:pPr>
        <w:pStyle w:val="Prrafodelista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Incorpórese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artículo</w:t>
      </w:r>
      <w:r>
        <w:rPr>
          <w:spacing w:val="-1"/>
          <w:sz w:val="24"/>
        </w:rPr>
        <w:t xml:space="preserve"> </w:t>
      </w:r>
      <w:r>
        <w:rPr>
          <w:sz w:val="24"/>
        </w:rPr>
        <w:t>154</w:t>
      </w:r>
      <w:r>
        <w:rPr>
          <w:spacing w:val="-1"/>
          <w:sz w:val="24"/>
        </w:rPr>
        <w:t xml:space="preserve"> </w:t>
      </w:r>
      <w:r>
        <w:rPr>
          <w:sz w:val="24"/>
        </w:rPr>
        <w:t>bis,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inciso</w:t>
      </w:r>
      <w:r>
        <w:rPr>
          <w:spacing w:val="-1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nuevo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siguiente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tenor:</w:t>
      </w:r>
    </w:p>
    <w:p w:rsidR="00A535A0" w:rsidRDefault="00000000">
      <w:pPr>
        <w:pStyle w:val="Textoindependiente"/>
        <w:spacing w:before="238" w:line="276" w:lineRule="auto"/>
        <w:ind w:left="820" w:right="117"/>
        <w:jc w:val="both"/>
      </w:pPr>
      <w:r>
        <w:t>“Asimismo, el empleador deberá informar de los procedimientos a que se someterán las denuncias que se deduzcan de conformidad al artículo 192 bis y el procedimiento de investigación y sanción al que se someterán dichas situaciones, al momento de la suscripción del contrato de trabajo, en conformidad a lo dispuesto en el Título IV del Libro II, el que considerará las medidas de resguardo que se adopten respecto de los involucrados y las sanciones que se aplicarán. Lo anterior deberá constar por escrito y se incorporará en el Reglamento a que se refiere el artículo 67 de la ley N° 16.744.”</w:t>
      </w:r>
    </w:p>
    <w:p w:rsidR="00A535A0" w:rsidRDefault="00000000">
      <w:pPr>
        <w:pStyle w:val="Prrafodelista"/>
        <w:numPr>
          <w:ilvl w:val="0"/>
          <w:numId w:val="1"/>
        </w:numPr>
        <w:tabs>
          <w:tab w:val="left" w:pos="818"/>
        </w:tabs>
        <w:spacing w:before="202"/>
        <w:ind w:left="818" w:hanging="358"/>
        <w:rPr>
          <w:sz w:val="24"/>
        </w:rPr>
      </w:pPr>
      <w:r>
        <w:rPr>
          <w:sz w:val="24"/>
        </w:rPr>
        <w:t>Establézcase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artículo</w:t>
      </w:r>
      <w:r>
        <w:rPr>
          <w:spacing w:val="-1"/>
          <w:sz w:val="24"/>
        </w:rPr>
        <w:t xml:space="preserve"> </w:t>
      </w:r>
      <w:r>
        <w:rPr>
          <w:sz w:val="24"/>
        </w:rPr>
        <w:t>192</w:t>
      </w:r>
      <w:r>
        <w:rPr>
          <w:spacing w:val="-1"/>
          <w:sz w:val="24"/>
        </w:rPr>
        <w:t xml:space="preserve"> </w:t>
      </w:r>
      <w:r>
        <w:rPr>
          <w:sz w:val="24"/>
        </w:rPr>
        <w:t>bis</w:t>
      </w:r>
      <w:r>
        <w:rPr>
          <w:spacing w:val="-2"/>
          <w:sz w:val="24"/>
        </w:rPr>
        <w:t xml:space="preserve"> </w:t>
      </w:r>
      <w:r>
        <w:rPr>
          <w:sz w:val="24"/>
        </w:rPr>
        <w:t>nuevo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siguiente</w:t>
      </w:r>
      <w:r>
        <w:rPr>
          <w:spacing w:val="-2"/>
          <w:sz w:val="24"/>
        </w:rPr>
        <w:t xml:space="preserve"> tenor:</w:t>
      </w:r>
    </w:p>
    <w:p w:rsidR="00A535A0" w:rsidRDefault="00000000">
      <w:pPr>
        <w:pStyle w:val="Textoindependiente"/>
        <w:spacing w:before="243" w:line="276" w:lineRule="auto"/>
        <w:ind w:left="820" w:right="117"/>
        <w:jc w:val="both"/>
      </w:pPr>
      <w:r>
        <w:t>“Artículo 192 bis.- El trabajador que tuviere conocimiento de la contratación de una persona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encuentra</w:t>
      </w:r>
      <w:r>
        <w:rPr>
          <w:spacing w:val="-13"/>
        </w:rPr>
        <w:t xml:space="preserve"> </w:t>
      </w:r>
      <w:r>
        <w:t>afecta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alguna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inhabilitaciones</w:t>
      </w:r>
      <w:r>
        <w:rPr>
          <w:spacing w:val="-13"/>
        </w:rPr>
        <w:t xml:space="preserve"> </w:t>
      </w:r>
      <w:r>
        <w:t>establecidas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artículos 39</w:t>
      </w:r>
      <w:r>
        <w:rPr>
          <w:spacing w:val="-15"/>
        </w:rPr>
        <w:t xml:space="preserve"> </w:t>
      </w:r>
      <w:r>
        <w:t>bis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39</w:t>
      </w:r>
      <w:r>
        <w:rPr>
          <w:spacing w:val="-15"/>
        </w:rPr>
        <w:t xml:space="preserve"> </w:t>
      </w:r>
      <w:r>
        <w:t>ter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Código</w:t>
      </w:r>
      <w:r>
        <w:rPr>
          <w:spacing w:val="-15"/>
        </w:rPr>
        <w:t xml:space="preserve"> </w:t>
      </w:r>
      <w:r>
        <w:t>Penal,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preste</w:t>
      </w:r>
      <w:r>
        <w:rPr>
          <w:spacing w:val="-15"/>
        </w:rPr>
        <w:t xml:space="preserve"> </w:t>
      </w:r>
      <w:r>
        <w:t>funciones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involucren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relación directa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habitual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menores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dieciocho</w:t>
      </w:r>
      <w:r>
        <w:rPr>
          <w:spacing w:val="-2"/>
        </w:rPr>
        <w:t xml:space="preserve"> </w:t>
      </w:r>
      <w:r>
        <w:t>años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edad,</w:t>
      </w:r>
      <w:r>
        <w:rPr>
          <w:spacing w:val="-2"/>
        </w:rPr>
        <w:t xml:space="preserve"> </w:t>
      </w:r>
      <w:r>
        <w:t>adultos</w:t>
      </w:r>
      <w:r>
        <w:rPr>
          <w:spacing w:val="-2"/>
        </w:rPr>
        <w:t xml:space="preserve"> </w:t>
      </w:r>
      <w:r>
        <w:t>mayores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personas en situación de discapacidad, deberá comunicar dicha situación a su empleador en el más breve plazo, quien deberá levantar acta de la denuncia, entregar copia de ella al trabajador denunciante y dar curso a los procesos de investigación establecidos en el reglamento interno de la empresa.”</w:t>
      </w:r>
    </w:p>
    <w:p w:rsidR="00A535A0" w:rsidRDefault="00A535A0">
      <w:pPr>
        <w:pStyle w:val="Textoindependiente"/>
      </w:pPr>
    </w:p>
    <w:p w:rsidR="00A535A0" w:rsidRDefault="00A535A0">
      <w:pPr>
        <w:pStyle w:val="Textoindependiente"/>
      </w:pPr>
    </w:p>
    <w:p w:rsidR="00A535A0" w:rsidRDefault="00A535A0">
      <w:pPr>
        <w:pStyle w:val="Textoindependiente"/>
      </w:pPr>
    </w:p>
    <w:p w:rsidR="00A535A0" w:rsidRDefault="00A535A0">
      <w:pPr>
        <w:pStyle w:val="Textoindependiente"/>
      </w:pPr>
    </w:p>
    <w:p w:rsidR="00A535A0" w:rsidRDefault="00A535A0">
      <w:pPr>
        <w:pStyle w:val="Textoindependiente"/>
      </w:pPr>
    </w:p>
    <w:p w:rsidR="00A535A0" w:rsidRDefault="00A535A0">
      <w:pPr>
        <w:pStyle w:val="Textoindependiente"/>
        <w:spacing w:before="91"/>
      </w:pPr>
    </w:p>
    <w:p w:rsidR="00A535A0" w:rsidRDefault="00000000">
      <w:pPr>
        <w:tabs>
          <w:tab w:val="left" w:pos="5342"/>
        </w:tabs>
        <w:ind w:left="1160"/>
        <w:rPr>
          <w:b/>
        </w:rPr>
      </w:pPr>
      <w:r>
        <w:rPr>
          <w:b/>
        </w:rPr>
        <w:t>JOANNA</w:t>
      </w:r>
      <w:r>
        <w:rPr>
          <w:b/>
          <w:spacing w:val="-6"/>
        </w:rPr>
        <w:t xml:space="preserve"> </w:t>
      </w:r>
      <w:r>
        <w:rPr>
          <w:b/>
        </w:rPr>
        <w:t>PÉREZ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OLEA</w:t>
      </w:r>
      <w:r>
        <w:rPr>
          <w:b/>
        </w:rPr>
        <w:tab/>
        <w:t>JORGE</w:t>
      </w:r>
      <w:r>
        <w:rPr>
          <w:b/>
          <w:spacing w:val="-9"/>
        </w:rPr>
        <w:t xml:space="preserve"> </w:t>
      </w:r>
      <w:r>
        <w:rPr>
          <w:b/>
        </w:rPr>
        <w:t>SAFFIRIO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ESPINOZA</w:t>
      </w:r>
    </w:p>
    <w:p w:rsidR="00A535A0" w:rsidRDefault="00000000">
      <w:pPr>
        <w:tabs>
          <w:tab w:val="left" w:pos="5743"/>
        </w:tabs>
        <w:spacing w:before="1"/>
        <w:ind w:left="1237"/>
      </w:pPr>
      <w:r>
        <w:t>Diputada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República</w:t>
      </w:r>
      <w:r>
        <w:tab/>
        <w:t>Diputado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República</w:t>
      </w:r>
    </w:p>
    <w:sectPr w:rsidR="00A535A0">
      <w:pgSz w:w="11910" w:h="16840"/>
      <w:pgMar w:top="2040" w:right="1320" w:bottom="280" w:left="13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76FFA" w:rsidRDefault="00A76FFA">
      <w:r>
        <w:separator/>
      </w:r>
    </w:p>
  </w:endnote>
  <w:endnote w:type="continuationSeparator" w:id="0">
    <w:p w:rsidR="00A76FFA" w:rsidRDefault="00A7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76FFA" w:rsidRDefault="00A76FFA">
      <w:r>
        <w:separator/>
      </w:r>
    </w:p>
  </w:footnote>
  <w:footnote w:type="continuationSeparator" w:id="0">
    <w:p w:rsidR="00A76FFA" w:rsidRDefault="00A76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535A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>
          <wp:simplePos x="0" y="0"/>
          <wp:positionH relativeFrom="page">
            <wp:posOffset>3332162</wp:posOffset>
          </wp:positionH>
          <wp:positionV relativeFrom="page">
            <wp:posOffset>457200</wp:posOffset>
          </wp:positionV>
          <wp:extent cx="897889" cy="84124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7889" cy="841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E100F8"/>
    <w:multiLevelType w:val="hybridMultilevel"/>
    <w:tmpl w:val="C40A689C"/>
    <w:lvl w:ilvl="0" w:tplc="8AFC684C">
      <w:start w:val="1"/>
      <w:numFmt w:val="low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869EC4B4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DEEED62A">
      <w:numFmt w:val="bullet"/>
      <w:lvlText w:val="•"/>
      <w:lvlJc w:val="left"/>
      <w:pPr>
        <w:ind w:left="2505" w:hanging="360"/>
      </w:pPr>
      <w:rPr>
        <w:rFonts w:hint="default"/>
        <w:lang w:val="es-ES" w:eastAsia="en-US" w:bidi="ar-SA"/>
      </w:rPr>
    </w:lvl>
    <w:lvl w:ilvl="3" w:tplc="B9CE88AA">
      <w:numFmt w:val="bullet"/>
      <w:lvlText w:val="•"/>
      <w:lvlJc w:val="left"/>
      <w:pPr>
        <w:ind w:left="3348" w:hanging="360"/>
      </w:pPr>
      <w:rPr>
        <w:rFonts w:hint="default"/>
        <w:lang w:val="es-ES" w:eastAsia="en-US" w:bidi="ar-SA"/>
      </w:rPr>
    </w:lvl>
    <w:lvl w:ilvl="4" w:tplc="4BD48142">
      <w:numFmt w:val="bullet"/>
      <w:lvlText w:val="•"/>
      <w:lvlJc w:val="left"/>
      <w:pPr>
        <w:ind w:left="4191" w:hanging="360"/>
      </w:pPr>
      <w:rPr>
        <w:rFonts w:hint="default"/>
        <w:lang w:val="es-ES" w:eastAsia="en-US" w:bidi="ar-SA"/>
      </w:rPr>
    </w:lvl>
    <w:lvl w:ilvl="5" w:tplc="35BA801C">
      <w:numFmt w:val="bullet"/>
      <w:lvlText w:val="•"/>
      <w:lvlJc w:val="left"/>
      <w:pPr>
        <w:ind w:left="5034" w:hanging="360"/>
      </w:pPr>
      <w:rPr>
        <w:rFonts w:hint="default"/>
        <w:lang w:val="es-ES" w:eastAsia="en-US" w:bidi="ar-SA"/>
      </w:rPr>
    </w:lvl>
    <w:lvl w:ilvl="6" w:tplc="25964C20">
      <w:numFmt w:val="bullet"/>
      <w:lvlText w:val="•"/>
      <w:lvlJc w:val="left"/>
      <w:pPr>
        <w:ind w:left="5877" w:hanging="360"/>
      </w:pPr>
      <w:rPr>
        <w:rFonts w:hint="default"/>
        <w:lang w:val="es-ES" w:eastAsia="en-US" w:bidi="ar-SA"/>
      </w:rPr>
    </w:lvl>
    <w:lvl w:ilvl="7" w:tplc="D11C996C">
      <w:numFmt w:val="bullet"/>
      <w:lvlText w:val="•"/>
      <w:lvlJc w:val="left"/>
      <w:pPr>
        <w:ind w:left="6720" w:hanging="360"/>
      </w:pPr>
      <w:rPr>
        <w:rFonts w:hint="default"/>
        <w:lang w:val="es-ES" w:eastAsia="en-US" w:bidi="ar-SA"/>
      </w:rPr>
    </w:lvl>
    <w:lvl w:ilvl="8" w:tplc="73D29D7E">
      <w:numFmt w:val="bullet"/>
      <w:lvlText w:val="•"/>
      <w:lvlJc w:val="left"/>
      <w:pPr>
        <w:ind w:left="7563" w:hanging="360"/>
      </w:pPr>
      <w:rPr>
        <w:rFonts w:hint="default"/>
        <w:lang w:val="es-ES" w:eastAsia="en-US" w:bidi="ar-SA"/>
      </w:rPr>
    </w:lvl>
  </w:abstractNum>
  <w:num w:numId="1" w16cid:durableId="1453816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A0"/>
    <w:rsid w:val="00321E55"/>
    <w:rsid w:val="005C71BC"/>
    <w:rsid w:val="00A535A0"/>
    <w:rsid w:val="00A7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630A9-9BC5-4933-82CA-45C32AA5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00"/>
      <w:ind w:left="818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5781</Characters>
  <Application>Microsoft Office Word</Application>
  <DocSecurity>0</DocSecurity>
  <Lines>48</Lines>
  <Paragraphs>13</Paragraphs>
  <ScaleCrop>false</ScaleCrop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Diaz Vallejos</cp:lastModifiedBy>
  <cp:revision>1</cp:revision>
  <dcterms:created xsi:type="dcterms:W3CDTF">2024-10-07T19:15:00Z</dcterms:created>
  <dcterms:modified xsi:type="dcterms:W3CDTF">2024-10-29T23:41:00Z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LastSaved">
    <vt:filetime>2024-10-07T00:00:00Z</vt:filetime>
  </property>
  <property fmtid="{D5CDD505-2E9C-101B-9397-08002B2CF9AE}" pid="4" name="Producer">
    <vt:lpwstr>macOS Versión 15.0.1 (Compilación 24A348) Quartz PDFContext</vt:lpwstr>
  </property>
</Properties>
</file>