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017" w:rsidRPr="009C19FC" w:rsidRDefault="00010017" w:rsidP="00010017">
      <w:pPr>
        <w:tabs>
          <w:tab w:val="left" w:pos="2835"/>
        </w:tabs>
        <w:spacing w:after="0" w:line="240" w:lineRule="auto"/>
        <w:jc w:val="center"/>
        <w:rPr>
          <w:rFonts w:ascii="Arial" w:eastAsia="Calibri" w:hAnsi="Arial" w:cs="Arial"/>
          <w:b/>
          <w:sz w:val="24"/>
          <w:szCs w:val="24"/>
          <w:u w:val="single"/>
        </w:rPr>
      </w:pPr>
      <w:r w:rsidRPr="009C19FC">
        <w:rPr>
          <w:rFonts w:ascii="Arial" w:eastAsia="Calibri" w:hAnsi="Arial" w:cs="Arial"/>
          <w:b/>
          <w:sz w:val="24"/>
          <w:szCs w:val="24"/>
          <w:u w:val="single"/>
        </w:rPr>
        <w:t>CERTIFICADO</w:t>
      </w:r>
    </w:p>
    <w:p w:rsidR="00010017" w:rsidRPr="009C19FC" w:rsidRDefault="00010017" w:rsidP="00010017">
      <w:pPr>
        <w:tabs>
          <w:tab w:val="left" w:pos="2835"/>
        </w:tabs>
        <w:spacing w:after="0" w:line="240" w:lineRule="auto"/>
        <w:jc w:val="both"/>
        <w:rPr>
          <w:rFonts w:ascii="Arial" w:eastAsia="Calibri" w:hAnsi="Arial" w:cs="Arial"/>
          <w:b/>
          <w:sz w:val="24"/>
          <w:szCs w:val="24"/>
        </w:rPr>
      </w:pPr>
    </w:p>
    <w:p w:rsidR="00010017" w:rsidRPr="009C19FC" w:rsidRDefault="00010017" w:rsidP="00010017">
      <w:pPr>
        <w:tabs>
          <w:tab w:val="left" w:pos="2835"/>
        </w:tabs>
        <w:spacing w:after="0" w:line="240" w:lineRule="auto"/>
        <w:jc w:val="both"/>
        <w:rPr>
          <w:rFonts w:ascii="Arial" w:eastAsia="Calibri" w:hAnsi="Arial" w:cs="Arial"/>
          <w:sz w:val="24"/>
          <w:szCs w:val="24"/>
        </w:rPr>
      </w:pPr>
      <w:r w:rsidRPr="009C19FC">
        <w:rPr>
          <w:rFonts w:ascii="Arial" w:eastAsia="Calibri" w:hAnsi="Arial" w:cs="Arial"/>
          <w:b/>
          <w:sz w:val="24"/>
          <w:szCs w:val="24"/>
        </w:rPr>
        <w:tab/>
      </w:r>
      <w:r w:rsidRPr="009C19FC">
        <w:rPr>
          <w:rFonts w:ascii="Arial" w:eastAsia="Calibri" w:hAnsi="Arial" w:cs="Arial"/>
          <w:sz w:val="24"/>
          <w:szCs w:val="24"/>
        </w:rPr>
        <w:t>Certifico que el día de hoy, 7 de abril de 2015, la Comisión de Hacienda sesionó para tratar el proyecto de ley</w:t>
      </w:r>
      <w:r w:rsidRPr="009C19FC">
        <w:rPr>
          <w:rFonts w:ascii="Arial" w:eastAsia="Calibri" w:hAnsi="Arial" w:cs="Arial"/>
          <w:sz w:val="24"/>
          <w:szCs w:val="24"/>
          <w:lang w:val="es-ES"/>
        </w:rPr>
        <w:t>, en segundo trámite constitucional, que modifica el seguro de cesantía de la ley N° 19.728</w:t>
      </w:r>
      <w:r w:rsidRPr="009C19FC">
        <w:rPr>
          <w:rFonts w:ascii="Arial" w:eastAsia="Calibri" w:hAnsi="Arial" w:cs="Arial"/>
          <w:sz w:val="24"/>
          <w:szCs w:val="24"/>
        </w:rPr>
        <w:t>.</w:t>
      </w:r>
    </w:p>
    <w:p w:rsidR="00010017" w:rsidRPr="009C19FC" w:rsidRDefault="00010017" w:rsidP="00010017">
      <w:pPr>
        <w:tabs>
          <w:tab w:val="left" w:pos="2835"/>
        </w:tabs>
        <w:spacing w:after="0" w:line="240" w:lineRule="auto"/>
        <w:jc w:val="both"/>
        <w:rPr>
          <w:rFonts w:ascii="Arial" w:eastAsia="Calibri" w:hAnsi="Arial" w:cs="Arial"/>
          <w:sz w:val="24"/>
          <w:szCs w:val="24"/>
        </w:rPr>
      </w:pP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val="es-ES" w:eastAsia="es-ES"/>
        </w:rPr>
      </w:pPr>
      <w:r w:rsidRPr="009C19FC">
        <w:rPr>
          <w:rFonts w:ascii="Arial" w:eastAsia="Calibri" w:hAnsi="Arial" w:cs="Arial"/>
          <w:sz w:val="24"/>
          <w:szCs w:val="24"/>
        </w:rPr>
        <w:tab/>
        <w:t>A la sesión en que la Comisión se abocó al estudio de esta iniciativa asistieron, además de sus integrantes,</w:t>
      </w:r>
      <w:r w:rsidRPr="009C19FC">
        <w:rPr>
          <w:rFonts w:ascii="Arial" w:eastAsia="Times New Roman" w:hAnsi="Arial" w:cs="Times New Roman"/>
          <w:sz w:val="24"/>
          <w:szCs w:val="20"/>
          <w:lang w:val="es-ES" w:eastAsia="es-ES"/>
        </w:rPr>
        <w:t xml:space="preserve"> </w:t>
      </w:r>
      <w:r w:rsidR="00FB00B1" w:rsidRPr="009C19FC">
        <w:rPr>
          <w:rFonts w:ascii="Arial" w:eastAsia="Times New Roman" w:hAnsi="Arial" w:cs="Times New Roman"/>
          <w:sz w:val="24"/>
          <w:szCs w:val="20"/>
          <w:lang w:val="es-ES" w:eastAsia="es-ES"/>
        </w:rPr>
        <w:t>las siguientes personas:</w:t>
      </w: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Del Ministerio del Trabajo y Previsión Social, la Ministra, señora Javiera Blanco;</w:t>
      </w:r>
      <w:r w:rsidR="006C2A52" w:rsidRPr="009C19FC">
        <w:rPr>
          <w:rFonts w:ascii="Arial" w:eastAsia="Times New Roman" w:hAnsi="Arial" w:cs="Times New Roman"/>
          <w:sz w:val="24"/>
          <w:szCs w:val="20"/>
          <w:lang w:val="es-ES" w:eastAsia="es-ES"/>
        </w:rPr>
        <w:t xml:space="preserve"> el Subsecretario de Previsión Social, señor Marcos Barraza;</w:t>
      </w:r>
      <w:r w:rsidRPr="009C19FC">
        <w:rPr>
          <w:rFonts w:ascii="Arial" w:eastAsia="Times New Roman" w:hAnsi="Arial" w:cs="Times New Roman"/>
          <w:sz w:val="24"/>
          <w:szCs w:val="20"/>
          <w:lang w:val="es-ES" w:eastAsia="es-ES"/>
        </w:rPr>
        <w:t xml:space="preserve"> </w:t>
      </w:r>
      <w:r w:rsidR="005A6127" w:rsidRPr="009C19FC">
        <w:rPr>
          <w:rFonts w:ascii="Arial" w:eastAsia="Times New Roman" w:hAnsi="Arial" w:cs="Times New Roman"/>
          <w:sz w:val="24"/>
          <w:szCs w:val="20"/>
          <w:lang w:val="es-ES" w:eastAsia="es-ES"/>
        </w:rPr>
        <w:t xml:space="preserve">el </w:t>
      </w:r>
      <w:r w:rsidRPr="009C19FC">
        <w:rPr>
          <w:rFonts w:ascii="Arial" w:eastAsia="Times New Roman" w:hAnsi="Arial" w:cs="Times New Roman"/>
          <w:sz w:val="24"/>
          <w:szCs w:val="20"/>
          <w:lang w:val="es-ES" w:eastAsia="es-ES"/>
        </w:rPr>
        <w:t xml:space="preserve">asesor, señor Francisco del Río; </w:t>
      </w:r>
      <w:r w:rsidR="006C2A52" w:rsidRPr="009C19FC">
        <w:rPr>
          <w:rFonts w:ascii="Arial" w:eastAsia="Times New Roman" w:hAnsi="Arial" w:cs="Times New Roman"/>
          <w:sz w:val="24"/>
          <w:szCs w:val="20"/>
          <w:lang w:val="es-ES" w:eastAsia="es-ES"/>
        </w:rPr>
        <w:t>la funcionaria de Comunicaciones de la Subsecretaría de Previsión Social, señora Pilar Zamora,</w:t>
      </w:r>
      <w:r w:rsidRPr="009C19FC">
        <w:rPr>
          <w:rFonts w:ascii="Arial" w:eastAsia="Times New Roman" w:hAnsi="Arial" w:cs="Times New Roman"/>
          <w:sz w:val="24"/>
          <w:szCs w:val="20"/>
          <w:lang w:val="es-ES" w:eastAsia="es-ES"/>
        </w:rPr>
        <w:t xml:space="preserve"> y el asesor de prensa, señor Rodolfo Carrasco.</w:t>
      </w:r>
    </w:p>
    <w:p w:rsidR="00AB5C1F" w:rsidRPr="009C19FC" w:rsidRDefault="00AB5C1F"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AB5C1F" w:rsidRPr="009C19FC" w:rsidRDefault="00AB5C1F"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Del Ministerio de Hacienda, la Coordinadora Legislativa, señorita Macarena Lobos.</w:t>
      </w: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 xml:space="preserve">Del Ministerio Secretaría General de la Presidencia, </w:t>
      </w:r>
      <w:r w:rsidR="005A6127" w:rsidRPr="009C19FC">
        <w:rPr>
          <w:rFonts w:ascii="Arial" w:eastAsia="Times New Roman" w:hAnsi="Arial" w:cs="Times New Roman"/>
          <w:sz w:val="24"/>
          <w:szCs w:val="20"/>
          <w:lang w:val="es-ES" w:eastAsia="es-ES"/>
        </w:rPr>
        <w:t>e</w:t>
      </w:r>
      <w:r w:rsidRPr="009C19FC">
        <w:rPr>
          <w:rFonts w:ascii="Arial" w:eastAsia="Times New Roman" w:hAnsi="Arial" w:cs="Times New Roman"/>
          <w:sz w:val="24"/>
          <w:szCs w:val="20"/>
          <w:lang w:val="es-ES" w:eastAsia="es-ES"/>
        </w:rPr>
        <w:t>l asesor</w:t>
      </w:r>
      <w:r w:rsidR="005A6127" w:rsidRPr="009C19FC">
        <w:rPr>
          <w:rFonts w:ascii="Arial" w:eastAsia="Times New Roman" w:hAnsi="Arial" w:cs="Times New Roman"/>
          <w:sz w:val="24"/>
          <w:szCs w:val="20"/>
          <w:lang w:val="es-ES" w:eastAsia="es-ES"/>
        </w:rPr>
        <w:t>,</w:t>
      </w:r>
      <w:r w:rsidRPr="009C19FC">
        <w:rPr>
          <w:rFonts w:ascii="Arial" w:eastAsia="Times New Roman" w:hAnsi="Arial" w:cs="Times New Roman"/>
          <w:sz w:val="24"/>
          <w:szCs w:val="20"/>
          <w:lang w:val="es-ES" w:eastAsia="es-ES"/>
        </w:rPr>
        <w:t xml:space="preserve"> señor Giovanni </w:t>
      </w:r>
      <w:proofErr w:type="spellStart"/>
      <w:r w:rsidRPr="009C19FC">
        <w:rPr>
          <w:rFonts w:ascii="Arial" w:eastAsia="Times New Roman" w:hAnsi="Arial" w:cs="Times New Roman"/>
          <w:sz w:val="24"/>
          <w:szCs w:val="20"/>
          <w:lang w:val="es-ES" w:eastAsia="es-ES"/>
        </w:rPr>
        <w:t>Semería</w:t>
      </w:r>
      <w:proofErr w:type="spellEnd"/>
      <w:r w:rsidRPr="009C19FC">
        <w:rPr>
          <w:rFonts w:ascii="Arial" w:eastAsia="Times New Roman" w:hAnsi="Arial" w:cs="Times New Roman"/>
          <w:sz w:val="24"/>
          <w:szCs w:val="20"/>
          <w:lang w:val="es-ES" w:eastAsia="es-ES"/>
        </w:rPr>
        <w:t>.</w:t>
      </w:r>
    </w:p>
    <w:p w:rsidR="00010017" w:rsidRPr="009C19FC" w:rsidRDefault="00010017"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 xml:space="preserve">De la Dirección de Presupuestos, </w:t>
      </w:r>
      <w:r w:rsidR="005B7B1F" w:rsidRPr="009C19FC">
        <w:rPr>
          <w:rFonts w:ascii="Arial" w:eastAsia="Times New Roman" w:hAnsi="Arial" w:cs="Times New Roman"/>
          <w:sz w:val="24"/>
          <w:szCs w:val="20"/>
          <w:lang w:val="es-ES" w:eastAsia="es-ES"/>
        </w:rPr>
        <w:t>el analista, señor Eduardo Román</w:t>
      </w:r>
      <w:r w:rsidRPr="009C19FC">
        <w:rPr>
          <w:rFonts w:ascii="Arial" w:eastAsia="Times New Roman" w:hAnsi="Arial" w:cs="Times New Roman"/>
          <w:sz w:val="24"/>
          <w:szCs w:val="20"/>
          <w:lang w:val="es-ES" w:eastAsia="es-ES"/>
        </w:rPr>
        <w:t>.</w:t>
      </w: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De la Superintendencia de Pensiones</w:t>
      </w:r>
      <w:r w:rsidR="00E749D9" w:rsidRPr="009C19FC">
        <w:rPr>
          <w:rFonts w:ascii="Arial" w:eastAsia="Times New Roman" w:hAnsi="Arial" w:cs="Times New Roman"/>
          <w:sz w:val="24"/>
          <w:szCs w:val="20"/>
          <w:lang w:val="es-ES" w:eastAsia="es-ES"/>
        </w:rPr>
        <w:t>, la Jefa de</w:t>
      </w:r>
      <w:r w:rsidR="005A6127" w:rsidRPr="009C19FC">
        <w:rPr>
          <w:rFonts w:ascii="Arial" w:eastAsia="Times New Roman" w:hAnsi="Arial" w:cs="Times New Roman"/>
          <w:sz w:val="24"/>
          <w:szCs w:val="20"/>
          <w:lang w:val="es-ES" w:eastAsia="es-ES"/>
        </w:rPr>
        <w:t xml:space="preserve"> la</w:t>
      </w:r>
      <w:r w:rsidR="00E749D9" w:rsidRPr="009C19FC">
        <w:rPr>
          <w:rFonts w:ascii="Arial" w:eastAsia="Times New Roman" w:hAnsi="Arial" w:cs="Times New Roman"/>
          <w:sz w:val="24"/>
          <w:szCs w:val="20"/>
          <w:lang w:val="es-ES" w:eastAsia="es-ES"/>
        </w:rPr>
        <w:t xml:space="preserve"> División</w:t>
      </w:r>
      <w:r w:rsidR="005A6127" w:rsidRPr="009C19FC">
        <w:rPr>
          <w:rFonts w:ascii="Arial" w:eastAsia="Times New Roman" w:hAnsi="Arial" w:cs="Times New Roman"/>
          <w:sz w:val="24"/>
          <w:szCs w:val="20"/>
          <w:lang w:val="es-ES" w:eastAsia="es-ES"/>
        </w:rPr>
        <w:t xml:space="preserve"> Normativa</w:t>
      </w:r>
      <w:r w:rsidR="00E749D9" w:rsidRPr="009C19FC">
        <w:rPr>
          <w:rFonts w:ascii="Arial" w:eastAsia="Times New Roman" w:hAnsi="Arial" w:cs="Times New Roman"/>
          <w:sz w:val="24"/>
          <w:szCs w:val="20"/>
          <w:lang w:val="es-ES" w:eastAsia="es-ES"/>
        </w:rPr>
        <w:t xml:space="preserve">, señora Marcia Salinas, y la </w:t>
      </w:r>
      <w:r w:rsidR="005A6127" w:rsidRPr="009C19FC">
        <w:rPr>
          <w:rFonts w:ascii="Arial" w:eastAsia="Times New Roman" w:hAnsi="Arial" w:cs="Times New Roman"/>
          <w:sz w:val="24"/>
          <w:szCs w:val="20"/>
          <w:lang w:val="es-ES" w:eastAsia="es-ES"/>
        </w:rPr>
        <w:t>a</w:t>
      </w:r>
      <w:r w:rsidR="00E749D9" w:rsidRPr="009C19FC">
        <w:rPr>
          <w:rFonts w:ascii="Arial" w:eastAsia="Times New Roman" w:hAnsi="Arial" w:cs="Times New Roman"/>
          <w:sz w:val="24"/>
          <w:szCs w:val="20"/>
          <w:lang w:val="es-ES" w:eastAsia="es-ES"/>
        </w:rPr>
        <w:t>bogada, señora Pía Villalobos.</w:t>
      </w: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De la Biblioteca del Congreso Nacional, el asesor, señor Samuel Argüello.</w:t>
      </w: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 xml:space="preserve">De la Fundación Jaime Guzmán, el asesor, señor Benjamín </w:t>
      </w:r>
      <w:proofErr w:type="spellStart"/>
      <w:r w:rsidRPr="009C19FC">
        <w:rPr>
          <w:rFonts w:ascii="Arial" w:eastAsia="Times New Roman" w:hAnsi="Arial" w:cs="Times New Roman"/>
          <w:sz w:val="24"/>
          <w:szCs w:val="20"/>
          <w:lang w:val="es-ES" w:eastAsia="es-ES"/>
        </w:rPr>
        <w:t>Rug</w:t>
      </w:r>
      <w:proofErr w:type="spellEnd"/>
      <w:r w:rsidRPr="009C19FC">
        <w:rPr>
          <w:rFonts w:ascii="Arial" w:eastAsia="Times New Roman" w:hAnsi="Arial" w:cs="Times New Roman"/>
          <w:sz w:val="24"/>
          <w:szCs w:val="20"/>
          <w:lang w:val="es-ES" w:eastAsia="es-ES"/>
        </w:rPr>
        <w:t>.</w:t>
      </w:r>
    </w:p>
    <w:p w:rsidR="005B7B1F" w:rsidRPr="009C19FC" w:rsidRDefault="005B7B1F"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5B7B1F" w:rsidRPr="009C19FC" w:rsidRDefault="005B7B1F"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 xml:space="preserve">Del Comité Partido por la Democracia, el asesor, señor Reinaldo </w:t>
      </w:r>
      <w:proofErr w:type="spellStart"/>
      <w:r w:rsidRPr="009C19FC">
        <w:rPr>
          <w:rFonts w:ascii="Arial" w:eastAsia="Times New Roman" w:hAnsi="Arial" w:cs="Times New Roman"/>
          <w:sz w:val="24"/>
          <w:szCs w:val="20"/>
          <w:lang w:val="es-ES" w:eastAsia="es-ES"/>
        </w:rPr>
        <w:t>Monardes</w:t>
      </w:r>
      <w:proofErr w:type="spellEnd"/>
      <w:r w:rsidRPr="009C19FC">
        <w:rPr>
          <w:rFonts w:ascii="Arial" w:eastAsia="Times New Roman" w:hAnsi="Arial" w:cs="Times New Roman"/>
          <w:sz w:val="24"/>
          <w:szCs w:val="20"/>
          <w:lang w:val="es-ES" w:eastAsia="es-ES"/>
        </w:rPr>
        <w:t>.</w:t>
      </w: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val="es-ES" w:eastAsia="es-ES"/>
        </w:rPr>
        <w:t>El asesor del Honorable Senador García, señor Tomás Zamora.</w:t>
      </w: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6C2A52" w:rsidRPr="009C19FC" w:rsidRDefault="006C2A52" w:rsidP="00010017">
      <w:pPr>
        <w:tabs>
          <w:tab w:val="left" w:pos="2835"/>
        </w:tabs>
        <w:spacing w:after="0" w:line="240" w:lineRule="auto"/>
        <w:ind w:firstLine="2835"/>
        <w:jc w:val="both"/>
        <w:rPr>
          <w:rFonts w:ascii="Arial" w:eastAsia="Times New Roman" w:hAnsi="Arial" w:cs="Times New Roman"/>
          <w:sz w:val="24"/>
          <w:szCs w:val="20"/>
          <w:lang w:val="es-ES" w:eastAsia="es-ES"/>
        </w:rPr>
      </w:pPr>
      <w:r w:rsidRPr="009C19FC">
        <w:rPr>
          <w:rFonts w:ascii="Arial" w:eastAsia="Times New Roman" w:hAnsi="Arial" w:cs="Times New Roman"/>
          <w:sz w:val="24"/>
          <w:szCs w:val="20"/>
          <w:lang w:eastAsia="es-ES"/>
        </w:rPr>
        <w:t>El asesor del Honorable Senador Coloma, señor Álvaro Pillado.</w:t>
      </w:r>
    </w:p>
    <w:p w:rsidR="00010017" w:rsidRPr="009C19FC" w:rsidRDefault="00010017" w:rsidP="00010017">
      <w:pPr>
        <w:tabs>
          <w:tab w:val="left" w:pos="2835"/>
        </w:tabs>
        <w:spacing w:after="0" w:line="240" w:lineRule="auto"/>
        <w:ind w:firstLine="2835"/>
        <w:jc w:val="both"/>
        <w:rPr>
          <w:rFonts w:ascii="Arial" w:eastAsia="Times New Roman" w:hAnsi="Arial" w:cs="Times New Roman"/>
          <w:sz w:val="24"/>
          <w:szCs w:val="20"/>
          <w:lang w:val="es-ES" w:eastAsia="es-ES"/>
        </w:rPr>
      </w:pPr>
    </w:p>
    <w:p w:rsidR="00010017" w:rsidRPr="009C19FC" w:rsidRDefault="00010017" w:rsidP="00010017">
      <w:pPr>
        <w:tabs>
          <w:tab w:val="left" w:pos="2835"/>
        </w:tabs>
        <w:spacing w:after="0" w:line="240" w:lineRule="auto"/>
        <w:jc w:val="both"/>
        <w:rPr>
          <w:rFonts w:ascii="Arial" w:eastAsia="Calibri" w:hAnsi="Arial" w:cs="Arial"/>
          <w:b/>
          <w:sz w:val="24"/>
          <w:szCs w:val="24"/>
        </w:rPr>
      </w:pPr>
    </w:p>
    <w:p w:rsidR="00010017" w:rsidRPr="009C19FC" w:rsidRDefault="00010017" w:rsidP="00010017">
      <w:pPr>
        <w:tabs>
          <w:tab w:val="left" w:pos="2835"/>
        </w:tabs>
        <w:spacing w:after="0" w:line="240" w:lineRule="auto"/>
        <w:jc w:val="center"/>
        <w:rPr>
          <w:rFonts w:ascii="Arial" w:eastAsia="Calibri" w:hAnsi="Arial" w:cs="Arial"/>
          <w:b/>
          <w:sz w:val="24"/>
          <w:szCs w:val="24"/>
        </w:rPr>
      </w:pPr>
      <w:r w:rsidRPr="009C19FC">
        <w:rPr>
          <w:rFonts w:ascii="Arial" w:eastAsia="Calibri" w:hAnsi="Arial" w:cs="Arial"/>
          <w:b/>
          <w:sz w:val="24"/>
          <w:szCs w:val="24"/>
        </w:rPr>
        <w:t>- - -</w:t>
      </w: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 xml:space="preserve">Cabe hacer presente que la Sala del Senado, en sesión de 4 de marzo de 2015, autorizó </w:t>
      </w:r>
      <w:r w:rsidR="008A3F08" w:rsidRPr="009C19FC">
        <w:rPr>
          <w:rFonts w:ascii="Arial" w:eastAsia="Times New Roman" w:hAnsi="Arial" w:cs="Arial"/>
          <w:sz w:val="24"/>
          <w:szCs w:val="24"/>
          <w:lang w:val="es-ES" w:eastAsia="es-ES"/>
        </w:rPr>
        <w:t xml:space="preserve">la discusión </w:t>
      </w:r>
      <w:r w:rsidRPr="009C19FC">
        <w:rPr>
          <w:rFonts w:ascii="Arial" w:eastAsia="Times New Roman" w:hAnsi="Arial" w:cs="Arial"/>
          <w:sz w:val="24"/>
          <w:szCs w:val="24"/>
          <w:lang w:val="es-ES" w:eastAsia="es-ES"/>
        </w:rPr>
        <w:t xml:space="preserve">en general y en particular </w:t>
      </w:r>
      <w:r w:rsidR="008A3F08" w:rsidRPr="009C19FC">
        <w:rPr>
          <w:rFonts w:ascii="Arial" w:eastAsia="Times New Roman" w:hAnsi="Arial" w:cs="Arial"/>
          <w:sz w:val="24"/>
          <w:szCs w:val="24"/>
          <w:lang w:val="es-ES" w:eastAsia="es-ES"/>
        </w:rPr>
        <w:t xml:space="preserve">de la iniciativa </w:t>
      </w:r>
      <w:r w:rsidRPr="009C19FC">
        <w:rPr>
          <w:rFonts w:ascii="Arial" w:eastAsia="Times New Roman" w:hAnsi="Arial" w:cs="Arial"/>
          <w:sz w:val="24"/>
          <w:szCs w:val="24"/>
          <w:lang w:val="es-ES" w:eastAsia="es-ES"/>
        </w:rPr>
        <w:t xml:space="preserve">en el primer informe. </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lastRenderedPageBreak/>
        <w:tab/>
        <w:t>Posteriormente, con fecha 31 de marzo de 2015, por acuerdo de los Comités del Senado, ratificado por la Sala, se dispuso que el proyecto fuera enviado a la Comisión de Hacienda con el primer informe de la Comisión de Trabajo y Previsión Social.</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En el trámite reglamentario seguido ante la Comisión de Hacienda, en tanto, el Ejecutivo formuló las indicaci</w:t>
      </w:r>
      <w:r w:rsidR="0004658C" w:rsidRPr="009C19FC">
        <w:rPr>
          <w:rFonts w:ascii="Arial" w:eastAsia="Times New Roman" w:hAnsi="Arial" w:cs="Arial"/>
          <w:sz w:val="24"/>
          <w:szCs w:val="24"/>
          <w:lang w:val="es-ES" w:eastAsia="es-ES"/>
        </w:rPr>
        <w:t>ones signadas con los números 1 y 2,</w:t>
      </w:r>
      <w:r w:rsidRPr="009C19FC">
        <w:rPr>
          <w:rFonts w:ascii="Arial" w:eastAsia="Times New Roman" w:hAnsi="Arial" w:cs="Arial"/>
          <w:sz w:val="24"/>
          <w:szCs w:val="24"/>
          <w:lang w:val="es-ES" w:eastAsia="es-ES"/>
        </w:rPr>
        <w:t xml:space="preserve"> de las que se da cuenta oportunamente.</w:t>
      </w:r>
    </w:p>
    <w:p w:rsidR="00010017" w:rsidRPr="009C19FC" w:rsidRDefault="00010017" w:rsidP="00010017">
      <w:pPr>
        <w:tabs>
          <w:tab w:val="left" w:pos="2835"/>
        </w:tabs>
        <w:spacing w:after="0" w:line="240" w:lineRule="auto"/>
        <w:jc w:val="both"/>
        <w:rPr>
          <w:rFonts w:ascii="Arial" w:eastAsia="Times New Roman" w:hAnsi="Arial" w:cs="Arial"/>
          <w:b/>
          <w:sz w:val="24"/>
          <w:szCs w:val="24"/>
          <w:lang w:val="es-ES" w:eastAsia="es-ES"/>
        </w:rPr>
      </w:pPr>
    </w:p>
    <w:p w:rsidR="00280D1D" w:rsidRPr="009C19FC" w:rsidRDefault="00280D1D" w:rsidP="00010017">
      <w:pPr>
        <w:tabs>
          <w:tab w:val="left" w:pos="2835"/>
        </w:tabs>
        <w:spacing w:after="0" w:line="240" w:lineRule="auto"/>
        <w:jc w:val="both"/>
        <w:rPr>
          <w:rFonts w:ascii="Arial" w:eastAsia="Times New Roman" w:hAnsi="Arial" w:cs="Arial"/>
          <w:b/>
          <w:sz w:val="24"/>
          <w:szCs w:val="24"/>
          <w:lang w:val="es-ES" w:eastAsia="es-ES"/>
        </w:rPr>
      </w:pP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 - -</w:t>
      </w:r>
    </w:p>
    <w:p w:rsidR="00010017" w:rsidRPr="009C19FC" w:rsidRDefault="00010017" w:rsidP="00010017">
      <w:pPr>
        <w:tabs>
          <w:tab w:val="left" w:pos="2835"/>
        </w:tabs>
        <w:spacing w:after="0" w:line="240" w:lineRule="auto"/>
        <w:jc w:val="both"/>
        <w:rPr>
          <w:rFonts w:ascii="Arial" w:eastAsia="Times New Roman" w:hAnsi="Arial" w:cs="Arial"/>
          <w:b/>
          <w:sz w:val="24"/>
          <w:szCs w:val="20"/>
          <w:lang w:val="es-ES_tradnl" w:eastAsia="es-ES"/>
        </w:rPr>
      </w:pPr>
      <w:r w:rsidRPr="009C19FC">
        <w:rPr>
          <w:rFonts w:ascii="Arial" w:eastAsia="Times New Roman" w:hAnsi="Arial" w:cs="Arial"/>
          <w:b/>
          <w:sz w:val="24"/>
          <w:szCs w:val="20"/>
          <w:lang w:val="es-ES_tradnl" w:eastAsia="es-ES"/>
        </w:rPr>
        <w:tab/>
      </w: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NORMAS DE QUÓRUM</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La Comisión de Hacienda se remite, al efecto, a lo expresado por la Comisión de Trabajo y Previsión Social en su informe.</w:t>
      </w:r>
    </w:p>
    <w:p w:rsidR="00010017" w:rsidRPr="009C19FC" w:rsidRDefault="00010017" w:rsidP="00010017">
      <w:pPr>
        <w:tabs>
          <w:tab w:val="left" w:pos="2835"/>
        </w:tabs>
        <w:spacing w:after="0" w:line="240" w:lineRule="auto"/>
        <w:jc w:val="both"/>
        <w:rPr>
          <w:rFonts w:ascii="Arial" w:eastAsia="Times New Roman" w:hAnsi="Arial" w:cs="Arial"/>
          <w:b/>
          <w:sz w:val="24"/>
          <w:szCs w:val="24"/>
          <w:lang w:val="es-ES_tradnl" w:eastAsia="es-ES"/>
        </w:rPr>
      </w:pPr>
    </w:p>
    <w:p w:rsidR="005A6127" w:rsidRPr="009C19FC" w:rsidRDefault="005A6127" w:rsidP="005A6127">
      <w:pPr>
        <w:tabs>
          <w:tab w:val="left" w:pos="2835"/>
        </w:tabs>
        <w:spacing w:after="0" w:line="240" w:lineRule="auto"/>
        <w:jc w:val="center"/>
        <w:rPr>
          <w:rFonts w:ascii="Arial" w:eastAsia="Times New Roman" w:hAnsi="Arial" w:cs="Arial"/>
          <w:b/>
          <w:sz w:val="24"/>
          <w:szCs w:val="24"/>
          <w:lang w:val="es-ES_tradnl" w:eastAsia="es-ES"/>
        </w:rPr>
      </w:pPr>
      <w:r w:rsidRPr="009C19FC">
        <w:rPr>
          <w:rFonts w:ascii="Arial" w:eastAsia="Times New Roman" w:hAnsi="Arial" w:cs="Arial"/>
          <w:b/>
          <w:sz w:val="24"/>
          <w:szCs w:val="24"/>
          <w:lang w:val="es-ES_tradnl" w:eastAsia="es-ES"/>
        </w:rPr>
        <w:t>- - -</w:t>
      </w:r>
    </w:p>
    <w:p w:rsidR="00010017" w:rsidRPr="009C19FC" w:rsidRDefault="00010017" w:rsidP="00010017">
      <w:pPr>
        <w:tabs>
          <w:tab w:val="left" w:pos="2835"/>
        </w:tabs>
        <w:spacing w:after="0" w:line="240" w:lineRule="auto"/>
        <w:jc w:val="both"/>
        <w:rPr>
          <w:rFonts w:ascii="Arial" w:eastAsia="Times New Roman" w:hAnsi="Arial" w:cs="Arial"/>
          <w:b/>
          <w:sz w:val="24"/>
          <w:szCs w:val="24"/>
          <w:lang w:val="es-ES_tradnl" w:eastAsia="es-ES"/>
        </w:rPr>
      </w:pPr>
    </w:p>
    <w:p w:rsidR="00280D1D" w:rsidRPr="009C19FC" w:rsidRDefault="00280D1D" w:rsidP="00010017">
      <w:pPr>
        <w:tabs>
          <w:tab w:val="left" w:pos="2835"/>
        </w:tabs>
        <w:spacing w:after="0" w:line="240" w:lineRule="auto"/>
        <w:jc w:val="both"/>
        <w:rPr>
          <w:rFonts w:ascii="Arial" w:eastAsia="Times New Roman" w:hAnsi="Arial" w:cs="Arial"/>
          <w:b/>
          <w:sz w:val="24"/>
          <w:szCs w:val="24"/>
          <w:lang w:val="es-ES_tradnl" w:eastAsia="es-ES"/>
        </w:rPr>
      </w:pP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 xml:space="preserve">DISCUSIÓN </w:t>
      </w:r>
    </w:p>
    <w:p w:rsidR="00010017" w:rsidRPr="009C19FC" w:rsidRDefault="00010017" w:rsidP="00010017">
      <w:pPr>
        <w:tabs>
          <w:tab w:val="left" w:pos="2835"/>
        </w:tabs>
        <w:spacing w:after="0" w:line="240" w:lineRule="auto"/>
        <w:ind w:firstLine="2835"/>
        <w:jc w:val="both"/>
        <w:rPr>
          <w:rFonts w:ascii="Arial" w:eastAsia="MS Mincho" w:hAnsi="Arial" w:cs="Arial"/>
          <w:sz w:val="24"/>
          <w:szCs w:val="24"/>
          <w:lang w:val="es-ES_tradnl" w:eastAsia="es-ES"/>
        </w:rPr>
      </w:pPr>
    </w:p>
    <w:p w:rsidR="00010017" w:rsidRPr="009C19FC" w:rsidRDefault="00010017" w:rsidP="00010017">
      <w:pPr>
        <w:tabs>
          <w:tab w:val="left" w:pos="2835"/>
        </w:tabs>
        <w:spacing w:after="0" w:line="240" w:lineRule="auto"/>
        <w:ind w:firstLine="2835"/>
        <w:jc w:val="both"/>
        <w:rPr>
          <w:rFonts w:ascii="Arial" w:eastAsia="MS Mincho" w:hAnsi="Arial" w:cs="Arial"/>
          <w:sz w:val="24"/>
          <w:szCs w:val="24"/>
          <w:lang w:eastAsia="es-ES"/>
        </w:rPr>
      </w:pPr>
      <w:r w:rsidRPr="009C19FC">
        <w:rPr>
          <w:rFonts w:ascii="Arial" w:eastAsia="MS Mincho" w:hAnsi="Arial" w:cs="Arial"/>
          <w:sz w:val="24"/>
          <w:szCs w:val="24"/>
          <w:lang w:val="es-ES_tradnl" w:eastAsia="es-ES"/>
        </w:rPr>
        <w:t xml:space="preserve">De conformidad con su competencia, la Comisión de Hacienda se pronunció acerca de las siguientes disposiciones del proyecto de ley: numerales 5) y 9) del artículo único, y artículos primero y tercero transitorios. Lo hizo en los términos </w:t>
      </w:r>
      <w:r w:rsidRPr="009C19FC">
        <w:rPr>
          <w:rFonts w:ascii="Arial" w:eastAsia="MS Mincho" w:hAnsi="Arial" w:cs="Arial"/>
          <w:sz w:val="24"/>
          <w:szCs w:val="24"/>
          <w:lang w:eastAsia="es-ES"/>
        </w:rPr>
        <w:t xml:space="preserve">en que fueron aprobados por la Comisión de Trabajo y Previsión Social en su </w:t>
      </w:r>
      <w:r w:rsidRPr="009C19FC">
        <w:rPr>
          <w:rFonts w:ascii="Arial" w:eastAsia="MS Mincho" w:hAnsi="Arial" w:cs="Arial"/>
          <w:bCs/>
          <w:sz w:val="24"/>
          <w:szCs w:val="24"/>
          <w:lang w:val="es-ES" w:eastAsia="es-ES"/>
        </w:rPr>
        <w:t>informe</w:t>
      </w:r>
      <w:r w:rsidRPr="009C19FC">
        <w:rPr>
          <w:rFonts w:ascii="Arial" w:eastAsia="MS Mincho" w:hAnsi="Arial" w:cs="Arial"/>
          <w:sz w:val="24"/>
          <w:szCs w:val="24"/>
          <w:lang w:eastAsia="es-ES"/>
        </w:rPr>
        <w:t xml:space="preserve">, como corresponde de acuerdo con lo dispuesto en el artículo 41 del Reglamento de la Corporación. </w:t>
      </w:r>
    </w:p>
    <w:p w:rsidR="00010017" w:rsidRPr="009C19FC" w:rsidRDefault="00010017" w:rsidP="00010017">
      <w:pPr>
        <w:tabs>
          <w:tab w:val="left" w:pos="2835"/>
        </w:tabs>
        <w:spacing w:after="0" w:line="240" w:lineRule="auto"/>
        <w:ind w:firstLine="2835"/>
        <w:jc w:val="both"/>
        <w:rPr>
          <w:rFonts w:ascii="Arial" w:eastAsia="MS Mincho" w:hAnsi="Arial" w:cs="Arial"/>
          <w:sz w:val="24"/>
          <w:szCs w:val="24"/>
          <w:lang w:eastAsia="es-ES"/>
        </w:rPr>
      </w:pPr>
    </w:p>
    <w:p w:rsidR="00010017" w:rsidRPr="009C19FC" w:rsidRDefault="00010017" w:rsidP="00010017">
      <w:pPr>
        <w:tabs>
          <w:tab w:val="left" w:pos="2835"/>
        </w:tabs>
        <w:spacing w:after="0" w:line="240" w:lineRule="auto"/>
        <w:ind w:firstLine="2835"/>
        <w:jc w:val="both"/>
        <w:rPr>
          <w:rFonts w:ascii="Arial" w:eastAsia="MS Mincho" w:hAnsi="Arial" w:cs="Arial"/>
          <w:sz w:val="24"/>
          <w:szCs w:val="24"/>
          <w:lang w:eastAsia="es-ES"/>
        </w:rPr>
      </w:pPr>
      <w:r w:rsidRPr="009C19FC">
        <w:rPr>
          <w:rFonts w:ascii="Arial" w:eastAsia="MS Mincho" w:hAnsi="Arial" w:cs="Arial"/>
          <w:sz w:val="24"/>
          <w:szCs w:val="24"/>
          <w:lang w:eastAsia="es-ES"/>
        </w:rPr>
        <w:t>Del mismo modo, la Comisión de Hacienda se pronunció sobre las indicaciones formuladas por el Ejecutivo.</w:t>
      </w:r>
    </w:p>
    <w:p w:rsidR="00EE3DF8" w:rsidRPr="009C19FC" w:rsidRDefault="00EE3DF8" w:rsidP="00010017">
      <w:pPr>
        <w:tabs>
          <w:tab w:val="left" w:pos="2835"/>
        </w:tabs>
        <w:spacing w:after="0" w:line="240" w:lineRule="auto"/>
        <w:ind w:firstLine="2835"/>
        <w:jc w:val="both"/>
        <w:rPr>
          <w:rFonts w:ascii="Arial" w:eastAsia="MS Mincho" w:hAnsi="Arial" w:cs="Arial"/>
          <w:sz w:val="24"/>
          <w:szCs w:val="24"/>
          <w:lang w:eastAsia="es-ES"/>
        </w:rPr>
      </w:pPr>
    </w:p>
    <w:p w:rsidR="00EE3DF8" w:rsidRPr="009C19FC" w:rsidRDefault="00EE3DF8" w:rsidP="00010017">
      <w:pPr>
        <w:tabs>
          <w:tab w:val="left" w:pos="2835"/>
        </w:tabs>
        <w:spacing w:after="0" w:line="240" w:lineRule="auto"/>
        <w:ind w:firstLine="2835"/>
        <w:jc w:val="both"/>
        <w:rPr>
          <w:rFonts w:ascii="Arial" w:eastAsia="MS Mincho" w:hAnsi="Arial" w:cs="Arial"/>
          <w:sz w:val="24"/>
          <w:szCs w:val="24"/>
          <w:lang w:eastAsia="es-ES"/>
        </w:rPr>
      </w:pPr>
      <w:r w:rsidRPr="009C19FC">
        <w:rPr>
          <w:rFonts w:ascii="Arial" w:eastAsia="MS Mincho" w:hAnsi="Arial" w:cs="Arial"/>
          <w:sz w:val="24"/>
          <w:szCs w:val="24"/>
          <w:lang w:eastAsia="es-ES"/>
        </w:rPr>
        <w:t>Dichas indicaciones son del siguiente tenor:</w:t>
      </w:r>
    </w:p>
    <w:p w:rsidR="00EE3DF8" w:rsidRPr="009C19FC" w:rsidRDefault="00EE3DF8" w:rsidP="00010017">
      <w:pPr>
        <w:tabs>
          <w:tab w:val="left" w:pos="2835"/>
        </w:tabs>
        <w:spacing w:after="0" w:line="240" w:lineRule="auto"/>
        <w:ind w:firstLine="2835"/>
        <w:jc w:val="both"/>
        <w:rPr>
          <w:rFonts w:ascii="Arial" w:eastAsia="MS Mincho" w:hAnsi="Arial" w:cs="Arial"/>
          <w:sz w:val="24"/>
          <w:szCs w:val="24"/>
          <w:lang w:eastAsia="es-ES"/>
        </w:rPr>
      </w:pPr>
    </w:p>
    <w:p w:rsidR="00EE3DF8" w:rsidRPr="009C19FC" w:rsidRDefault="00EE3DF8" w:rsidP="00010017">
      <w:pPr>
        <w:tabs>
          <w:tab w:val="left" w:pos="2835"/>
        </w:tabs>
        <w:spacing w:after="0" w:line="240" w:lineRule="auto"/>
        <w:ind w:firstLine="2835"/>
        <w:jc w:val="both"/>
        <w:rPr>
          <w:rFonts w:ascii="Arial" w:eastAsia="MS Mincho" w:hAnsi="Arial" w:cs="Arial"/>
          <w:sz w:val="24"/>
          <w:szCs w:val="24"/>
          <w:lang w:eastAsia="es-ES"/>
        </w:rPr>
      </w:pPr>
      <w:r w:rsidRPr="009C19FC">
        <w:rPr>
          <w:rFonts w:ascii="Arial" w:eastAsia="MS Mincho" w:hAnsi="Arial" w:cs="Arial"/>
          <w:sz w:val="24"/>
          <w:szCs w:val="24"/>
          <w:lang w:eastAsia="es-ES"/>
        </w:rPr>
        <w:t xml:space="preserve">La </w:t>
      </w:r>
      <w:r w:rsidRPr="009C19FC">
        <w:rPr>
          <w:rFonts w:ascii="Arial" w:eastAsia="MS Mincho" w:hAnsi="Arial" w:cs="Arial"/>
          <w:b/>
          <w:sz w:val="24"/>
          <w:szCs w:val="24"/>
          <w:lang w:eastAsia="es-ES"/>
        </w:rPr>
        <w:t>indicación número 1</w:t>
      </w:r>
      <w:r w:rsidRPr="009C19FC">
        <w:rPr>
          <w:rFonts w:ascii="Arial" w:eastAsia="MS Mincho" w:hAnsi="Arial" w:cs="Arial"/>
          <w:sz w:val="24"/>
          <w:szCs w:val="24"/>
          <w:lang w:eastAsia="es-ES"/>
        </w:rPr>
        <w:t>, para sustituir el artículo segundo transitorio por el que sigue:</w:t>
      </w:r>
    </w:p>
    <w:p w:rsidR="0004658C" w:rsidRPr="009C19FC" w:rsidRDefault="0004658C" w:rsidP="00010017">
      <w:pPr>
        <w:tabs>
          <w:tab w:val="left" w:pos="2835"/>
        </w:tabs>
        <w:spacing w:after="0" w:line="240" w:lineRule="auto"/>
        <w:ind w:firstLine="2835"/>
        <w:jc w:val="both"/>
        <w:rPr>
          <w:rFonts w:ascii="Arial" w:eastAsia="MS Mincho" w:hAnsi="Arial" w:cs="Arial"/>
          <w:sz w:val="24"/>
          <w:szCs w:val="24"/>
          <w:lang w:eastAsia="es-ES"/>
        </w:rPr>
      </w:pPr>
    </w:p>
    <w:p w:rsidR="0004658C" w:rsidRPr="009C19FC" w:rsidRDefault="0004658C" w:rsidP="0004658C">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Calibri" w:hAnsi="Arial" w:cs="Arial"/>
          <w:sz w:val="24"/>
          <w:szCs w:val="24"/>
        </w:rPr>
        <w:t>“Artículo segundo.-</w:t>
      </w:r>
      <w:r w:rsidRPr="009C19FC">
        <w:rPr>
          <w:rFonts w:ascii="Arial" w:eastAsia="Times New Roman" w:hAnsi="Arial" w:cs="Arial"/>
          <w:sz w:val="24"/>
          <w:szCs w:val="24"/>
          <w:lang w:val="es-ES" w:eastAsia="es-ES"/>
        </w:rPr>
        <w:t xml:space="preserve"> La presente ley entrará en vigencia a contar del día siguiente al de su publicación en el Diario Oficial, salvo en lo que respecta a los numerales 4), 5), 7), 8) y 9) del artículo único que comenzarán a regir el primer día del cuarto mes contado desde dicha publicación.”.</w:t>
      </w:r>
    </w:p>
    <w:p w:rsidR="0004658C" w:rsidRPr="009C19FC" w:rsidRDefault="0004658C" w:rsidP="00010017">
      <w:pPr>
        <w:tabs>
          <w:tab w:val="left" w:pos="2835"/>
        </w:tabs>
        <w:spacing w:after="0" w:line="240" w:lineRule="auto"/>
        <w:ind w:firstLine="2835"/>
        <w:jc w:val="both"/>
        <w:rPr>
          <w:rFonts w:ascii="Arial" w:eastAsia="MS Mincho" w:hAnsi="Arial" w:cs="Arial"/>
          <w:sz w:val="24"/>
          <w:szCs w:val="24"/>
          <w:lang w:eastAsia="es-ES"/>
        </w:rPr>
      </w:pPr>
    </w:p>
    <w:p w:rsidR="00EE3DF8" w:rsidRPr="009C19FC" w:rsidRDefault="00EE3DF8" w:rsidP="00010017">
      <w:pPr>
        <w:tabs>
          <w:tab w:val="left" w:pos="2835"/>
        </w:tabs>
        <w:spacing w:after="0" w:line="240" w:lineRule="auto"/>
        <w:ind w:firstLine="2835"/>
        <w:jc w:val="both"/>
        <w:rPr>
          <w:rFonts w:ascii="Arial" w:eastAsia="MS Mincho" w:hAnsi="Arial" w:cs="Arial"/>
          <w:sz w:val="24"/>
          <w:szCs w:val="24"/>
          <w:lang w:eastAsia="es-ES"/>
        </w:rPr>
      </w:pPr>
      <w:r w:rsidRPr="009C19FC">
        <w:rPr>
          <w:rFonts w:ascii="Arial" w:eastAsia="MS Mincho" w:hAnsi="Arial" w:cs="Arial"/>
          <w:sz w:val="24"/>
          <w:szCs w:val="24"/>
          <w:lang w:eastAsia="es-ES"/>
        </w:rPr>
        <w:t xml:space="preserve">La </w:t>
      </w:r>
      <w:r w:rsidRPr="009C19FC">
        <w:rPr>
          <w:rFonts w:ascii="Arial" w:eastAsia="MS Mincho" w:hAnsi="Arial" w:cs="Arial"/>
          <w:b/>
          <w:sz w:val="24"/>
          <w:szCs w:val="24"/>
          <w:lang w:eastAsia="es-ES"/>
        </w:rPr>
        <w:t>indicación número 2</w:t>
      </w:r>
      <w:r w:rsidRPr="009C19FC">
        <w:rPr>
          <w:rFonts w:ascii="Arial" w:eastAsia="MS Mincho" w:hAnsi="Arial" w:cs="Arial"/>
          <w:sz w:val="24"/>
          <w:szCs w:val="24"/>
          <w:lang w:eastAsia="es-ES"/>
        </w:rPr>
        <w:t>, para intercalar los siguientes artículos tercero, cuarto y quinto transitorios, nuevos, pasando el actual artículo tercero a ser sexto:</w:t>
      </w:r>
    </w:p>
    <w:p w:rsidR="00EE3DF8" w:rsidRPr="009C19FC" w:rsidRDefault="00EE3DF8" w:rsidP="00010017">
      <w:pPr>
        <w:tabs>
          <w:tab w:val="left" w:pos="2835"/>
        </w:tabs>
        <w:spacing w:after="0" w:line="240" w:lineRule="auto"/>
        <w:ind w:firstLine="2835"/>
        <w:jc w:val="both"/>
        <w:rPr>
          <w:rFonts w:ascii="Arial" w:eastAsia="MS Mincho" w:hAnsi="Arial" w:cs="Arial"/>
          <w:sz w:val="24"/>
          <w:szCs w:val="24"/>
          <w:lang w:eastAsia="es-ES"/>
        </w:rPr>
      </w:pPr>
    </w:p>
    <w:p w:rsidR="00EE3DF8" w:rsidRPr="009C19FC" w:rsidRDefault="0004658C" w:rsidP="00EE3DF8">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w:t>
      </w:r>
      <w:r w:rsidR="00EE3DF8" w:rsidRPr="009C19FC">
        <w:rPr>
          <w:rFonts w:ascii="Arial" w:eastAsia="Times New Roman" w:hAnsi="Arial" w:cs="Arial"/>
          <w:sz w:val="24"/>
          <w:szCs w:val="24"/>
          <w:lang w:val="es-ES" w:eastAsia="es-ES"/>
        </w:rPr>
        <w:t xml:space="preserve">Artículo tercero.- Los trabajadores afiliados al Seguro de Cesantía contemplado en la ley N° 19.728, cuyo lugar de trabajo se encontrare dentro de la Región de Atacama o de las comunas de Antofagasta y Taltal, podrán acceder en condiciones especiales a los beneficios que consagra dicha ley cuando se hubiere puesto término a sus </w:t>
      </w:r>
      <w:r w:rsidR="00EE3DF8" w:rsidRPr="009C19FC">
        <w:rPr>
          <w:rFonts w:ascii="Arial" w:eastAsia="Calibri" w:hAnsi="Arial" w:cs="Arial"/>
          <w:sz w:val="24"/>
          <w:szCs w:val="24"/>
        </w:rPr>
        <w:lastRenderedPageBreak/>
        <w:t>respectivos</w:t>
      </w:r>
      <w:r w:rsidR="00EE3DF8" w:rsidRPr="009C19FC">
        <w:rPr>
          <w:rFonts w:ascii="Arial" w:eastAsia="Times New Roman" w:hAnsi="Arial" w:cs="Arial"/>
          <w:sz w:val="24"/>
          <w:szCs w:val="24"/>
          <w:lang w:val="es-ES" w:eastAsia="es-ES"/>
        </w:rPr>
        <w:t xml:space="preserve"> contratos de trabajo entre el 1 de marzo de 2015 y el 31 de agosto del mismo año, ambas fechas inclusive. Para los efectos de acceder al Fondo de Cesantía Solidario, se entenderá que cumple con el requisito exigido en la letra a) del artículo 24 de la ley N° 19.728 quien registre ocho cotizaciones mensuales, continuas o discontinuas, desde la afiliación del trabajador al Seguro o desde que se devengó el último giro a que hubiere tenido derecho, siempre que éstas se hayan registrado en los últimos 24 meses anteriores al término de la relación laboral. En todo caso, el trabajador deberá cumplir con el requisito de las tres últimas cotizaciones continuas con el mismo empleador. El promedio de las remuneraciones devengadas por el trabajador a que se refiere el inciso primero del artículo 25 de la ley N° 19.728 se calculará con las que se hayan devengado en los últimos ocho meses en que se registren cotizaciones anteriores al término de la relación laboral.</w:t>
      </w:r>
    </w:p>
    <w:p w:rsidR="00EE3DF8" w:rsidRPr="009C19FC" w:rsidRDefault="00EE3DF8" w:rsidP="00EE3DF8">
      <w:pPr>
        <w:tabs>
          <w:tab w:val="left" w:pos="4253"/>
        </w:tabs>
        <w:spacing w:after="0" w:line="240" w:lineRule="auto"/>
        <w:ind w:firstLine="2835"/>
        <w:jc w:val="both"/>
        <w:rPr>
          <w:rFonts w:ascii="Arial" w:eastAsia="Times New Roman" w:hAnsi="Arial" w:cs="Arial"/>
          <w:sz w:val="24"/>
          <w:szCs w:val="24"/>
          <w:lang w:val="es-ES" w:eastAsia="es-ES"/>
        </w:rPr>
      </w:pPr>
    </w:p>
    <w:p w:rsidR="00EE3DF8" w:rsidRPr="009C19FC" w:rsidRDefault="00EE3DF8" w:rsidP="00EE3DF8">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 su vez, en estos casos, el requisito establecido en la letra b) del artículo 12 de la ley Nº 19.728 para acceder a prestaciones financiadas con cargo a la Cuenta de Capitalización Individual será de un mínimo de 8 cotizaciones mensuales, continuas o discontinuas, y el promedio de las remuneraciones devengadas por el trabajador a que se refiere el artículo 15 de la citada ley, se calculará con los últimos 8 meses en que se registren cotizaciones anteriores al término de la relación laboral, para aquellos trabajadores que se encuentren contratados con duración indefinida.</w:t>
      </w:r>
    </w:p>
    <w:p w:rsidR="00EE3DF8" w:rsidRPr="009C19FC" w:rsidRDefault="00EE3DF8" w:rsidP="00EE3DF8">
      <w:pPr>
        <w:tabs>
          <w:tab w:val="left" w:pos="4253"/>
        </w:tabs>
        <w:spacing w:after="0" w:line="240" w:lineRule="auto"/>
        <w:ind w:firstLine="2835"/>
        <w:jc w:val="both"/>
        <w:rPr>
          <w:rFonts w:ascii="Arial" w:eastAsia="Times New Roman" w:hAnsi="Arial" w:cs="Arial"/>
          <w:sz w:val="24"/>
          <w:szCs w:val="24"/>
          <w:lang w:val="es-ES" w:eastAsia="es-ES"/>
        </w:rPr>
      </w:pPr>
    </w:p>
    <w:p w:rsidR="00EE3DF8" w:rsidRPr="009C19FC" w:rsidRDefault="00EE3DF8" w:rsidP="00EE3DF8">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Tratándose de trabajadores con contrato a plazo fijo o por obra, trabajo o servicio determinado, el requisito de la letra c) del artículo 12 de la ley Nº 19.728 para acceder a prestaciones financiadas con cargo a la Cuenta de Capitalización Individual será de un mínimo de 4 cotizaciones mensuales, continuas o discontinuas, y el promedio de las remuneraciones devengadas por el trabajador a que se refiere el artículo 15 de la citada ley, se calculará con los últimos 4 meses en que se registren cotizaciones anteriores al término de la relación laboral.</w:t>
      </w:r>
    </w:p>
    <w:p w:rsidR="00EE3DF8" w:rsidRPr="009C19FC" w:rsidRDefault="00EE3DF8" w:rsidP="00EE3DF8">
      <w:pPr>
        <w:tabs>
          <w:tab w:val="left" w:pos="4253"/>
        </w:tabs>
        <w:spacing w:after="0" w:line="240" w:lineRule="auto"/>
        <w:ind w:firstLine="2835"/>
        <w:jc w:val="both"/>
        <w:rPr>
          <w:rFonts w:ascii="Arial" w:eastAsia="Times New Roman" w:hAnsi="Arial" w:cs="Arial"/>
          <w:sz w:val="24"/>
          <w:szCs w:val="24"/>
          <w:lang w:val="es-ES" w:eastAsia="es-ES"/>
        </w:rPr>
      </w:pPr>
    </w:p>
    <w:p w:rsidR="00EE3DF8" w:rsidRPr="009C19FC" w:rsidRDefault="00EE3DF8" w:rsidP="00EE3DF8">
      <w:pPr>
        <w:tabs>
          <w:tab w:val="left" w:pos="4253"/>
        </w:tabs>
        <w:spacing w:after="0" w:line="240" w:lineRule="auto"/>
        <w:ind w:firstLine="2835"/>
        <w:jc w:val="both"/>
        <w:rPr>
          <w:rFonts w:ascii="Arial" w:eastAsia="Times New Roman" w:hAnsi="Arial" w:cs="Arial"/>
          <w:color w:val="000000"/>
          <w:sz w:val="24"/>
          <w:szCs w:val="24"/>
          <w:lang w:val="es-ES" w:eastAsia="es-ES"/>
        </w:rPr>
      </w:pPr>
      <w:r w:rsidRPr="009C19FC">
        <w:rPr>
          <w:rFonts w:ascii="Arial" w:eastAsia="Times New Roman" w:hAnsi="Arial" w:cs="Arial"/>
          <w:sz w:val="24"/>
          <w:szCs w:val="24"/>
          <w:lang w:val="es-ES" w:eastAsia="es-ES"/>
        </w:rPr>
        <w:t xml:space="preserve">Artículo cuarto.- </w:t>
      </w:r>
      <w:r w:rsidRPr="009C19FC">
        <w:rPr>
          <w:rFonts w:ascii="Arial" w:eastAsia="Times New Roman" w:hAnsi="Arial" w:cs="Arial"/>
          <w:color w:val="000000"/>
          <w:sz w:val="24"/>
          <w:szCs w:val="24"/>
          <w:lang w:val="es-ES" w:eastAsia="es-ES"/>
        </w:rPr>
        <w:t>Los trabajadores cuyo lugar de trabajo se encontrare dentro de las zonas a que se refiere el artículo anterior, que perciban un último giro con cargo al Fondo de Cesantía Solidario, en el período comprendido entre el mes de febrero y el mes de agosto de 2015, tendrán derecho a los dos giros adicionales señalados en el artículo 25 de la ley Nº 19.728, sin que sea necesario considerar el requisito de alto desempleo establecido en el inciso tercero del citado artículo 25.</w:t>
      </w:r>
    </w:p>
    <w:p w:rsidR="00EE3DF8" w:rsidRPr="009C19FC" w:rsidRDefault="00EE3DF8" w:rsidP="00EE3DF8">
      <w:pPr>
        <w:tabs>
          <w:tab w:val="left" w:pos="4253"/>
        </w:tabs>
        <w:spacing w:after="0" w:line="240" w:lineRule="auto"/>
        <w:ind w:firstLine="2835"/>
        <w:jc w:val="both"/>
        <w:rPr>
          <w:rFonts w:ascii="Arial" w:eastAsia="Times New Roman" w:hAnsi="Arial" w:cs="Arial"/>
          <w:color w:val="000000"/>
          <w:sz w:val="24"/>
          <w:szCs w:val="24"/>
          <w:lang w:val="es-ES" w:eastAsia="es-ES"/>
        </w:rPr>
      </w:pPr>
    </w:p>
    <w:p w:rsidR="00EE3DF8" w:rsidRPr="009C19FC" w:rsidRDefault="00EE3DF8" w:rsidP="00EE3DF8">
      <w:pPr>
        <w:tabs>
          <w:tab w:val="left" w:pos="4253"/>
        </w:tabs>
        <w:spacing w:after="0" w:line="240" w:lineRule="auto"/>
        <w:ind w:firstLine="2835"/>
        <w:jc w:val="both"/>
        <w:rPr>
          <w:rFonts w:ascii="Arial" w:eastAsia="Times New Roman" w:hAnsi="Arial" w:cs="Arial"/>
          <w:color w:val="000000"/>
          <w:sz w:val="24"/>
          <w:szCs w:val="24"/>
          <w:lang w:val="es-ES" w:eastAsia="es-ES"/>
        </w:rPr>
      </w:pPr>
      <w:r w:rsidRPr="009C19FC">
        <w:rPr>
          <w:rFonts w:ascii="Arial" w:eastAsia="Times New Roman" w:hAnsi="Arial" w:cs="Arial"/>
          <w:sz w:val="24"/>
          <w:szCs w:val="24"/>
          <w:lang w:val="es-ES" w:eastAsia="es-ES"/>
        </w:rPr>
        <w:t>Artículo quinto.-</w:t>
      </w:r>
      <w:r w:rsidRPr="009C19FC">
        <w:rPr>
          <w:rFonts w:ascii="Arial" w:eastAsia="Times New Roman" w:hAnsi="Arial" w:cs="Arial"/>
          <w:b/>
          <w:sz w:val="24"/>
          <w:szCs w:val="24"/>
          <w:lang w:val="es-ES" w:eastAsia="es-ES"/>
        </w:rPr>
        <w:t xml:space="preserve"> </w:t>
      </w:r>
      <w:r w:rsidRPr="009C19FC">
        <w:rPr>
          <w:rFonts w:ascii="Arial" w:eastAsia="Times New Roman" w:hAnsi="Arial" w:cs="Arial"/>
          <w:color w:val="000000"/>
          <w:sz w:val="24"/>
          <w:szCs w:val="24"/>
          <w:lang w:val="es-ES" w:eastAsia="es-ES"/>
        </w:rPr>
        <w:t>Las prestaciones de los artículos segundo y tercero transitorios de la presente ley no se considerarán para la aplicación de la restricción de acceso al Fondo de Cesantía Solidario que contempla el inciso segundo del artículo 24 de la ley Nº 19.728.</w:t>
      </w:r>
    </w:p>
    <w:p w:rsidR="00EE3DF8" w:rsidRPr="009C19FC" w:rsidRDefault="00EE3DF8" w:rsidP="00EE3DF8">
      <w:pPr>
        <w:tabs>
          <w:tab w:val="left" w:pos="4253"/>
        </w:tabs>
        <w:spacing w:after="0" w:line="240" w:lineRule="auto"/>
        <w:ind w:firstLine="2835"/>
        <w:jc w:val="both"/>
        <w:rPr>
          <w:rFonts w:ascii="Arial" w:eastAsia="Times New Roman" w:hAnsi="Arial" w:cs="Arial"/>
          <w:color w:val="000000"/>
          <w:sz w:val="24"/>
          <w:szCs w:val="24"/>
          <w:lang w:val="es-ES" w:eastAsia="es-ES"/>
        </w:rPr>
      </w:pPr>
    </w:p>
    <w:p w:rsidR="00EE3DF8" w:rsidRPr="009C19FC" w:rsidRDefault="00EE3DF8" w:rsidP="00EE3DF8">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color w:val="000000"/>
          <w:sz w:val="24"/>
          <w:szCs w:val="24"/>
          <w:lang w:val="es-ES" w:eastAsia="es-ES"/>
        </w:rPr>
        <w:t>Para los efectos de la obtención de los beneficios que establecen los artículos segundo y tercero transitorio de la presente ley se aplicará lo dispuesto en el artículo 27 de la ley N° 19.728.”.</w:t>
      </w:r>
    </w:p>
    <w:p w:rsidR="00EE3DF8" w:rsidRPr="009C19FC" w:rsidRDefault="00EE3DF8" w:rsidP="00EE3DF8">
      <w:pPr>
        <w:spacing w:after="0" w:line="240" w:lineRule="auto"/>
        <w:ind w:firstLine="2835"/>
        <w:contextualSpacing/>
        <w:jc w:val="both"/>
        <w:rPr>
          <w:rFonts w:ascii="Arial" w:eastAsia="Calibri" w:hAnsi="Arial" w:cs="Arial"/>
          <w:b/>
          <w:sz w:val="24"/>
          <w:szCs w:val="24"/>
        </w:rPr>
      </w:pPr>
    </w:p>
    <w:p w:rsidR="0004658C" w:rsidRPr="009C19FC" w:rsidRDefault="0004658C" w:rsidP="00EE3DF8">
      <w:pPr>
        <w:spacing w:after="0" w:line="240" w:lineRule="auto"/>
        <w:ind w:firstLine="2835"/>
        <w:contextualSpacing/>
        <w:jc w:val="both"/>
        <w:rPr>
          <w:rFonts w:ascii="Arial" w:eastAsia="Calibri" w:hAnsi="Arial" w:cs="Arial"/>
          <w:b/>
          <w:sz w:val="24"/>
          <w:szCs w:val="24"/>
        </w:rPr>
      </w:pPr>
      <w:r w:rsidRPr="009C19FC">
        <w:rPr>
          <w:rFonts w:ascii="Arial" w:eastAsia="Calibri" w:hAnsi="Arial" w:cs="Arial"/>
          <w:b/>
          <w:sz w:val="24"/>
          <w:szCs w:val="24"/>
        </w:rPr>
        <w:lastRenderedPageBreak/>
        <w:t xml:space="preserve">- Puestas en votación las disposiciones de competencia de la Comisión –numerales 5) y 9) del artículo único, y artículos primero y tercero transitorios, resultaron aprobados por la unanimidad de los miembros presentes de la Comisión, Honorables Senadores señores Coloma, García, Montes y Zaldívar. </w:t>
      </w:r>
    </w:p>
    <w:p w:rsidR="0004658C" w:rsidRPr="009C19FC" w:rsidRDefault="0004658C" w:rsidP="00EE3DF8">
      <w:pPr>
        <w:spacing w:after="0" w:line="240" w:lineRule="auto"/>
        <w:ind w:firstLine="2835"/>
        <w:contextualSpacing/>
        <w:jc w:val="both"/>
        <w:rPr>
          <w:rFonts w:ascii="Arial" w:eastAsia="Calibri" w:hAnsi="Arial" w:cs="Arial"/>
          <w:b/>
          <w:sz w:val="24"/>
          <w:szCs w:val="24"/>
        </w:rPr>
      </w:pPr>
    </w:p>
    <w:p w:rsidR="0004658C" w:rsidRPr="009C19FC" w:rsidRDefault="0004658C" w:rsidP="00EE3DF8">
      <w:pPr>
        <w:spacing w:after="0" w:line="240" w:lineRule="auto"/>
        <w:ind w:firstLine="2835"/>
        <w:contextualSpacing/>
        <w:jc w:val="both"/>
        <w:rPr>
          <w:rFonts w:ascii="Arial" w:eastAsia="Calibri" w:hAnsi="Arial" w:cs="Arial"/>
          <w:b/>
          <w:sz w:val="24"/>
          <w:szCs w:val="24"/>
        </w:rPr>
      </w:pPr>
      <w:r w:rsidRPr="009C19FC">
        <w:rPr>
          <w:rFonts w:ascii="Arial" w:eastAsia="Calibri" w:hAnsi="Arial" w:cs="Arial"/>
          <w:b/>
          <w:sz w:val="24"/>
          <w:szCs w:val="24"/>
        </w:rPr>
        <w:t xml:space="preserve">- Puestas en votación las indicaciones formuladas por el Ejecutivo, </w:t>
      </w:r>
      <w:r w:rsidR="0083564E" w:rsidRPr="009C19FC">
        <w:rPr>
          <w:rFonts w:ascii="Arial" w:eastAsia="Calibri" w:hAnsi="Arial" w:cs="Arial"/>
          <w:b/>
          <w:sz w:val="24"/>
          <w:szCs w:val="24"/>
        </w:rPr>
        <w:t xml:space="preserve">en tanto, </w:t>
      </w:r>
      <w:r w:rsidRPr="009C19FC">
        <w:rPr>
          <w:rFonts w:ascii="Arial" w:eastAsia="Calibri" w:hAnsi="Arial" w:cs="Arial"/>
          <w:b/>
          <w:sz w:val="24"/>
          <w:szCs w:val="24"/>
        </w:rPr>
        <w:t xml:space="preserve">la número 1 y los artículos cuarto y quinto transitorios de la número 2 fueron aprobadas </w:t>
      </w:r>
      <w:r w:rsidR="0083564E" w:rsidRPr="009C19FC">
        <w:rPr>
          <w:rFonts w:ascii="Arial" w:eastAsia="Calibri" w:hAnsi="Arial" w:cs="Arial"/>
          <w:b/>
          <w:sz w:val="24"/>
          <w:szCs w:val="24"/>
        </w:rPr>
        <w:t xml:space="preserve">sin enmiendas, mientras el artículo tercero transitorio propuesto por esta última fue aprobada con una enmienda consistente en intercalar en la primera oración de su primer inciso, entre las expresiones “cuyo” y “lugar”, la palabra “último”. En todos los casos, la aprobación se realizó con la </w:t>
      </w:r>
      <w:r w:rsidRPr="009C19FC">
        <w:rPr>
          <w:rFonts w:ascii="Arial" w:eastAsia="Calibri" w:hAnsi="Arial" w:cs="Arial"/>
          <w:b/>
          <w:sz w:val="24"/>
          <w:szCs w:val="24"/>
        </w:rPr>
        <w:t xml:space="preserve">misma unanimidad precedentemente señalada. </w:t>
      </w:r>
    </w:p>
    <w:p w:rsidR="0004658C" w:rsidRPr="009C19FC" w:rsidRDefault="0004658C" w:rsidP="00EE3DF8">
      <w:pPr>
        <w:spacing w:after="0" w:line="240" w:lineRule="auto"/>
        <w:ind w:firstLine="2835"/>
        <w:contextualSpacing/>
        <w:jc w:val="both"/>
        <w:rPr>
          <w:rFonts w:ascii="Arial" w:eastAsia="Calibri" w:hAnsi="Arial" w:cs="Arial"/>
          <w:b/>
          <w:sz w:val="24"/>
          <w:szCs w:val="24"/>
        </w:rPr>
      </w:pPr>
    </w:p>
    <w:p w:rsidR="0083564E" w:rsidRPr="009C19FC" w:rsidRDefault="0083564E" w:rsidP="00EE3DF8">
      <w:pPr>
        <w:spacing w:after="0" w:line="240" w:lineRule="auto"/>
        <w:ind w:firstLine="2835"/>
        <w:contextualSpacing/>
        <w:jc w:val="both"/>
        <w:rPr>
          <w:rFonts w:ascii="Arial" w:eastAsia="Calibri" w:hAnsi="Arial" w:cs="Arial"/>
          <w:b/>
          <w:sz w:val="24"/>
          <w:szCs w:val="24"/>
        </w:rPr>
      </w:pPr>
      <w:r w:rsidRPr="009C19FC">
        <w:rPr>
          <w:rFonts w:ascii="Arial" w:eastAsia="Calibri" w:hAnsi="Arial" w:cs="Arial"/>
          <w:b/>
          <w:sz w:val="24"/>
          <w:szCs w:val="24"/>
        </w:rPr>
        <w:t>Cabe señalar, finalmente, que en virtud de la aprobación de la indicación número 2, el artículo tercero transitorio aprobado por la Comisión de Trabajo y Previsión Social pasó a ser artículo sexto transitorio, sin enmiendas.</w:t>
      </w:r>
    </w:p>
    <w:p w:rsidR="00010017" w:rsidRPr="009C19FC" w:rsidRDefault="00010017" w:rsidP="00010017">
      <w:pPr>
        <w:tabs>
          <w:tab w:val="left" w:pos="2835"/>
        </w:tabs>
        <w:spacing w:after="0" w:line="240" w:lineRule="auto"/>
        <w:jc w:val="center"/>
        <w:rPr>
          <w:rFonts w:ascii="Arial" w:eastAsia="Calibri" w:hAnsi="Arial" w:cs="Arial"/>
          <w:b/>
          <w:sz w:val="24"/>
          <w:szCs w:val="24"/>
          <w:lang w:val="es-ES_tradnl"/>
        </w:rPr>
      </w:pPr>
    </w:p>
    <w:p w:rsidR="00010017" w:rsidRPr="009C19FC" w:rsidRDefault="00010017" w:rsidP="00010017">
      <w:pPr>
        <w:tabs>
          <w:tab w:val="left" w:pos="2880"/>
        </w:tabs>
        <w:spacing w:after="0" w:line="240" w:lineRule="auto"/>
        <w:jc w:val="center"/>
        <w:rPr>
          <w:rFonts w:ascii="Arial" w:eastAsia="Times New Roman" w:hAnsi="Arial" w:cs="Times New Roman"/>
          <w:b/>
          <w:spacing w:val="6"/>
          <w:sz w:val="24"/>
          <w:szCs w:val="20"/>
          <w:lang w:eastAsia="es-ES"/>
        </w:rPr>
      </w:pPr>
    </w:p>
    <w:p w:rsidR="00010017" w:rsidRPr="009C19FC" w:rsidRDefault="00010017" w:rsidP="00010017">
      <w:pPr>
        <w:spacing w:after="0" w:line="240" w:lineRule="auto"/>
        <w:jc w:val="center"/>
        <w:rPr>
          <w:rFonts w:ascii="Arial" w:eastAsia="Times New Roman" w:hAnsi="Arial" w:cs="Arial"/>
          <w:b/>
          <w:sz w:val="24"/>
          <w:szCs w:val="20"/>
          <w:lang w:val="es-ES_tradnl" w:eastAsia="es-ES"/>
        </w:rPr>
      </w:pPr>
      <w:r w:rsidRPr="009C19FC">
        <w:rPr>
          <w:rFonts w:ascii="Arial" w:eastAsia="Times New Roman" w:hAnsi="Arial" w:cs="Arial"/>
          <w:b/>
          <w:sz w:val="24"/>
          <w:szCs w:val="20"/>
          <w:lang w:val="es-ES_tradnl" w:eastAsia="es-ES"/>
        </w:rPr>
        <w:t>- - -</w:t>
      </w:r>
    </w:p>
    <w:p w:rsidR="00010017" w:rsidRPr="009C19FC" w:rsidRDefault="00010017" w:rsidP="00010017">
      <w:pPr>
        <w:spacing w:after="0" w:line="240" w:lineRule="auto"/>
        <w:ind w:firstLine="2760"/>
        <w:jc w:val="both"/>
        <w:rPr>
          <w:rFonts w:ascii="Arial" w:eastAsia="Times New Roman" w:hAnsi="Arial" w:cs="Arial"/>
          <w:sz w:val="24"/>
          <w:szCs w:val="20"/>
          <w:lang w:val="es-ES_tradnl" w:eastAsia="es-ES"/>
        </w:rPr>
      </w:pPr>
    </w:p>
    <w:p w:rsidR="00010017" w:rsidRPr="009C19FC" w:rsidRDefault="00010017" w:rsidP="00010017">
      <w:pPr>
        <w:spacing w:after="0" w:line="240" w:lineRule="auto"/>
        <w:ind w:firstLine="2760"/>
        <w:jc w:val="both"/>
        <w:rPr>
          <w:rFonts w:ascii="Arial" w:eastAsia="Times New Roman" w:hAnsi="Arial" w:cs="Arial"/>
          <w:sz w:val="24"/>
          <w:szCs w:val="20"/>
          <w:lang w:val="es-ES_tradnl" w:eastAsia="es-ES"/>
        </w:rPr>
      </w:pPr>
    </w:p>
    <w:p w:rsidR="00010017" w:rsidRPr="009C19FC" w:rsidRDefault="00010017" w:rsidP="00010017">
      <w:pPr>
        <w:keepNext/>
        <w:tabs>
          <w:tab w:val="left" w:pos="2835"/>
        </w:tabs>
        <w:spacing w:after="0" w:line="240" w:lineRule="auto"/>
        <w:jc w:val="center"/>
        <w:outlineLvl w:val="3"/>
        <w:rPr>
          <w:rFonts w:ascii="Arial" w:eastAsia="Times New Roman" w:hAnsi="Arial" w:cs="Times New Roman"/>
          <w:b/>
          <w:sz w:val="24"/>
          <w:szCs w:val="20"/>
          <w:lang w:val="es-ES_tradnl" w:eastAsia="es-ES"/>
        </w:rPr>
      </w:pPr>
      <w:r w:rsidRPr="009C19FC">
        <w:rPr>
          <w:rFonts w:ascii="Arial" w:eastAsia="Times New Roman" w:hAnsi="Arial" w:cs="Times New Roman"/>
          <w:b/>
          <w:sz w:val="24"/>
          <w:szCs w:val="20"/>
          <w:lang w:val="es-ES_tradnl" w:eastAsia="es-ES"/>
        </w:rPr>
        <w:t>INFORME FINANCIERO</w:t>
      </w: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val="es-ES_tradnl" w:eastAsia="es-ES"/>
        </w:rPr>
      </w:pPr>
    </w:p>
    <w:p w:rsidR="00280D1D" w:rsidRPr="009C19FC" w:rsidRDefault="00010017" w:rsidP="00010017">
      <w:pPr>
        <w:tabs>
          <w:tab w:val="left" w:pos="2835"/>
        </w:tabs>
        <w:spacing w:after="0" w:line="240" w:lineRule="auto"/>
        <w:jc w:val="both"/>
        <w:rPr>
          <w:rFonts w:ascii="Arial" w:eastAsia="Times New Roman" w:hAnsi="Arial" w:cs="Times New Roman"/>
          <w:sz w:val="24"/>
          <w:szCs w:val="20"/>
          <w:lang w:val="es-ES_tradnl" w:eastAsia="es-ES"/>
        </w:rPr>
      </w:pPr>
      <w:r w:rsidRPr="009C19FC">
        <w:rPr>
          <w:rFonts w:ascii="Arial" w:eastAsia="Times New Roman" w:hAnsi="Arial" w:cs="Times New Roman"/>
          <w:sz w:val="24"/>
          <w:szCs w:val="20"/>
          <w:lang w:val="es-ES_tradnl" w:eastAsia="es-ES"/>
        </w:rPr>
        <w:tab/>
      </w:r>
      <w:r w:rsidR="008A3F08" w:rsidRPr="009C19FC">
        <w:rPr>
          <w:rFonts w:ascii="Arial" w:eastAsia="Times New Roman" w:hAnsi="Arial" w:cs="Times New Roman"/>
          <w:sz w:val="24"/>
          <w:szCs w:val="20"/>
          <w:lang w:val="es-ES_tradnl" w:eastAsia="es-ES"/>
        </w:rPr>
        <w:t>Con fecha 15 de octubre de 2010, la D</w:t>
      </w:r>
      <w:r w:rsidRPr="009C19FC">
        <w:rPr>
          <w:rFonts w:ascii="Arial" w:eastAsia="Times New Roman" w:hAnsi="Arial" w:cs="Times New Roman"/>
          <w:sz w:val="24"/>
          <w:szCs w:val="20"/>
          <w:lang w:val="es-ES_tradnl" w:eastAsia="es-ES"/>
        </w:rPr>
        <w:t>irección de Presupuestos</w:t>
      </w:r>
      <w:r w:rsidR="008A3F08" w:rsidRPr="009C19FC">
        <w:rPr>
          <w:rFonts w:ascii="Arial" w:eastAsia="Times New Roman" w:hAnsi="Arial" w:cs="Times New Roman"/>
          <w:sz w:val="24"/>
          <w:szCs w:val="20"/>
          <w:lang w:val="es-ES_tradnl" w:eastAsia="es-ES"/>
        </w:rPr>
        <w:t xml:space="preserve"> emitió el Informe Financiero correspondiente al proyecto de ley </w:t>
      </w:r>
      <w:r w:rsidR="00280D1D" w:rsidRPr="009C19FC">
        <w:rPr>
          <w:rFonts w:ascii="Arial" w:eastAsia="Times New Roman" w:hAnsi="Arial" w:cs="Times New Roman"/>
          <w:sz w:val="24"/>
          <w:szCs w:val="20"/>
          <w:lang w:val="es-ES_tradnl" w:eastAsia="es-ES"/>
        </w:rPr>
        <w:t>original presentado por el Ejecutivo de la época. Señala lo siguiente:</w:t>
      </w: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val="es-ES_tradnl" w:eastAsia="es-ES"/>
        </w:rPr>
      </w:pPr>
      <w:r w:rsidRPr="009C19FC">
        <w:rPr>
          <w:rFonts w:ascii="Arial" w:eastAsia="Times New Roman" w:hAnsi="Arial" w:cs="Times New Roman"/>
          <w:sz w:val="24"/>
          <w:szCs w:val="20"/>
          <w:lang w:val="es-ES_tradnl" w:eastAsia="es-ES"/>
        </w:rPr>
        <w:t xml:space="preserve"> </w:t>
      </w:r>
    </w:p>
    <w:p w:rsidR="00280D1D" w:rsidRPr="009C19FC" w:rsidRDefault="00280D1D" w:rsidP="00280D1D">
      <w:pPr>
        <w:widowControl w:val="0"/>
        <w:spacing w:after="0" w:line="240" w:lineRule="auto"/>
        <w:ind w:firstLine="2835"/>
        <w:rPr>
          <w:rFonts w:ascii="Arial" w:eastAsia="Tahoma" w:hAnsi="Arial" w:cs="Arial"/>
          <w:b/>
          <w:color w:val="000000"/>
          <w:sz w:val="24"/>
          <w:szCs w:val="24"/>
          <w:lang w:val="es-ES" w:eastAsia="es-ES" w:bidi="es-ES"/>
        </w:rPr>
      </w:pPr>
      <w:r w:rsidRPr="009C19FC">
        <w:rPr>
          <w:rFonts w:ascii="Arial" w:eastAsia="Tahoma" w:hAnsi="Arial" w:cs="Arial"/>
          <w:color w:val="000000"/>
          <w:sz w:val="24"/>
          <w:szCs w:val="24"/>
          <w:lang w:val="es-ES" w:eastAsia="es-ES" w:bidi="es-ES"/>
        </w:rPr>
        <w:t>“</w:t>
      </w:r>
      <w:r w:rsidRPr="009C19FC">
        <w:rPr>
          <w:rFonts w:ascii="Arial" w:eastAsia="Tahoma" w:hAnsi="Arial" w:cs="Arial"/>
          <w:b/>
          <w:color w:val="000000"/>
          <w:sz w:val="24"/>
          <w:szCs w:val="24"/>
          <w:lang w:val="es-ES" w:eastAsia="es-ES" w:bidi="es-ES"/>
        </w:rPr>
        <w:t>I. Antecedentes</w:t>
      </w:r>
    </w:p>
    <w:p w:rsidR="00280D1D" w:rsidRPr="009C19FC" w:rsidRDefault="00280D1D" w:rsidP="00280D1D">
      <w:pPr>
        <w:widowControl w:val="0"/>
        <w:spacing w:after="0" w:line="240" w:lineRule="auto"/>
        <w:ind w:firstLine="2835"/>
        <w:rPr>
          <w:rFonts w:ascii="Arial" w:eastAsia="Tahoma" w:hAnsi="Arial" w:cs="Arial"/>
          <w:color w:val="000000"/>
          <w:sz w:val="24"/>
          <w:szCs w:val="24"/>
          <w:lang w:val="es-ES" w:eastAsia="es-ES" w:bidi="es-ES"/>
        </w:rPr>
      </w:pPr>
    </w:p>
    <w:p w:rsidR="00280D1D" w:rsidRPr="009C19FC" w:rsidRDefault="00280D1D" w:rsidP="00280D1D">
      <w:pPr>
        <w:widowControl w:val="0"/>
        <w:spacing w:after="0" w:line="240" w:lineRule="auto"/>
        <w:ind w:firstLine="2835"/>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1. El proyecto de ley tiene por objeto perfeccionar el funcionamiento del seguro de cesantía establecido en la Ley N° 19.728.</w:t>
      </w:r>
    </w:p>
    <w:p w:rsidR="00280D1D" w:rsidRPr="009C19FC" w:rsidRDefault="00280D1D" w:rsidP="00280D1D">
      <w:pPr>
        <w:widowControl w:val="0"/>
        <w:spacing w:after="0" w:line="240" w:lineRule="auto"/>
        <w:ind w:firstLine="2835"/>
        <w:rPr>
          <w:rFonts w:ascii="Arial" w:eastAsia="Tahoma" w:hAnsi="Arial" w:cs="Arial"/>
          <w:color w:val="000000"/>
          <w:sz w:val="24"/>
          <w:szCs w:val="24"/>
          <w:lang w:val="es-ES" w:eastAsia="es-ES" w:bidi="es-ES"/>
        </w:rPr>
      </w:pPr>
    </w:p>
    <w:p w:rsidR="00280D1D" w:rsidRPr="009C19FC" w:rsidRDefault="00280D1D" w:rsidP="00280D1D">
      <w:pPr>
        <w:widowControl w:val="0"/>
        <w:spacing w:after="0" w:line="240" w:lineRule="auto"/>
        <w:ind w:firstLine="2835"/>
        <w:rPr>
          <w:rFonts w:ascii="Arial" w:eastAsia="Tahoma" w:hAnsi="Arial" w:cs="Arial"/>
          <w:sz w:val="24"/>
          <w:szCs w:val="24"/>
        </w:rPr>
      </w:pPr>
      <w:r w:rsidRPr="009C19FC">
        <w:rPr>
          <w:rFonts w:ascii="Arial" w:eastAsia="Tahoma" w:hAnsi="Arial" w:cs="Arial"/>
          <w:color w:val="000000"/>
          <w:sz w:val="24"/>
          <w:szCs w:val="24"/>
          <w:lang w:val="es-ES" w:eastAsia="es-ES" w:bidi="es-ES"/>
        </w:rPr>
        <w:t>2. De esta manera, el proyecto de ley propone las siguientes reformas al seguro de cesantía de la ley N° 19.728:</w:t>
      </w:r>
    </w:p>
    <w:p w:rsidR="00280D1D" w:rsidRPr="009C19FC" w:rsidRDefault="00280D1D" w:rsidP="00280D1D">
      <w:pPr>
        <w:widowControl w:val="0"/>
        <w:tabs>
          <w:tab w:val="left" w:pos="852"/>
        </w:tabs>
        <w:spacing w:after="0" w:line="240" w:lineRule="auto"/>
        <w:ind w:firstLine="2835"/>
        <w:jc w:val="both"/>
        <w:rPr>
          <w:rFonts w:ascii="Arial" w:eastAsia="Tahoma" w:hAnsi="Arial" w:cs="Arial"/>
          <w:color w:val="000000"/>
          <w:sz w:val="24"/>
          <w:szCs w:val="24"/>
          <w:lang w:val="es-ES" w:eastAsia="es-ES" w:bidi="es-ES"/>
        </w:rPr>
      </w:pPr>
    </w:p>
    <w:p w:rsidR="00280D1D" w:rsidRPr="009C19FC" w:rsidRDefault="00280D1D" w:rsidP="00280D1D">
      <w:pPr>
        <w:widowControl w:val="0"/>
        <w:tabs>
          <w:tab w:val="left" w:pos="852"/>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a. Se incrementan las tasas de reemplazo de los beneficios financiados tanto con el saldo de la Cuenta Individual por Cesantía, como con el Fondo de Cesantía Solidario, para los primeros tres giros a que tengan derecho los trabajadores, pasando desde 50%, 45% y 40%, a 70%, 55% y 45%, respectivamente.</w:t>
      </w:r>
    </w:p>
    <w:p w:rsidR="00280D1D" w:rsidRPr="009C19FC" w:rsidRDefault="00280D1D" w:rsidP="00280D1D">
      <w:pPr>
        <w:widowControl w:val="0"/>
        <w:tabs>
          <w:tab w:val="left" w:pos="852"/>
        </w:tabs>
        <w:spacing w:after="0" w:line="240" w:lineRule="auto"/>
        <w:ind w:firstLine="2835"/>
        <w:jc w:val="both"/>
        <w:rPr>
          <w:rFonts w:ascii="Arial" w:eastAsia="Tahoma" w:hAnsi="Arial" w:cs="Arial"/>
          <w:sz w:val="24"/>
          <w:szCs w:val="24"/>
        </w:rPr>
      </w:pPr>
    </w:p>
    <w:p w:rsidR="00280D1D" w:rsidRPr="009C19FC" w:rsidRDefault="00280D1D" w:rsidP="00280D1D">
      <w:pPr>
        <w:widowControl w:val="0"/>
        <w:tabs>
          <w:tab w:val="left" w:pos="852"/>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b. Respecto de la Cuenta Individual por Cesantía, se incrementa la tasa de reemplazo para el giro correspondiente al séptimo mes o superior, desde un 20% a un 25%. Lo anterior, para homologarla a la tasa de reemplazo del Fondo de Cesantía Solidario.</w:t>
      </w:r>
    </w:p>
    <w:p w:rsidR="00280D1D" w:rsidRPr="009C19FC" w:rsidRDefault="00280D1D" w:rsidP="00280D1D">
      <w:pPr>
        <w:widowControl w:val="0"/>
        <w:tabs>
          <w:tab w:val="left" w:pos="852"/>
        </w:tabs>
        <w:spacing w:after="0" w:line="240" w:lineRule="auto"/>
        <w:ind w:firstLine="2835"/>
        <w:jc w:val="both"/>
        <w:rPr>
          <w:rFonts w:ascii="Arial" w:eastAsia="Tahoma" w:hAnsi="Arial" w:cs="Arial"/>
          <w:sz w:val="24"/>
          <w:szCs w:val="24"/>
        </w:rPr>
      </w:pPr>
    </w:p>
    <w:p w:rsidR="00280D1D" w:rsidRPr="009C19FC" w:rsidRDefault="00280D1D" w:rsidP="00280D1D">
      <w:pPr>
        <w:widowControl w:val="0"/>
        <w:tabs>
          <w:tab w:val="left" w:pos="852"/>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 xml:space="preserve">c. Se incrementan los valores superiores e inferiores de los beneficios con cargo al Fondo de Cesantía Solidario, señalados en el artículo 25 de la Ley N° 19.728: para el primer giro, desde </w:t>
      </w:r>
      <w:r w:rsidRPr="009C19FC">
        <w:rPr>
          <w:rFonts w:ascii="Arial" w:eastAsia="Tahoma" w:hAnsi="Arial" w:cs="Arial"/>
          <w:color w:val="000000"/>
          <w:sz w:val="24"/>
          <w:szCs w:val="24"/>
          <w:lang w:val="es-ES" w:eastAsia="es-ES" w:bidi="es-ES"/>
        </w:rPr>
        <w:lastRenderedPageBreak/>
        <w:t>$234.794 a $525.000 el límite superior, y desde $108.747 a $147.000 el límite inferior.</w:t>
      </w:r>
    </w:p>
    <w:p w:rsidR="00280D1D" w:rsidRPr="009C19FC" w:rsidRDefault="00280D1D" w:rsidP="00280D1D">
      <w:pPr>
        <w:widowControl w:val="0"/>
        <w:tabs>
          <w:tab w:val="left" w:pos="852"/>
        </w:tabs>
        <w:spacing w:after="0" w:line="240" w:lineRule="auto"/>
        <w:ind w:firstLine="2835"/>
        <w:jc w:val="both"/>
        <w:rPr>
          <w:rFonts w:ascii="Arial" w:eastAsia="Tahoma" w:hAnsi="Arial" w:cs="Arial"/>
          <w:sz w:val="24"/>
          <w:szCs w:val="24"/>
        </w:rPr>
      </w:pPr>
    </w:p>
    <w:p w:rsidR="00280D1D" w:rsidRPr="009C19FC" w:rsidRDefault="00280D1D" w:rsidP="00280D1D">
      <w:pPr>
        <w:widowControl w:val="0"/>
        <w:tabs>
          <w:tab w:val="left" w:pos="852"/>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d. Se financian las cotizaciones previsionales de pensiones de aquellos trabajadores que tengan derecho y hayan optado por percibir beneficios con cargo al Fondo de Cesantía Solidario. Dichas cotizaciones serán calculadas en función del monto de la prestación por cesantía a que tenga derecho el trabajador en el mes correspondiente, independiente de si esa prestación es financiada con cargo a la Cuenta Individual o al Fondo de Cesantía Solidario y sólo surtirán efecto para la obtención de los beneficios que establece el sistema de pensiones del D.L. N° 3.500. El financiamiento consistirá en el pago de la cotización del 10 % para pensiones y de la cotización para el seguro de invalidez y sobrevivencia. Estas cotizaciones no estarán afectas al pago de comisiones a las administradoras de fondos de pensiones.</w:t>
      </w:r>
    </w:p>
    <w:p w:rsidR="00280D1D" w:rsidRPr="009C19FC" w:rsidRDefault="00280D1D" w:rsidP="00280D1D">
      <w:pPr>
        <w:widowControl w:val="0"/>
        <w:tabs>
          <w:tab w:val="left" w:pos="852"/>
        </w:tabs>
        <w:spacing w:after="0" w:line="240" w:lineRule="auto"/>
        <w:ind w:firstLine="2835"/>
        <w:jc w:val="both"/>
        <w:rPr>
          <w:rFonts w:ascii="Arial" w:eastAsia="Tahoma" w:hAnsi="Arial" w:cs="Arial"/>
          <w:sz w:val="24"/>
          <w:szCs w:val="24"/>
        </w:rPr>
      </w:pPr>
    </w:p>
    <w:p w:rsidR="00280D1D" w:rsidRPr="009C19FC" w:rsidRDefault="00280D1D" w:rsidP="00280D1D">
      <w:pPr>
        <w:widowControl w:val="0"/>
        <w:tabs>
          <w:tab w:val="left" w:pos="852"/>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e. Se flexibiliza la restricción del número de accesos al Fondo de Cesantía Solidario, pasando de 2 veces en 5 años, a 10 pagos en 6 años.</w:t>
      </w:r>
    </w:p>
    <w:p w:rsidR="00280D1D" w:rsidRPr="009C19FC" w:rsidRDefault="00280D1D" w:rsidP="00280D1D">
      <w:pPr>
        <w:widowControl w:val="0"/>
        <w:tabs>
          <w:tab w:val="left" w:pos="852"/>
        </w:tabs>
        <w:spacing w:after="0" w:line="240" w:lineRule="auto"/>
        <w:ind w:firstLine="2835"/>
        <w:jc w:val="both"/>
        <w:rPr>
          <w:rFonts w:ascii="Arial" w:eastAsia="Tahoma" w:hAnsi="Arial" w:cs="Arial"/>
          <w:sz w:val="24"/>
          <w:szCs w:val="24"/>
        </w:rPr>
      </w:pPr>
    </w:p>
    <w:p w:rsidR="00280D1D" w:rsidRPr="009C19FC" w:rsidRDefault="00280D1D" w:rsidP="00280D1D">
      <w:pPr>
        <w:widowControl w:val="0"/>
        <w:tabs>
          <w:tab w:val="left" w:pos="850"/>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f. Se elimina la disposición actual que establece la posibilidad de hacer un último giro desde la Cuenta Individual por Cesantía, correspondiente al mes en que el trabajador dejó de ser cesante.</w:t>
      </w:r>
    </w:p>
    <w:p w:rsidR="00280D1D" w:rsidRPr="009C19FC" w:rsidRDefault="00280D1D" w:rsidP="00280D1D">
      <w:pPr>
        <w:widowControl w:val="0"/>
        <w:tabs>
          <w:tab w:val="left" w:pos="850"/>
        </w:tabs>
        <w:spacing w:after="0" w:line="240" w:lineRule="auto"/>
        <w:ind w:firstLine="2835"/>
        <w:jc w:val="both"/>
        <w:rPr>
          <w:rFonts w:ascii="Arial" w:eastAsia="Tahoma" w:hAnsi="Arial" w:cs="Arial"/>
          <w:sz w:val="24"/>
          <w:szCs w:val="24"/>
        </w:rPr>
      </w:pPr>
    </w:p>
    <w:p w:rsidR="00280D1D" w:rsidRPr="009C19FC" w:rsidRDefault="00280D1D" w:rsidP="00280D1D">
      <w:pPr>
        <w:widowControl w:val="0"/>
        <w:tabs>
          <w:tab w:val="left" w:pos="850"/>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g. Se modifica la fecha de reajuste de los valores superiores e inferiores de las prestaciones con cargo al Fondo Solidario, desde febrero a marzo de cada año, considerando que durante los primeros días de febrero no está disponible el valor del índice de Remuneraciones Reales.</w:t>
      </w:r>
    </w:p>
    <w:p w:rsidR="00280D1D" w:rsidRPr="009C19FC" w:rsidRDefault="00280D1D" w:rsidP="00280D1D">
      <w:pPr>
        <w:widowControl w:val="0"/>
        <w:tabs>
          <w:tab w:val="left" w:pos="850"/>
        </w:tabs>
        <w:spacing w:after="0" w:line="240" w:lineRule="auto"/>
        <w:ind w:firstLine="2835"/>
        <w:jc w:val="both"/>
        <w:rPr>
          <w:rFonts w:ascii="Arial" w:eastAsia="Tahoma" w:hAnsi="Arial" w:cs="Arial"/>
          <w:sz w:val="24"/>
          <w:szCs w:val="24"/>
          <w:lang w:val="es-ES"/>
        </w:rPr>
      </w:pPr>
    </w:p>
    <w:p w:rsidR="00280D1D" w:rsidRPr="009C19FC" w:rsidRDefault="00280D1D" w:rsidP="00280D1D">
      <w:pPr>
        <w:widowControl w:val="0"/>
        <w:spacing w:after="0" w:line="240" w:lineRule="auto"/>
        <w:ind w:firstLine="2835"/>
        <w:jc w:val="both"/>
        <w:rPr>
          <w:rFonts w:ascii="Arial" w:eastAsia="Tahoma" w:hAnsi="Arial" w:cs="Arial"/>
          <w:b/>
          <w:bCs/>
          <w:color w:val="000000"/>
          <w:sz w:val="24"/>
          <w:szCs w:val="24"/>
          <w:lang w:val="es-ES" w:eastAsia="es-ES" w:bidi="es-ES"/>
        </w:rPr>
      </w:pPr>
      <w:r w:rsidRPr="009C19FC">
        <w:rPr>
          <w:rFonts w:ascii="Arial" w:eastAsia="Tahoma" w:hAnsi="Arial" w:cs="Arial"/>
          <w:b/>
          <w:bCs/>
          <w:color w:val="000000"/>
          <w:sz w:val="24"/>
          <w:szCs w:val="24"/>
          <w:lang w:val="es-ES" w:eastAsia="es-ES" w:bidi="es-ES"/>
        </w:rPr>
        <w:t>II. Efecto del Proyecto sobre el Presupuesto Fiscal.</w:t>
      </w:r>
    </w:p>
    <w:p w:rsidR="00280D1D" w:rsidRPr="009C19FC" w:rsidRDefault="00280D1D" w:rsidP="00280D1D">
      <w:pPr>
        <w:widowControl w:val="0"/>
        <w:spacing w:after="0" w:line="240" w:lineRule="auto"/>
        <w:ind w:firstLine="2835"/>
        <w:jc w:val="both"/>
        <w:rPr>
          <w:rFonts w:ascii="Arial" w:eastAsia="Tahoma" w:hAnsi="Arial" w:cs="Arial"/>
          <w:b/>
          <w:bCs/>
          <w:sz w:val="24"/>
          <w:szCs w:val="24"/>
        </w:rPr>
      </w:pPr>
    </w:p>
    <w:p w:rsidR="00280D1D" w:rsidRPr="009C19FC" w:rsidRDefault="00280D1D" w:rsidP="00280D1D">
      <w:pPr>
        <w:widowControl w:val="0"/>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 xml:space="preserve">Las modificaciones al Seguro de Cesantía presentadas en el presente proyecto </w:t>
      </w:r>
      <w:r w:rsidRPr="009C19FC">
        <w:rPr>
          <w:rFonts w:ascii="Arial" w:eastAsia="Tahoma" w:hAnsi="Arial" w:cs="Arial"/>
          <w:b/>
          <w:bCs/>
          <w:color w:val="000000"/>
          <w:sz w:val="24"/>
          <w:szCs w:val="24"/>
          <w:shd w:val="clear" w:color="auto" w:fill="FFFFFF"/>
          <w:lang w:val="es-ES" w:eastAsia="es-ES" w:bidi="es-ES"/>
        </w:rPr>
        <w:t xml:space="preserve">de ley </w:t>
      </w:r>
      <w:r w:rsidRPr="009C19FC">
        <w:rPr>
          <w:rFonts w:ascii="Arial" w:eastAsia="Tahoma" w:hAnsi="Arial" w:cs="Arial"/>
          <w:color w:val="000000"/>
          <w:sz w:val="24"/>
          <w:szCs w:val="24"/>
          <w:lang w:val="es-ES" w:eastAsia="es-ES" w:bidi="es-ES"/>
        </w:rPr>
        <w:t>no implican mayor gasto fiscal.</w:t>
      </w:r>
    </w:p>
    <w:p w:rsidR="00280D1D" w:rsidRPr="009C19FC" w:rsidRDefault="00280D1D" w:rsidP="00280D1D">
      <w:pPr>
        <w:widowControl w:val="0"/>
        <w:spacing w:after="0" w:line="240" w:lineRule="auto"/>
        <w:ind w:firstLine="2835"/>
        <w:jc w:val="both"/>
        <w:rPr>
          <w:rFonts w:ascii="Arial" w:eastAsia="Tahoma" w:hAnsi="Arial" w:cs="Arial"/>
          <w:b/>
          <w:bCs/>
          <w:sz w:val="24"/>
          <w:szCs w:val="24"/>
        </w:rPr>
      </w:pPr>
    </w:p>
    <w:p w:rsidR="00280D1D" w:rsidRPr="009C19FC" w:rsidRDefault="00280D1D" w:rsidP="00280D1D">
      <w:pPr>
        <w:widowControl w:val="0"/>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En atención a los montos que se mantienen en las Cuentas Individuales por Cesantía y en el Fondo de Cesantía Solidario y a la proyección de acumulación y uso futuro de ambos Fondos, el estudio actuarial que acompaña la presentación de este Proyecto de Ley, de conformidad al artículo 37 de la Ley N° 19.728, concluye que es posible aumentar los beneficios que contempla el actual proyecto con cargo a estos fondos, sin comprometer la solvencia ni la viabilidad financiera del Seguro de Cesantía.”.</w:t>
      </w:r>
    </w:p>
    <w:p w:rsidR="00C63FEC" w:rsidRPr="009C19FC" w:rsidRDefault="00C63FEC" w:rsidP="00280D1D">
      <w:pPr>
        <w:tabs>
          <w:tab w:val="left" w:pos="2835"/>
        </w:tabs>
        <w:spacing w:after="0" w:line="240" w:lineRule="auto"/>
        <w:ind w:firstLine="2835"/>
        <w:jc w:val="both"/>
        <w:rPr>
          <w:rFonts w:ascii="Arial" w:eastAsia="Times New Roman" w:hAnsi="Arial" w:cs="Times New Roman"/>
          <w:sz w:val="24"/>
          <w:szCs w:val="20"/>
          <w:lang w:val="es-ES_tradnl" w:eastAsia="es-ES"/>
        </w:rPr>
      </w:pPr>
    </w:p>
    <w:p w:rsidR="005A6127" w:rsidRPr="009C19FC" w:rsidRDefault="005A6127" w:rsidP="00010017">
      <w:pPr>
        <w:tabs>
          <w:tab w:val="left" w:pos="2835"/>
        </w:tabs>
        <w:spacing w:after="0" w:line="240" w:lineRule="auto"/>
        <w:jc w:val="both"/>
        <w:rPr>
          <w:rFonts w:ascii="Arial" w:eastAsia="Times New Roman" w:hAnsi="Arial" w:cs="Times New Roman"/>
          <w:sz w:val="24"/>
          <w:szCs w:val="20"/>
          <w:lang w:val="es-ES_tradnl" w:eastAsia="es-ES"/>
        </w:rPr>
      </w:pPr>
    </w:p>
    <w:p w:rsidR="005A6127" w:rsidRPr="009C19FC" w:rsidRDefault="005A6127" w:rsidP="00010017">
      <w:pPr>
        <w:tabs>
          <w:tab w:val="left" w:pos="2835"/>
        </w:tabs>
        <w:spacing w:after="0" w:line="240" w:lineRule="auto"/>
        <w:jc w:val="both"/>
        <w:rPr>
          <w:rFonts w:ascii="Arial" w:eastAsia="Times New Roman" w:hAnsi="Arial" w:cs="Times New Roman"/>
          <w:sz w:val="24"/>
          <w:szCs w:val="20"/>
          <w:lang w:val="es-ES_tradnl" w:eastAsia="es-ES"/>
        </w:rPr>
      </w:pPr>
      <w:r w:rsidRPr="009C19FC">
        <w:rPr>
          <w:rFonts w:ascii="Arial" w:eastAsia="Times New Roman" w:hAnsi="Arial" w:cs="Times New Roman"/>
          <w:sz w:val="24"/>
          <w:szCs w:val="20"/>
          <w:lang w:val="es-ES_tradnl" w:eastAsia="es-ES"/>
        </w:rPr>
        <w:tab/>
        <w:t xml:space="preserve">Posteriormente, </w:t>
      </w:r>
      <w:r w:rsidR="00280D1D" w:rsidRPr="009C19FC">
        <w:rPr>
          <w:rFonts w:ascii="Arial" w:eastAsia="Times New Roman" w:hAnsi="Arial" w:cs="Times New Roman"/>
          <w:sz w:val="24"/>
          <w:szCs w:val="20"/>
          <w:lang w:val="es-ES_tradnl" w:eastAsia="es-ES"/>
        </w:rPr>
        <w:t>con fecha 15 de diciembre de 2014, la Dirección de Presupuestos elaboró un Informe Financiero Sustitutivo</w:t>
      </w:r>
      <w:r w:rsidR="00092A7B" w:rsidRPr="009C19FC">
        <w:rPr>
          <w:rFonts w:ascii="Arial" w:eastAsia="Times New Roman" w:hAnsi="Arial" w:cs="Times New Roman"/>
          <w:sz w:val="24"/>
          <w:szCs w:val="20"/>
          <w:lang w:val="es-ES_tradnl" w:eastAsia="es-ES"/>
        </w:rPr>
        <w:t>, que se acompañó a la indicación sustitutiva que el Gobierno –que había asumido en el mes de marzo del mismo año- formuló al proyecto de ley.</w:t>
      </w:r>
      <w:r w:rsidR="0055272C" w:rsidRPr="009C19FC">
        <w:rPr>
          <w:rFonts w:ascii="Arial" w:eastAsia="Times New Roman" w:hAnsi="Arial" w:cs="Times New Roman"/>
          <w:sz w:val="24"/>
          <w:szCs w:val="20"/>
          <w:lang w:val="es-ES_tradnl" w:eastAsia="es-ES"/>
        </w:rPr>
        <w:t xml:space="preserve"> Su contenido es el que sigue:</w:t>
      </w:r>
    </w:p>
    <w:p w:rsidR="0055272C" w:rsidRPr="009C19FC" w:rsidRDefault="0055272C" w:rsidP="00010017">
      <w:pPr>
        <w:tabs>
          <w:tab w:val="left" w:pos="2835"/>
        </w:tabs>
        <w:spacing w:after="0" w:line="240" w:lineRule="auto"/>
        <w:jc w:val="both"/>
        <w:rPr>
          <w:rFonts w:ascii="Arial" w:eastAsia="Times New Roman" w:hAnsi="Arial" w:cs="Times New Roman"/>
          <w:sz w:val="24"/>
          <w:szCs w:val="20"/>
          <w:lang w:val="es-ES_tradnl" w:eastAsia="es-ES"/>
        </w:rPr>
      </w:pPr>
    </w:p>
    <w:p w:rsidR="0055272C" w:rsidRPr="009C19FC" w:rsidRDefault="0055272C" w:rsidP="0055272C">
      <w:pPr>
        <w:keepNext/>
        <w:keepLines/>
        <w:widowControl w:val="0"/>
        <w:spacing w:after="0" w:line="240" w:lineRule="auto"/>
        <w:ind w:firstLine="2835"/>
        <w:jc w:val="both"/>
        <w:outlineLvl w:val="0"/>
        <w:rPr>
          <w:rFonts w:ascii="Arial" w:eastAsia="Tahoma" w:hAnsi="Arial" w:cs="Arial"/>
          <w:b/>
          <w:bCs/>
          <w:color w:val="000000"/>
          <w:sz w:val="24"/>
          <w:szCs w:val="24"/>
          <w:lang w:val="es-ES" w:eastAsia="es-ES" w:bidi="es-ES"/>
        </w:rPr>
      </w:pPr>
      <w:bookmarkStart w:id="0" w:name="bookmark2"/>
      <w:r w:rsidRPr="009C19FC">
        <w:rPr>
          <w:rFonts w:ascii="Arial" w:eastAsia="Tahoma" w:hAnsi="Arial" w:cs="Arial"/>
          <w:bCs/>
          <w:color w:val="000000"/>
          <w:sz w:val="24"/>
          <w:szCs w:val="24"/>
          <w:lang w:val="es-ES" w:eastAsia="es-ES" w:bidi="es-ES"/>
        </w:rPr>
        <w:lastRenderedPageBreak/>
        <w:t>“</w:t>
      </w:r>
      <w:r w:rsidRPr="009C19FC">
        <w:rPr>
          <w:rFonts w:ascii="Arial" w:eastAsia="Tahoma" w:hAnsi="Arial" w:cs="Arial"/>
          <w:b/>
          <w:bCs/>
          <w:color w:val="000000"/>
          <w:sz w:val="24"/>
          <w:szCs w:val="24"/>
          <w:lang w:val="es-ES" w:eastAsia="es-ES" w:bidi="es-ES"/>
        </w:rPr>
        <w:t>I Antecedentes.</w:t>
      </w:r>
      <w:bookmarkEnd w:id="0"/>
    </w:p>
    <w:p w:rsidR="0055272C" w:rsidRPr="009C19FC" w:rsidRDefault="0055272C" w:rsidP="0055272C">
      <w:pPr>
        <w:keepNext/>
        <w:keepLines/>
        <w:widowControl w:val="0"/>
        <w:spacing w:after="0" w:line="240" w:lineRule="auto"/>
        <w:ind w:firstLine="2835"/>
        <w:jc w:val="both"/>
        <w:outlineLvl w:val="0"/>
        <w:rPr>
          <w:rFonts w:ascii="Arial" w:eastAsia="Tahoma" w:hAnsi="Arial" w:cs="Arial"/>
          <w:b/>
          <w:bCs/>
          <w:color w:val="000000"/>
          <w:sz w:val="24"/>
          <w:szCs w:val="24"/>
          <w:lang w:val="es-ES" w:eastAsia="es-ES" w:bidi="es-ES"/>
        </w:rPr>
      </w:pP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1. La indicación al proyecto de ley tiene por objeto perfeccionar el funcionamiento del seguro de cesantía establecido en la Ley N° 19.728.</w:t>
      </w: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De esta manera, la indicación propone las siguientes modificaciones:</w:t>
      </w: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a) Incrementar los beneficios financiados con cargo a la Cuenta Individual de Cesantía, elevando el porcentaje promedio de remuneraciones en todos los giros. En este contexto, las prestaciones por cesantía se elevarán entre los meses primero y séptimo y en los superiores a este último cuando corresponda, respectivamente, de 50% a 70%; de 45% a 55%; de 40% a 45%; de 35% a 40%; de 30% a 35%; de 25% a 30% y de 20% a 30% del promedio de remuneraciones devengadas por los trabajadores en los últimos doce meses.</w:t>
      </w: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b) Eliminar la restricción que permite sólo recibir prestaciones del Fondo Solidario de Cesantía hasta dos veces en 5 años. En reemplazo se permitirá que los trabajadores puedan recibir hasta diez pagos en un plazo de 5 años.</w:t>
      </w: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c) Incrementar los beneficios financiados con cargo al Fondo Solidario de Cesantía, elevando el porcentaje promedio de remuneraciones en todos los giros, en los mismos porcentajes a que se refiere el literal a), salvo el correspondiente al séptimo mes que sube del actual 25% a 30%.</w:t>
      </w: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d) Aumentar los topes mínimos y máximos de entrega del beneficio, llegando, el primer mes a un tope máximo de $ 525.000 y un mínimo de $ 157.500 y el sexto y séptimo mes a un tope máximo de $ 225.000 y un mínimo de $ 67.500.</w:t>
      </w:r>
    </w:p>
    <w:p w:rsidR="0055272C" w:rsidRPr="009C19FC" w:rsidRDefault="0055272C" w:rsidP="0055272C">
      <w:pPr>
        <w:widowControl w:val="0"/>
        <w:tabs>
          <w:tab w:val="left" w:pos="1466"/>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1466"/>
          <w:tab w:val="left" w:pos="8022"/>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e) Aumentar los beneficios financiados con cargos al Fondo Solidario de Cesantía para los trabajadores con contrato a plazo fijo o por obra o faena, elevando el porcentaje promedio de remuneraciones considerados para los giros que pasan de 35% a 50% el primer mes y de 30% a 40% el segundo mes. Asimismo, se incorpora un tercer giro equivalente al 35% del promedio de remuneraciones devengadas por los trabajadores en los últimos doce meses. Esto permitirá a los trabajadores más vulnerables acceder a más y mejores beneficios.</w:t>
      </w: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557"/>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f) Financiar un aporte equivalente al 10% de las prestaciones destinado a la respectiva cuenta de capitalización individual obligatoria para pensiones, durante los meses que el trabajador opte por el Fondo Solidario de Cesantía.</w:t>
      </w:r>
    </w:p>
    <w:p w:rsidR="0055272C" w:rsidRPr="009C19FC" w:rsidRDefault="0055272C" w:rsidP="0055272C">
      <w:pPr>
        <w:widowControl w:val="0"/>
        <w:tabs>
          <w:tab w:val="left" w:pos="557"/>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557"/>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g) Fortalecer los servicios de información e intermediación laboral para apoyar a los trabajadores cesantes en la búsqueda de empleo, ampliando el acceso a todos los trabajadores cesantes a la Bolsa Nacional de Empleo.</w:t>
      </w:r>
    </w:p>
    <w:p w:rsidR="0055272C" w:rsidRPr="009C19FC" w:rsidRDefault="0055272C" w:rsidP="0055272C">
      <w:pPr>
        <w:widowControl w:val="0"/>
        <w:tabs>
          <w:tab w:val="left" w:pos="557"/>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lastRenderedPageBreak/>
        <w:t>h) Perfeccionar los requisitos y medios de verificación para garantizar que efectivamente el trabajador cesante busca empleo.</w:t>
      </w:r>
    </w:p>
    <w:p w:rsidR="0055272C" w:rsidRPr="009C19FC" w:rsidRDefault="0055272C" w:rsidP="0055272C">
      <w:pPr>
        <w:widowControl w:val="0"/>
        <w:tabs>
          <w:tab w:val="left" w:pos="557"/>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spacing w:after="0" w:line="240" w:lineRule="auto"/>
        <w:ind w:firstLine="2835"/>
        <w:jc w:val="both"/>
        <w:rPr>
          <w:rFonts w:ascii="Arial" w:eastAsia="Tahoma" w:hAnsi="Arial" w:cs="Arial"/>
          <w:b/>
          <w:bCs/>
          <w:color w:val="000000"/>
          <w:sz w:val="24"/>
          <w:szCs w:val="24"/>
          <w:lang w:val="es-ES" w:eastAsia="es-ES" w:bidi="es-ES"/>
        </w:rPr>
      </w:pPr>
      <w:r w:rsidRPr="009C19FC">
        <w:rPr>
          <w:rFonts w:ascii="Arial" w:eastAsia="Tahoma" w:hAnsi="Arial" w:cs="Arial"/>
          <w:b/>
          <w:bCs/>
          <w:color w:val="000000"/>
          <w:sz w:val="24"/>
          <w:szCs w:val="24"/>
          <w:lang w:val="es-ES" w:eastAsia="es-ES" w:bidi="es-ES"/>
        </w:rPr>
        <w:t>II. Efecto del Proyecto sobre el Presupuesto Fiscal.</w:t>
      </w:r>
    </w:p>
    <w:p w:rsidR="0055272C" w:rsidRPr="009C19FC" w:rsidRDefault="0055272C" w:rsidP="0055272C">
      <w:pPr>
        <w:widowControl w:val="0"/>
        <w:spacing w:after="0" w:line="240" w:lineRule="auto"/>
        <w:ind w:firstLine="2835"/>
        <w:jc w:val="both"/>
        <w:rPr>
          <w:rFonts w:ascii="Arial" w:eastAsia="Tahoma" w:hAnsi="Arial" w:cs="Arial"/>
          <w:b/>
          <w:bCs/>
          <w:color w:val="000000"/>
          <w:sz w:val="24"/>
          <w:szCs w:val="24"/>
          <w:lang w:val="es-ES" w:eastAsia="es-ES" w:bidi="es-ES"/>
        </w:rPr>
      </w:pPr>
    </w:p>
    <w:p w:rsidR="0055272C" w:rsidRPr="009C19FC" w:rsidRDefault="0055272C" w:rsidP="0055272C">
      <w:pPr>
        <w:widowControl w:val="0"/>
        <w:tabs>
          <w:tab w:val="left" w:pos="348"/>
        </w:tabs>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1. Las modificaciones al Seguro de Cesantía presentadas en la presente indicación sólo implican mayor gasto fiscal, en los costos asociados a la ampliación de acceso a todos los trabajadores cesantes a la Bolsa Nacional de Empleo.</w:t>
      </w:r>
    </w:p>
    <w:p w:rsidR="0055272C" w:rsidRPr="009C19FC" w:rsidRDefault="0055272C" w:rsidP="0055272C">
      <w:pPr>
        <w:widowControl w:val="0"/>
        <w:tabs>
          <w:tab w:val="left" w:pos="348"/>
        </w:tabs>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El costo para 2015 es de $ 73.412 miles y para los años siguientes éste debiese disminuir considerando que la tasa de afiliación al seguro de desempleo debiese incrementarse.</w:t>
      </w: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r w:rsidRPr="009C19FC">
        <w:rPr>
          <w:rFonts w:ascii="Arial" w:eastAsia="Tahoma" w:hAnsi="Arial" w:cs="Arial"/>
          <w:color w:val="000000"/>
          <w:sz w:val="24"/>
          <w:szCs w:val="24"/>
          <w:lang w:val="es-ES" w:eastAsia="es-ES" w:bidi="es-ES"/>
        </w:rPr>
        <w:t>El mayor gasto fiscal que representa la aplicación de esta ley durante el año presupuestario de entrada en vigencia de la misma, se financiará con cargo a los recursos del Ministerio del Trabajo y Previsión Social y en lo que faltare, con cargo a la Partida Presupuestaria Tesoro Público. En los años siguientes, se financiará con cargo a los recursos que anualmente contemple la Ley de Presupuestos.</w:t>
      </w:r>
    </w:p>
    <w:p w:rsidR="0055272C" w:rsidRPr="009C19FC" w:rsidRDefault="0055272C" w:rsidP="0055272C">
      <w:pPr>
        <w:widowControl w:val="0"/>
        <w:spacing w:after="0" w:line="240" w:lineRule="auto"/>
        <w:ind w:firstLine="2835"/>
        <w:jc w:val="both"/>
        <w:rPr>
          <w:rFonts w:ascii="Arial" w:eastAsia="Tahoma" w:hAnsi="Arial" w:cs="Arial"/>
          <w:color w:val="000000"/>
          <w:sz w:val="24"/>
          <w:szCs w:val="24"/>
          <w:lang w:val="es-ES" w:eastAsia="es-ES" w:bidi="es-ES"/>
        </w:rPr>
      </w:pPr>
    </w:p>
    <w:p w:rsidR="0055272C" w:rsidRPr="009C19FC" w:rsidRDefault="0055272C" w:rsidP="0055272C">
      <w:pPr>
        <w:widowControl w:val="0"/>
        <w:tabs>
          <w:tab w:val="left" w:pos="348"/>
        </w:tabs>
        <w:spacing w:after="0" w:line="240" w:lineRule="auto"/>
        <w:ind w:firstLine="2835"/>
        <w:jc w:val="both"/>
        <w:rPr>
          <w:rFonts w:ascii="Arial" w:eastAsia="Times New Roman" w:hAnsi="Arial" w:cs="Times New Roman"/>
          <w:sz w:val="24"/>
          <w:szCs w:val="20"/>
          <w:lang w:val="es-ES_tradnl" w:eastAsia="es-ES"/>
        </w:rPr>
      </w:pPr>
      <w:r w:rsidRPr="009C19FC">
        <w:rPr>
          <w:rFonts w:ascii="Arial" w:eastAsia="Tahoma" w:hAnsi="Arial" w:cs="Arial"/>
          <w:color w:val="000000"/>
          <w:sz w:val="24"/>
          <w:szCs w:val="24"/>
          <w:lang w:val="es-ES" w:eastAsia="es-ES" w:bidi="es-ES"/>
        </w:rPr>
        <w:t>2. Por su parte, en atención a los montos que se mantienen en las Cuentas Individuales por Cesantía y en el Fondo de Cesantía Solidario y a la proyección de acumulación y uso futuro de ambos Fondos, se ha concluido que es posible aumentar los beneficios que contempla el actual proyecto de ley con cargo a éstos, sin comprometer la solvencia ni la viabilidad financiera del Seguro de Cesantía, según se da cuenta en el estudio realizado de conformidad al artículo 37 de la Ley N° 19.728.”.</w:t>
      </w:r>
    </w:p>
    <w:p w:rsidR="00092A7B" w:rsidRPr="009C19FC" w:rsidRDefault="00092A7B" w:rsidP="00010017">
      <w:pPr>
        <w:tabs>
          <w:tab w:val="left" w:pos="2835"/>
        </w:tabs>
        <w:spacing w:after="0" w:line="240" w:lineRule="auto"/>
        <w:jc w:val="both"/>
        <w:rPr>
          <w:rFonts w:ascii="Arial" w:eastAsia="Times New Roman" w:hAnsi="Arial" w:cs="Times New Roman"/>
          <w:sz w:val="24"/>
          <w:szCs w:val="20"/>
          <w:lang w:val="es-ES_tradnl" w:eastAsia="es-ES"/>
        </w:rPr>
      </w:pPr>
    </w:p>
    <w:p w:rsidR="00092A7B" w:rsidRPr="009C19FC" w:rsidRDefault="00092A7B" w:rsidP="00010017">
      <w:pPr>
        <w:tabs>
          <w:tab w:val="left" w:pos="2835"/>
        </w:tabs>
        <w:spacing w:after="0" w:line="240" w:lineRule="auto"/>
        <w:jc w:val="both"/>
        <w:rPr>
          <w:rFonts w:ascii="Arial" w:eastAsia="Times New Roman" w:hAnsi="Arial" w:cs="Times New Roman"/>
          <w:sz w:val="24"/>
          <w:szCs w:val="20"/>
          <w:lang w:val="es-ES_tradnl" w:eastAsia="es-ES"/>
        </w:rPr>
      </w:pPr>
    </w:p>
    <w:p w:rsidR="00C63FEC" w:rsidRPr="009C19FC" w:rsidRDefault="00C63FEC" w:rsidP="00C63FEC">
      <w:pPr>
        <w:tabs>
          <w:tab w:val="left" w:pos="2835"/>
        </w:tabs>
        <w:spacing w:after="0" w:line="240" w:lineRule="auto"/>
        <w:ind w:firstLine="2835"/>
        <w:jc w:val="both"/>
        <w:rPr>
          <w:rFonts w:ascii="Arial" w:eastAsia="Times New Roman" w:hAnsi="Arial" w:cs="Times New Roman"/>
          <w:sz w:val="24"/>
          <w:szCs w:val="20"/>
          <w:lang w:val="es-ES_tradnl" w:eastAsia="es-ES"/>
        </w:rPr>
      </w:pPr>
      <w:r w:rsidRPr="009C19FC">
        <w:rPr>
          <w:rFonts w:ascii="Arial" w:eastAsia="Times New Roman" w:hAnsi="Arial" w:cs="Times New Roman"/>
          <w:sz w:val="24"/>
          <w:szCs w:val="20"/>
          <w:lang w:val="es-ES_tradnl" w:eastAsia="es-ES"/>
        </w:rPr>
        <w:t xml:space="preserve">Finalmente, se presentó </w:t>
      </w:r>
      <w:r w:rsidR="00092A7B" w:rsidRPr="009C19FC">
        <w:rPr>
          <w:rFonts w:ascii="Arial" w:eastAsia="Times New Roman" w:hAnsi="Arial" w:cs="Times New Roman"/>
          <w:sz w:val="24"/>
          <w:szCs w:val="20"/>
          <w:lang w:val="es-ES_tradnl" w:eastAsia="es-ES"/>
        </w:rPr>
        <w:t>un I</w:t>
      </w:r>
      <w:r w:rsidRPr="009C19FC">
        <w:rPr>
          <w:rFonts w:ascii="Arial" w:eastAsia="Times New Roman" w:hAnsi="Arial" w:cs="Times New Roman"/>
          <w:sz w:val="24"/>
          <w:szCs w:val="20"/>
          <w:lang w:val="es-ES_tradnl" w:eastAsia="es-ES"/>
        </w:rPr>
        <w:t xml:space="preserve">nforme </w:t>
      </w:r>
      <w:r w:rsidR="00092A7B" w:rsidRPr="009C19FC">
        <w:rPr>
          <w:rFonts w:ascii="Arial" w:eastAsia="Times New Roman" w:hAnsi="Arial" w:cs="Times New Roman"/>
          <w:sz w:val="24"/>
          <w:szCs w:val="20"/>
          <w:lang w:val="es-ES_tradnl" w:eastAsia="es-ES"/>
        </w:rPr>
        <w:t>F</w:t>
      </w:r>
      <w:r w:rsidRPr="009C19FC">
        <w:rPr>
          <w:rFonts w:ascii="Arial" w:eastAsia="Times New Roman" w:hAnsi="Arial" w:cs="Times New Roman"/>
          <w:sz w:val="24"/>
          <w:szCs w:val="20"/>
          <w:lang w:val="es-ES_tradnl" w:eastAsia="es-ES"/>
        </w:rPr>
        <w:t xml:space="preserve">inanciero </w:t>
      </w:r>
      <w:r w:rsidR="00092A7B" w:rsidRPr="009C19FC">
        <w:rPr>
          <w:rFonts w:ascii="Arial" w:eastAsia="Times New Roman" w:hAnsi="Arial" w:cs="Times New Roman"/>
          <w:sz w:val="24"/>
          <w:szCs w:val="20"/>
          <w:lang w:val="es-ES_tradnl" w:eastAsia="es-ES"/>
        </w:rPr>
        <w:t>C</w:t>
      </w:r>
      <w:r w:rsidRPr="009C19FC">
        <w:rPr>
          <w:rFonts w:ascii="Arial" w:eastAsia="Times New Roman" w:hAnsi="Arial" w:cs="Times New Roman"/>
          <w:sz w:val="24"/>
          <w:szCs w:val="20"/>
          <w:lang w:val="es-ES_tradnl" w:eastAsia="es-ES"/>
        </w:rPr>
        <w:t xml:space="preserve">omplementario, de fecha 7 de abril de 2015, que </w:t>
      </w:r>
      <w:r w:rsidR="005A6127" w:rsidRPr="009C19FC">
        <w:rPr>
          <w:rFonts w:ascii="Arial" w:eastAsia="Times New Roman" w:hAnsi="Arial" w:cs="Times New Roman"/>
          <w:sz w:val="24"/>
          <w:szCs w:val="20"/>
          <w:lang w:val="es-ES_tradnl" w:eastAsia="es-ES"/>
        </w:rPr>
        <w:t xml:space="preserve">se acompañó a las indicaciones presentadas en la Comisión de Hacienda. Es del </w:t>
      </w:r>
      <w:r w:rsidRPr="009C19FC">
        <w:rPr>
          <w:rFonts w:ascii="Arial" w:eastAsia="Times New Roman" w:hAnsi="Arial" w:cs="Times New Roman"/>
          <w:sz w:val="24"/>
          <w:szCs w:val="20"/>
          <w:lang w:val="es-ES_tradnl" w:eastAsia="es-ES"/>
        </w:rPr>
        <w:t>siguiente</w:t>
      </w:r>
      <w:r w:rsidR="005A6127" w:rsidRPr="009C19FC">
        <w:rPr>
          <w:rFonts w:ascii="Arial" w:eastAsia="Times New Roman" w:hAnsi="Arial" w:cs="Times New Roman"/>
          <w:sz w:val="24"/>
          <w:szCs w:val="20"/>
          <w:lang w:val="es-ES_tradnl" w:eastAsia="es-ES"/>
        </w:rPr>
        <w:t xml:space="preserve"> tenor</w:t>
      </w:r>
      <w:r w:rsidRPr="009C19FC">
        <w:rPr>
          <w:rFonts w:ascii="Arial" w:eastAsia="Times New Roman" w:hAnsi="Arial" w:cs="Times New Roman"/>
          <w:sz w:val="24"/>
          <w:szCs w:val="20"/>
          <w:lang w:val="es-ES_tradnl" w:eastAsia="es-ES"/>
        </w:rPr>
        <w:t>:</w:t>
      </w:r>
    </w:p>
    <w:p w:rsidR="00C63FEC" w:rsidRPr="009C19FC" w:rsidRDefault="00C63FEC" w:rsidP="00C63FEC">
      <w:pPr>
        <w:tabs>
          <w:tab w:val="left" w:pos="2835"/>
        </w:tabs>
        <w:spacing w:after="0" w:line="240" w:lineRule="auto"/>
        <w:ind w:firstLine="2835"/>
        <w:jc w:val="both"/>
        <w:rPr>
          <w:rFonts w:ascii="Arial" w:eastAsia="Times New Roman" w:hAnsi="Arial" w:cs="Times New Roman"/>
          <w:sz w:val="24"/>
          <w:szCs w:val="20"/>
          <w:lang w:val="es-ES_tradnl" w:eastAsia="es-ES"/>
        </w:rPr>
      </w:pPr>
    </w:p>
    <w:p w:rsidR="00C63FEC" w:rsidRPr="009C19FC" w:rsidRDefault="00C63FEC" w:rsidP="00C63FEC">
      <w:pPr>
        <w:pStyle w:val="Cuerpodeltexto30"/>
        <w:shd w:val="clear" w:color="auto" w:fill="auto"/>
        <w:spacing w:after="0" w:line="240" w:lineRule="auto"/>
        <w:ind w:firstLine="2835"/>
        <w:jc w:val="both"/>
        <w:rPr>
          <w:rFonts w:ascii="Arial" w:hAnsi="Arial" w:cs="Arial"/>
          <w:b w:val="0"/>
          <w:sz w:val="24"/>
          <w:szCs w:val="24"/>
        </w:rPr>
      </w:pPr>
      <w:r w:rsidRPr="009C19FC">
        <w:rPr>
          <w:rFonts w:ascii="Arial" w:eastAsia="Times New Roman" w:hAnsi="Arial" w:cs="Times New Roman"/>
          <w:b w:val="0"/>
          <w:sz w:val="24"/>
          <w:szCs w:val="20"/>
          <w:lang w:val="es-ES_tradnl" w:eastAsia="es-ES"/>
        </w:rPr>
        <w:t>“</w:t>
      </w:r>
      <w:r w:rsidRPr="009C19FC">
        <w:rPr>
          <w:rFonts w:ascii="Arial" w:hAnsi="Arial" w:cs="Arial"/>
          <w:sz w:val="24"/>
          <w:szCs w:val="24"/>
        </w:rPr>
        <w:t>I. Antecedentes.</w:t>
      </w: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r w:rsidRPr="009C19FC">
        <w:rPr>
          <w:rFonts w:ascii="Arial" w:hAnsi="Arial" w:cs="Arial"/>
          <w:sz w:val="24"/>
          <w:szCs w:val="24"/>
        </w:rPr>
        <w:t>1. Las presentes indicaciones establecen que los trabajadores afiliados al Seguro de Cesantía contemplado en la ley N° 19.728, cuyo lugar de trabajo se encontrare dentro de la Región de Atacama o de las comunas de Antofagasta y Taltal, podrán acceder en condiciones especiales a los beneficios que consagra dicha ley cuando se hubiere puesto término a sus respectivos contratos de trabajo entre el 1 de marzo de 2015 y el 31 de agosto del mismo año, ambas fechas inclusive.</w:t>
      </w: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r w:rsidRPr="009C19FC">
        <w:rPr>
          <w:rFonts w:ascii="Arial" w:hAnsi="Arial" w:cs="Arial"/>
          <w:sz w:val="24"/>
          <w:szCs w:val="24"/>
        </w:rPr>
        <w:t xml:space="preserve">2. Asimismo, establecen que los trabajadores cuyo lugar de trabajo se encontraba dentro de las zonas señaladas en el punto anterior, que perciban un último giro con cargo al Fondo de Cesantía Solidario, en el período comprendido entre el mes de febrero y el mes de </w:t>
      </w:r>
      <w:r w:rsidRPr="009C19FC">
        <w:rPr>
          <w:rFonts w:ascii="Arial" w:hAnsi="Arial" w:cs="Arial"/>
          <w:sz w:val="24"/>
          <w:szCs w:val="24"/>
        </w:rPr>
        <w:lastRenderedPageBreak/>
        <w:t>agosto de 2015, tendrán derecho a los dos giros adicionales señalados en el artículo 25 de la ley N° 19.728, sin que sea necesario considerar el requisito de alto desempleo establecido en el inciso tercero del citado artículo 25.</w:t>
      </w: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p>
    <w:p w:rsidR="00C63FEC" w:rsidRPr="009C19FC" w:rsidRDefault="00C63FEC" w:rsidP="00C63FEC">
      <w:pPr>
        <w:pStyle w:val="Cuerpodeltexto30"/>
        <w:shd w:val="clear" w:color="auto" w:fill="auto"/>
        <w:spacing w:after="0" w:line="240" w:lineRule="auto"/>
        <w:ind w:firstLine="2835"/>
        <w:jc w:val="both"/>
        <w:rPr>
          <w:rFonts w:ascii="Arial" w:hAnsi="Arial" w:cs="Arial"/>
          <w:sz w:val="24"/>
          <w:szCs w:val="24"/>
        </w:rPr>
      </w:pPr>
      <w:r w:rsidRPr="009C19FC">
        <w:rPr>
          <w:rFonts w:ascii="Arial" w:hAnsi="Arial" w:cs="Arial"/>
          <w:sz w:val="24"/>
          <w:szCs w:val="24"/>
        </w:rPr>
        <w:t>II. Efecto del Proyecto sobre el Presupuesto Fiscal.</w:t>
      </w:r>
    </w:p>
    <w:p w:rsidR="00C63FEC" w:rsidRPr="009C19FC" w:rsidRDefault="00C63FEC" w:rsidP="00C63FEC">
      <w:pPr>
        <w:pStyle w:val="Cuerpodeltexto30"/>
        <w:shd w:val="clear" w:color="auto" w:fill="auto"/>
        <w:spacing w:after="0" w:line="240" w:lineRule="auto"/>
        <w:ind w:firstLine="2835"/>
        <w:jc w:val="both"/>
        <w:rPr>
          <w:rFonts w:ascii="Arial" w:hAnsi="Arial" w:cs="Arial"/>
          <w:sz w:val="24"/>
          <w:szCs w:val="24"/>
        </w:rPr>
      </w:pP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r w:rsidRPr="009C19FC">
        <w:rPr>
          <w:rFonts w:ascii="Arial" w:hAnsi="Arial" w:cs="Arial"/>
          <w:sz w:val="24"/>
          <w:szCs w:val="24"/>
        </w:rPr>
        <w:t xml:space="preserve">1. Las modificaciones al Seguro de Cesantía presentadas en las presentes indicaciones </w:t>
      </w:r>
      <w:r w:rsidRPr="009C19FC">
        <w:rPr>
          <w:rStyle w:val="Cuerpodeltexto2Negrita"/>
          <w:rFonts w:ascii="Arial" w:hAnsi="Arial" w:cs="Arial"/>
          <w:sz w:val="24"/>
          <w:szCs w:val="24"/>
        </w:rPr>
        <w:t xml:space="preserve">no implican gasto fiscal adicional </w:t>
      </w:r>
      <w:r w:rsidRPr="009C19FC">
        <w:rPr>
          <w:rFonts w:ascii="Arial" w:hAnsi="Arial" w:cs="Arial"/>
          <w:sz w:val="24"/>
          <w:szCs w:val="24"/>
        </w:rPr>
        <w:t>a lo informado en IF N° 114 del 15 de diciembre de 2014.</w:t>
      </w:r>
    </w:p>
    <w:p w:rsidR="00C63FEC" w:rsidRPr="009C19FC" w:rsidRDefault="00C63FEC" w:rsidP="00C63FEC">
      <w:pPr>
        <w:pStyle w:val="Cuerpodeltexto20"/>
        <w:shd w:val="clear" w:color="auto" w:fill="auto"/>
        <w:tabs>
          <w:tab w:val="left" w:pos="340"/>
        </w:tabs>
        <w:spacing w:before="0" w:after="0" w:line="240" w:lineRule="auto"/>
        <w:ind w:firstLine="2835"/>
        <w:rPr>
          <w:rFonts w:ascii="Arial" w:hAnsi="Arial" w:cs="Arial"/>
          <w:sz w:val="24"/>
          <w:szCs w:val="24"/>
        </w:rPr>
      </w:pPr>
    </w:p>
    <w:p w:rsidR="00C63FEC" w:rsidRPr="009C19FC" w:rsidRDefault="00C63FEC" w:rsidP="00C63FEC">
      <w:pPr>
        <w:pStyle w:val="Cuerpodeltexto20"/>
        <w:shd w:val="clear" w:color="auto" w:fill="auto"/>
        <w:tabs>
          <w:tab w:val="left" w:pos="340"/>
        </w:tabs>
        <w:spacing w:before="0" w:after="0" w:line="240" w:lineRule="auto"/>
        <w:ind w:firstLine="2835"/>
        <w:rPr>
          <w:rFonts w:ascii="Arial" w:eastAsia="Times New Roman" w:hAnsi="Arial" w:cs="Times New Roman"/>
          <w:sz w:val="24"/>
          <w:szCs w:val="20"/>
          <w:lang w:val="es-ES_tradnl" w:eastAsia="es-ES"/>
        </w:rPr>
      </w:pPr>
      <w:r w:rsidRPr="009C19FC">
        <w:rPr>
          <w:rFonts w:ascii="Arial" w:hAnsi="Arial" w:cs="Arial"/>
          <w:sz w:val="24"/>
          <w:szCs w:val="24"/>
        </w:rPr>
        <w:t>2. Por su parte, en atención a los montos que se mantienen en las Cuentas Individuales por Cesantía y en el Fondo de Cesantía Solidario y a la proyección de acumulación y uso futuro de ambos Fondos, se ha concluido que es posible aumentar los beneficios que contemplan las presentes indicaciones con cargo a éstos, sin comprometer la solvencia ni la viabilidad financiera del Seguro de Cesantía, según se da cuenta en el estudio realizado de conformidad al artículo 37 de la Ley N° 19.728.</w:t>
      </w:r>
      <w:r w:rsidRPr="009C19FC">
        <w:rPr>
          <w:rFonts w:ascii="Arial" w:eastAsia="Times New Roman" w:hAnsi="Arial" w:cs="Times New Roman"/>
          <w:sz w:val="24"/>
          <w:szCs w:val="20"/>
          <w:lang w:val="es-ES_tradnl" w:eastAsia="es-ES"/>
        </w:rPr>
        <w:t>”.</w:t>
      </w:r>
    </w:p>
    <w:p w:rsidR="00010017" w:rsidRPr="009C19FC" w:rsidRDefault="00010017" w:rsidP="00010017">
      <w:pPr>
        <w:tabs>
          <w:tab w:val="left" w:pos="2835"/>
        </w:tabs>
        <w:spacing w:after="0" w:line="240" w:lineRule="auto"/>
        <w:jc w:val="both"/>
        <w:rPr>
          <w:rFonts w:ascii="Arial" w:eastAsia="Times New Roman" w:hAnsi="Arial" w:cs="Times New Roman"/>
          <w:sz w:val="24"/>
          <w:szCs w:val="20"/>
          <w:lang w:val="es-ES_tradnl"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0"/>
          <w:lang w:val="es-ES" w:eastAsia="es-ES"/>
        </w:rPr>
      </w:pPr>
    </w:p>
    <w:p w:rsidR="00010017" w:rsidRPr="009C19FC" w:rsidRDefault="00010017" w:rsidP="00010017">
      <w:pPr>
        <w:autoSpaceDE w:val="0"/>
        <w:autoSpaceDN w:val="0"/>
        <w:spacing w:after="0" w:line="240" w:lineRule="auto"/>
        <w:ind w:firstLine="2835"/>
        <w:jc w:val="both"/>
        <w:rPr>
          <w:rFonts w:ascii="Arial" w:hAnsi="Arial" w:cs="Arial"/>
          <w:sz w:val="24"/>
          <w:szCs w:val="24"/>
          <w:lang w:val="es-ES_tradnl" w:eastAsia="es-ES"/>
        </w:rPr>
      </w:pPr>
      <w:r w:rsidRPr="009C19FC">
        <w:rPr>
          <w:rFonts w:ascii="Arial" w:hAnsi="Arial" w:cs="Arial"/>
          <w:sz w:val="24"/>
          <w:szCs w:val="24"/>
          <w:lang w:val="es-ES_tradnl" w:eastAsia="es-ES"/>
        </w:rPr>
        <w:t>Se deja constancia de los precedentes informes financieros en cumplimiento de lo dispuesto en artículo 17, inciso segundo, de la Ley Orgánica Constitucional del Congreso Nacional.</w:t>
      </w:r>
    </w:p>
    <w:p w:rsidR="00010017" w:rsidRPr="009C19FC" w:rsidRDefault="00010017" w:rsidP="00010017">
      <w:pPr>
        <w:autoSpaceDE w:val="0"/>
        <w:autoSpaceDN w:val="0"/>
        <w:spacing w:after="0" w:line="240" w:lineRule="auto"/>
        <w:ind w:firstLine="2835"/>
        <w:jc w:val="both"/>
        <w:rPr>
          <w:rFonts w:ascii="Arial" w:hAnsi="Arial" w:cs="Arial"/>
          <w:sz w:val="24"/>
          <w:szCs w:val="24"/>
          <w:lang w:val="es-ES_tradnl" w:eastAsia="es-ES"/>
        </w:rPr>
      </w:pPr>
    </w:p>
    <w:p w:rsidR="00010017" w:rsidRPr="009C19FC" w:rsidRDefault="00010017" w:rsidP="00010017">
      <w:pPr>
        <w:autoSpaceDE w:val="0"/>
        <w:autoSpaceDN w:val="0"/>
        <w:spacing w:after="0" w:line="240" w:lineRule="auto"/>
        <w:ind w:firstLine="2835"/>
        <w:jc w:val="both"/>
        <w:rPr>
          <w:rFonts w:ascii="Arial" w:hAnsi="Arial" w:cs="Arial"/>
          <w:sz w:val="24"/>
          <w:szCs w:val="24"/>
          <w:lang w:val="es-ES_tradnl" w:eastAsia="es-ES"/>
        </w:rPr>
      </w:pPr>
    </w:p>
    <w:p w:rsidR="00010017" w:rsidRPr="009C19FC" w:rsidRDefault="00010017" w:rsidP="00010017">
      <w:pPr>
        <w:tabs>
          <w:tab w:val="left" w:pos="2835"/>
        </w:tabs>
        <w:spacing w:after="0" w:line="240" w:lineRule="auto"/>
        <w:jc w:val="center"/>
        <w:rPr>
          <w:rFonts w:ascii="Arial" w:eastAsia="Times New Roman" w:hAnsi="Arial" w:cs="Times New Roman"/>
          <w:b/>
          <w:sz w:val="24"/>
          <w:szCs w:val="20"/>
          <w:lang w:val="es-ES_tradnl" w:eastAsia="es-ES"/>
        </w:rPr>
      </w:pPr>
      <w:r w:rsidRPr="009C19FC">
        <w:rPr>
          <w:rFonts w:ascii="Arial" w:eastAsia="Times New Roman" w:hAnsi="Arial" w:cs="Times New Roman"/>
          <w:b/>
          <w:sz w:val="24"/>
          <w:szCs w:val="20"/>
          <w:lang w:val="es-ES_tradnl" w:eastAsia="es-ES"/>
        </w:rPr>
        <w:t>- - -</w:t>
      </w:r>
    </w:p>
    <w:p w:rsidR="00010017" w:rsidRPr="009C19FC" w:rsidRDefault="00010017" w:rsidP="00010017">
      <w:pPr>
        <w:tabs>
          <w:tab w:val="left" w:pos="2835"/>
        </w:tabs>
        <w:spacing w:after="0" w:line="240" w:lineRule="auto"/>
        <w:jc w:val="center"/>
        <w:outlineLvl w:val="0"/>
        <w:rPr>
          <w:rFonts w:ascii="Arial" w:eastAsia="Calibri" w:hAnsi="Arial" w:cs="Arial"/>
          <w:b/>
          <w:sz w:val="24"/>
          <w:szCs w:val="24"/>
          <w:lang w:val="es-ES_tradnl"/>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MODIFICACIONES</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En conformidad con los acuerdos adoptados, la Comisión de Hacienda propone a la Sala la aprobación del proyecto de ley despachado por la Comisión de Trabajo y Previsión Social, con las siguientes enmiendas:</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 </w:t>
      </w:r>
    </w:p>
    <w:p w:rsidR="00943016" w:rsidRPr="009C19FC" w:rsidRDefault="00943016" w:rsidP="00010017">
      <w:pPr>
        <w:tabs>
          <w:tab w:val="left" w:pos="2835"/>
        </w:tabs>
        <w:spacing w:after="0" w:line="240" w:lineRule="auto"/>
        <w:jc w:val="center"/>
        <w:rPr>
          <w:rFonts w:ascii="Arial" w:eastAsia="Times New Roman" w:hAnsi="Arial" w:cs="Arial"/>
          <w:b/>
          <w:sz w:val="24"/>
          <w:szCs w:val="24"/>
          <w:lang w:val="es-ES" w:eastAsia="es-ES"/>
        </w:rPr>
      </w:pPr>
    </w:p>
    <w:p w:rsidR="00010017" w:rsidRPr="009C19FC" w:rsidRDefault="00943016" w:rsidP="00943016">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Artículo segundo transitorio</w:t>
      </w:r>
    </w:p>
    <w:p w:rsidR="00943016" w:rsidRPr="009C19FC" w:rsidRDefault="00943016" w:rsidP="00010017">
      <w:pPr>
        <w:tabs>
          <w:tab w:val="left" w:pos="2835"/>
        </w:tabs>
        <w:spacing w:after="0" w:line="240" w:lineRule="auto"/>
        <w:jc w:val="both"/>
        <w:rPr>
          <w:rFonts w:ascii="Arial" w:eastAsia="Times New Roman" w:hAnsi="Arial" w:cs="Arial"/>
          <w:b/>
          <w:sz w:val="24"/>
          <w:szCs w:val="24"/>
          <w:lang w:val="es-ES" w:eastAsia="es-ES"/>
        </w:rPr>
      </w:pPr>
    </w:p>
    <w:p w:rsidR="00943016" w:rsidRPr="009C19FC" w:rsidRDefault="00943016" w:rsidP="00943016">
      <w:pPr>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Sustituirlo por el siguiente:</w:t>
      </w:r>
    </w:p>
    <w:p w:rsidR="00943016" w:rsidRPr="009C19FC" w:rsidRDefault="00943016" w:rsidP="00943016">
      <w:pPr>
        <w:spacing w:after="0" w:line="240" w:lineRule="auto"/>
        <w:ind w:firstLine="2835"/>
        <w:contextualSpacing/>
        <w:jc w:val="both"/>
        <w:rPr>
          <w:rFonts w:ascii="Arial" w:eastAsia="Calibri" w:hAnsi="Arial" w:cs="Arial"/>
          <w:sz w:val="24"/>
          <w:szCs w:val="24"/>
        </w:rPr>
      </w:pPr>
    </w:p>
    <w:p w:rsidR="00943016" w:rsidRPr="009C19FC" w:rsidRDefault="00943016" w:rsidP="00943016">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Calibri" w:hAnsi="Arial" w:cs="Arial"/>
          <w:sz w:val="24"/>
          <w:szCs w:val="24"/>
        </w:rPr>
        <w:t>“Artículo segundo:</w:t>
      </w:r>
      <w:r w:rsidRPr="009C19FC">
        <w:rPr>
          <w:rFonts w:ascii="Arial" w:eastAsia="Times New Roman" w:hAnsi="Arial" w:cs="Arial"/>
          <w:sz w:val="24"/>
          <w:szCs w:val="24"/>
          <w:lang w:val="es-ES" w:eastAsia="es-ES"/>
        </w:rPr>
        <w:t xml:space="preserve"> La presente ley entrará en vigencia a contar del día siguiente al de su publicación en el Diario Oficial, salvo en lo que respecta a los numerales 4), 5), 7), 8) y 9) del artículo único</w:t>
      </w:r>
      <w:r w:rsidR="0055272C" w:rsidRPr="009C19FC">
        <w:rPr>
          <w:rFonts w:ascii="Arial" w:eastAsia="Times New Roman" w:hAnsi="Arial" w:cs="Arial"/>
          <w:sz w:val="24"/>
          <w:szCs w:val="24"/>
          <w:lang w:val="es-ES" w:eastAsia="es-ES"/>
        </w:rPr>
        <w:t>,</w:t>
      </w:r>
      <w:r w:rsidRPr="009C19FC">
        <w:rPr>
          <w:rFonts w:ascii="Arial" w:eastAsia="Times New Roman" w:hAnsi="Arial" w:cs="Arial"/>
          <w:sz w:val="24"/>
          <w:szCs w:val="24"/>
          <w:lang w:val="es-ES" w:eastAsia="es-ES"/>
        </w:rPr>
        <w:t xml:space="preserve"> que comenzarán a regir el primer día del cuarto mes contado desde dicha publicación.”.</w:t>
      </w:r>
      <w:r w:rsidR="00911BA4" w:rsidRPr="009C19FC">
        <w:rPr>
          <w:rFonts w:ascii="Arial" w:eastAsia="Times New Roman" w:hAnsi="Arial" w:cs="Arial"/>
          <w:sz w:val="24"/>
          <w:szCs w:val="24"/>
          <w:lang w:val="es-ES" w:eastAsia="es-ES"/>
        </w:rPr>
        <w:t xml:space="preserve"> </w:t>
      </w:r>
      <w:r w:rsidR="00911BA4" w:rsidRPr="009C19FC">
        <w:rPr>
          <w:rFonts w:ascii="Arial" w:eastAsia="Times New Roman" w:hAnsi="Arial" w:cs="Arial"/>
          <w:b/>
          <w:color w:val="000000"/>
          <w:sz w:val="24"/>
          <w:szCs w:val="24"/>
          <w:lang w:val="es-ES" w:eastAsia="es-ES"/>
        </w:rPr>
        <w:t>(Unanimidad 4x0. Indicación número 1)</w:t>
      </w:r>
    </w:p>
    <w:p w:rsidR="00943016" w:rsidRPr="009C19FC" w:rsidRDefault="00943016" w:rsidP="00943016">
      <w:pPr>
        <w:tabs>
          <w:tab w:val="left" w:pos="4253"/>
        </w:tabs>
        <w:spacing w:after="0" w:line="240" w:lineRule="auto"/>
        <w:jc w:val="both"/>
        <w:rPr>
          <w:rFonts w:ascii="Arial" w:eastAsia="Times New Roman" w:hAnsi="Arial" w:cs="Arial"/>
          <w:sz w:val="24"/>
          <w:szCs w:val="24"/>
          <w:lang w:val="es-ES" w:eastAsia="es-ES"/>
        </w:rPr>
      </w:pPr>
    </w:p>
    <w:p w:rsidR="00943016" w:rsidRPr="009C19FC" w:rsidRDefault="0055272C" w:rsidP="0055272C">
      <w:pPr>
        <w:spacing w:after="0" w:line="240" w:lineRule="auto"/>
        <w:jc w:val="center"/>
        <w:rPr>
          <w:rFonts w:ascii="Arial" w:eastAsia="Calibri" w:hAnsi="Arial" w:cs="Arial"/>
          <w:sz w:val="24"/>
          <w:szCs w:val="24"/>
        </w:rPr>
      </w:pPr>
      <w:r w:rsidRPr="009C19FC">
        <w:rPr>
          <w:rFonts w:ascii="Arial" w:eastAsia="Calibri" w:hAnsi="Arial" w:cs="Arial"/>
          <w:sz w:val="24"/>
          <w:szCs w:val="24"/>
        </w:rPr>
        <w:t>- - -</w:t>
      </w:r>
    </w:p>
    <w:p w:rsidR="00943016" w:rsidRPr="009C19FC" w:rsidRDefault="00943016" w:rsidP="00943016">
      <w:pPr>
        <w:spacing w:after="0" w:line="240" w:lineRule="auto"/>
        <w:jc w:val="center"/>
        <w:rPr>
          <w:rFonts w:ascii="Arial" w:eastAsia="Calibri" w:hAnsi="Arial" w:cs="Arial"/>
          <w:b/>
          <w:sz w:val="24"/>
          <w:szCs w:val="24"/>
        </w:rPr>
      </w:pPr>
    </w:p>
    <w:p w:rsidR="0055272C" w:rsidRPr="009C19FC" w:rsidRDefault="008B1867" w:rsidP="0055272C">
      <w:pPr>
        <w:tabs>
          <w:tab w:val="left" w:pos="2835"/>
        </w:tabs>
        <w:spacing w:after="0" w:line="240" w:lineRule="auto"/>
        <w:ind w:firstLine="2835"/>
        <w:jc w:val="both"/>
        <w:rPr>
          <w:rFonts w:ascii="Arial" w:eastAsia="MS Mincho" w:hAnsi="Arial" w:cs="Arial"/>
          <w:sz w:val="24"/>
          <w:szCs w:val="24"/>
          <w:lang w:eastAsia="es-ES"/>
        </w:rPr>
      </w:pPr>
      <w:r w:rsidRPr="009C19FC">
        <w:rPr>
          <w:rFonts w:ascii="Arial" w:eastAsia="MS Mincho" w:hAnsi="Arial" w:cs="Arial"/>
          <w:sz w:val="24"/>
          <w:szCs w:val="24"/>
          <w:lang w:eastAsia="es-ES"/>
        </w:rPr>
        <w:t>I</w:t>
      </w:r>
      <w:r w:rsidR="0055272C" w:rsidRPr="009C19FC">
        <w:rPr>
          <w:rFonts w:ascii="Arial" w:eastAsia="MS Mincho" w:hAnsi="Arial" w:cs="Arial"/>
          <w:sz w:val="24"/>
          <w:szCs w:val="24"/>
          <w:lang w:eastAsia="es-ES"/>
        </w:rPr>
        <w:t>ntercalar los siguientes artículos tercero, cuarto y quinto transitorios, nuevos, pasando el actual artículo tercero a ser sexto:</w:t>
      </w:r>
    </w:p>
    <w:p w:rsidR="0055272C" w:rsidRPr="009C19FC" w:rsidRDefault="0055272C" w:rsidP="0055272C">
      <w:pPr>
        <w:tabs>
          <w:tab w:val="left" w:pos="2835"/>
        </w:tabs>
        <w:spacing w:after="0" w:line="240" w:lineRule="auto"/>
        <w:ind w:firstLine="2835"/>
        <w:jc w:val="both"/>
        <w:rPr>
          <w:rFonts w:ascii="Arial" w:eastAsia="MS Mincho" w:hAnsi="Arial" w:cs="Arial"/>
          <w:sz w:val="24"/>
          <w:szCs w:val="24"/>
          <w:lang w:eastAsia="es-ES"/>
        </w:rPr>
      </w:pPr>
    </w:p>
    <w:p w:rsidR="0055272C" w:rsidRPr="009C19FC" w:rsidRDefault="0055272C" w:rsidP="0055272C">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lastRenderedPageBreak/>
        <w:t xml:space="preserve">“Artículo tercero.- Los trabajadores afiliados al Seguro de Cesantía contemplado en la ley N° 19.728, cuyo </w:t>
      </w:r>
      <w:r w:rsidR="008B1867" w:rsidRPr="009C19FC">
        <w:rPr>
          <w:rFonts w:ascii="Arial" w:eastAsia="Times New Roman" w:hAnsi="Arial" w:cs="Arial"/>
          <w:sz w:val="24"/>
          <w:szCs w:val="24"/>
          <w:lang w:val="es-ES" w:eastAsia="es-ES"/>
        </w:rPr>
        <w:t xml:space="preserve">último </w:t>
      </w:r>
      <w:r w:rsidRPr="009C19FC">
        <w:rPr>
          <w:rFonts w:ascii="Arial" w:eastAsia="Times New Roman" w:hAnsi="Arial" w:cs="Arial"/>
          <w:sz w:val="24"/>
          <w:szCs w:val="24"/>
          <w:lang w:val="es-ES" w:eastAsia="es-ES"/>
        </w:rPr>
        <w:t xml:space="preserve">lugar de trabajo se encontrare dentro de la Región de Atacama o de las comunas de Antofagasta y Taltal, podrán acceder en condiciones especiales a los beneficios que consagra dicha ley cuando se hubiere puesto término a sus </w:t>
      </w:r>
      <w:r w:rsidRPr="009C19FC">
        <w:rPr>
          <w:rFonts w:ascii="Arial" w:eastAsia="Calibri" w:hAnsi="Arial" w:cs="Arial"/>
          <w:sz w:val="24"/>
          <w:szCs w:val="24"/>
        </w:rPr>
        <w:t>respectivos</w:t>
      </w:r>
      <w:r w:rsidRPr="009C19FC">
        <w:rPr>
          <w:rFonts w:ascii="Arial" w:eastAsia="Times New Roman" w:hAnsi="Arial" w:cs="Arial"/>
          <w:sz w:val="24"/>
          <w:szCs w:val="24"/>
          <w:lang w:val="es-ES" w:eastAsia="es-ES"/>
        </w:rPr>
        <w:t xml:space="preserve"> contratos de trabajo entre el 1 de marzo de 2015 y el 31 de agosto del mismo año, ambas fechas inclusive. Para los efectos de acceder al Fondo de Cesantía Solidario, se entenderá que cumple con el requisito exigido en la letra a) del artículo 24 de la ley N° 19.728 quien registre ocho cotizaciones mensuales, continuas o discontinuas, desde la afiliación del trabajador al Seguro o desde que se devengó el último giro a que hubiere tenido derecho, siempre que éstas se hayan registrado en los últimos 24 meses anteriores al término de la relación laboral. En todo caso, el trabajador deberá cumplir con el requisito de las tres últimas cotizaciones continuas con el mismo empleador. El promedio de las remuneraciones devengadas por el trabajador a que se refiere el inciso primero del artículo 25 de la ley N° 19.728 se calculará con las que se hayan devengado en los últimos </w:t>
      </w:r>
      <w:r w:rsidR="00C54094" w:rsidRPr="009C19FC">
        <w:rPr>
          <w:rFonts w:ascii="Arial" w:eastAsia="Times New Roman" w:hAnsi="Arial" w:cs="Arial"/>
          <w:sz w:val="24"/>
          <w:szCs w:val="24"/>
          <w:lang w:val="es-ES" w:eastAsia="es-ES"/>
        </w:rPr>
        <w:t>8</w:t>
      </w:r>
      <w:r w:rsidRPr="009C19FC">
        <w:rPr>
          <w:rFonts w:ascii="Arial" w:eastAsia="Times New Roman" w:hAnsi="Arial" w:cs="Arial"/>
          <w:sz w:val="24"/>
          <w:szCs w:val="24"/>
          <w:lang w:val="es-ES" w:eastAsia="es-ES"/>
        </w:rPr>
        <w:t xml:space="preserve"> meses en que se registren cotizaciones anteriores al término de la relación laboral.</w:t>
      </w:r>
    </w:p>
    <w:p w:rsidR="0055272C" w:rsidRPr="009C19FC" w:rsidRDefault="0055272C" w:rsidP="0055272C">
      <w:pPr>
        <w:tabs>
          <w:tab w:val="left" w:pos="4253"/>
        </w:tabs>
        <w:spacing w:after="0" w:line="240" w:lineRule="auto"/>
        <w:ind w:firstLine="2835"/>
        <w:jc w:val="both"/>
        <w:rPr>
          <w:rFonts w:ascii="Arial" w:eastAsia="Times New Roman" w:hAnsi="Arial" w:cs="Arial"/>
          <w:sz w:val="24"/>
          <w:szCs w:val="24"/>
          <w:lang w:val="es-ES" w:eastAsia="es-ES"/>
        </w:rPr>
      </w:pPr>
    </w:p>
    <w:p w:rsidR="0055272C" w:rsidRPr="009C19FC" w:rsidRDefault="0055272C" w:rsidP="0055272C">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A su vez, en estos casos, el requisito establecido en la letra b) del artículo 12 de la ley Nº 19.728 para acceder a prestaciones financiadas con cargo a la Cuenta de Capitalización Individual será de un mínimo de </w:t>
      </w:r>
      <w:r w:rsidR="00C54094" w:rsidRPr="009C19FC">
        <w:rPr>
          <w:rFonts w:ascii="Arial" w:eastAsia="Times New Roman" w:hAnsi="Arial" w:cs="Arial"/>
          <w:sz w:val="24"/>
          <w:szCs w:val="24"/>
          <w:lang w:val="es-ES" w:eastAsia="es-ES"/>
        </w:rPr>
        <w:t>ocho</w:t>
      </w:r>
      <w:r w:rsidRPr="009C19FC">
        <w:rPr>
          <w:rFonts w:ascii="Arial" w:eastAsia="Times New Roman" w:hAnsi="Arial" w:cs="Arial"/>
          <w:sz w:val="24"/>
          <w:szCs w:val="24"/>
          <w:lang w:val="es-ES" w:eastAsia="es-ES"/>
        </w:rPr>
        <w:t xml:space="preserve"> cotizaciones mensuales, continuas o discontinuas, y el promedio de las remuneraciones devengadas por el trabajador a que se refiere el artículo 15 de la citada ley, se calculará con los últimos 8 meses en que se registren cotizaciones anteriores al término de la relación laboral, para aquellos trabajadores que se encuentren contratados con duración indefinida.</w:t>
      </w:r>
    </w:p>
    <w:p w:rsidR="0055272C" w:rsidRPr="009C19FC" w:rsidRDefault="0055272C" w:rsidP="0055272C">
      <w:pPr>
        <w:tabs>
          <w:tab w:val="left" w:pos="4253"/>
        </w:tabs>
        <w:spacing w:after="0" w:line="240" w:lineRule="auto"/>
        <w:ind w:firstLine="2835"/>
        <w:jc w:val="both"/>
        <w:rPr>
          <w:rFonts w:ascii="Arial" w:eastAsia="Times New Roman" w:hAnsi="Arial" w:cs="Arial"/>
          <w:sz w:val="24"/>
          <w:szCs w:val="24"/>
          <w:lang w:val="es-ES" w:eastAsia="es-ES"/>
        </w:rPr>
      </w:pPr>
    </w:p>
    <w:p w:rsidR="0055272C" w:rsidRPr="009C19FC" w:rsidRDefault="0055272C" w:rsidP="0055272C">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Tratándose de trabajadores con contrato a plazo fijo o por obra, trabajo o servicio determinado, el requisito de la letra c) del artículo 12 de la ley Nº 19.728 para acceder a prestaciones financiadas con cargo a la Cuenta de Capitalización Individual será de un mínimo de </w:t>
      </w:r>
      <w:r w:rsidR="00C54094" w:rsidRPr="009C19FC">
        <w:rPr>
          <w:rFonts w:ascii="Arial" w:eastAsia="Times New Roman" w:hAnsi="Arial" w:cs="Arial"/>
          <w:sz w:val="24"/>
          <w:szCs w:val="24"/>
          <w:lang w:val="es-ES" w:eastAsia="es-ES"/>
        </w:rPr>
        <w:t>cuatro</w:t>
      </w:r>
      <w:r w:rsidRPr="009C19FC">
        <w:rPr>
          <w:rFonts w:ascii="Arial" w:eastAsia="Times New Roman" w:hAnsi="Arial" w:cs="Arial"/>
          <w:sz w:val="24"/>
          <w:szCs w:val="24"/>
          <w:lang w:val="es-ES" w:eastAsia="es-ES"/>
        </w:rPr>
        <w:t xml:space="preserve"> cotizaciones mensuales, continuas o discontinuas, y el promedio de las remuneraciones devengadas por el trabajador a que se refiere el artículo 15 de la citada ley, se calculará con los últimos 4 meses en que se registren cotizaciones anteriores al término de la relación laboral.</w:t>
      </w:r>
    </w:p>
    <w:p w:rsidR="0055272C" w:rsidRPr="009C19FC" w:rsidRDefault="0055272C" w:rsidP="0055272C">
      <w:pPr>
        <w:tabs>
          <w:tab w:val="left" w:pos="4253"/>
        </w:tabs>
        <w:spacing w:after="0" w:line="240" w:lineRule="auto"/>
        <w:ind w:firstLine="2835"/>
        <w:jc w:val="both"/>
        <w:rPr>
          <w:rFonts w:ascii="Arial" w:eastAsia="Times New Roman" w:hAnsi="Arial" w:cs="Arial"/>
          <w:sz w:val="24"/>
          <w:szCs w:val="24"/>
          <w:lang w:val="es-ES" w:eastAsia="es-ES"/>
        </w:rPr>
      </w:pPr>
    </w:p>
    <w:p w:rsidR="0055272C" w:rsidRPr="009C19FC" w:rsidRDefault="0055272C" w:rsidP="0055272C">
      <w:pPr>
        <w:tabs>
          <w:tab w:val="left" w:pos="4253"/>
        </w:tabs>
        <w:spacing w:after="0" w:line="240" w:lineRule="auto"/>
        <w:ind w:firstLine="2835"/>
        <w:jc w:val="both"/>
        <w:rPr>
          <w:rFonts w:ascii="Arial" w:eastAsia="Times New Roman" w:hAnsi="Arial" w:cs="Arial"/>
          <w:color w:val="000000"/>
          <w:sz w:val="24"/>
          <w:szCs w:val="24"/>
          <w:lang w:val="es-ES" w:eastAsia="es-ES"/>
        </w:rPr>
      </w:pPr>
      <w:r w:rsidRPr="009C19FC">
        <w:rPr>
          <w:rFonts w:ascii="Arial" w:eastAsia="Times New Roman" w:hAnsi="Arial" w:cs="Arial"/>
          <w:sz w:val="24"/>
          <w:szCs w:val="24"/>
          <w:lang w:val="es-ES" w:eastAsia="es-ES"/>
        </w:rPr>
        <w:t xml:space="preserve">Artículo cuarto.- </w:t>
      </w:r>
      <w:r w:rsidRPr="009C19FC">
        <w:rPr>
          <w:rFonts w:ascii="Arial" w:eastAsia="Times New Roman" w:hAnsi="Arial" w:cs="Arial"/>
          <w:color w:val="000000"/>
          <w:sz w:val="24"/>
          <w:szCs w:val="24"/>
          <w:lang w:val="es-ES" w:eastAsia="es-ES"/>
        </w:rPr>
        <w:t>Los trabajadores cuyo lugar de trabajo se encontrare dentro de las zonas a que se refiere el artículo anterior, que perciban un último giro con cargo al Fondo de Cesantía Solidario, en el período comprendido entre el mes de febrero y el mes de agosto de 2015, tendrán derecho a los dos giros adicionales señalados en el artículo 25 de la ley Nº 19.728, sin que sea necesario considerar el requisito de alto desempleo establecido en el inciso tercero del citado artículo 25.</w:t>
      </w:r>
    </w:p>
    <w:p w:rsidR="0055272C" w:rsidRPr="009C19FC" w:rsidRDefault="0055272C" w:rsidP="0055272C">
      <w:pPr>
        <w:tabs>
          <w:tab w:val="left" w:pos="4253"/>
        </w:tabs>
        <w:spacing w:after="0" w:line="240" w:lineRule="auto"/>
        <w:ind w:firstLine="2835"/>
        <w:jc w:val="both"/>
        <w:rPr>
          <w:rFonts w:ascii="Arial" w:eastAsia="Times New Roman" w:hAnsi="Arial" w:cs="Arial"/>
          <w:color w:val="000000"/>
          <w:sz w:val="24"/>
          <w:szCs w:val="24"/>
          <w:lang w:val="es-ES" w:eastAsia="es-ES"/>
        </w:rPr>
      </w:pPr>
    </w:p>
    <w:p w:rsidR="0055272C" w:rsidRPr="009C19FC" w:rsidRDefault="0055272C" w:rsidP="0055272C">
      <w:pPr>
        <w:tabs>
          <w:tab w:val="left" w:pos="4253"/>
        </w:tabs>
        <w:spacing w:after="0" w:line="240" w:lineRule="auto"/>
        <w:ind w:firstLine="2835"/>
        <w:jc w:val="both"/>
        <w:rPr>
          <w:rFonts w:ascii="Arial" w:eastAsia="Times New Roman" w:hAnsi="Arial" w:cs="Arial"/>
          <w:color w:val="000000"/>
          <w:sz w:val="24"/>
          <w:szCs w:val="24"/>
          <w:lang w:val="es-ES" w:eastAsia="es-ES"/>
        </w:rPr>
      </w:pPr>
      <w:r w:rsidRPr="009C19FC">
        <w:rPr>
          <w:rFonts w:ascii="Arial" w:eastAsia="Times New Roman" w:hAnsi="Arial" w:cs="Arial"/>
          <w:sz w:val="24"/>
          <w:szCs w:val="24"/>
          <w:lang w:val="es-ES" w:eastAsia="es-ES"/>
        </w:rPr>
        <w:t>Artículo quinto.-</w:t>
      </w:r>
      <w:r w:rsidRPr="009C19FC">
        <w:rPr>
          <w:rFonts w:ascii="Arial" w:eastAsia="Times New Roman" w:hAnsi="Arial" w:cs="Arial"/>
          <w:b/>
          <w:sz w:val="24"/>
          <w:szCs w:val="24"/>
          <w:lang w:val="es-ES" w:eastAsia="es-ES"/>
        </w:rPr>
        <w:t xml:space="preserve"> </w:t>
      </w:r>
      <w:r w:rsidRPr="009C19FC">
        <w:rPr>
          <w:rFonts w:ascii="Arial" w:eastAsia="Times New Roman" w:hAnsi="Arial" w:cs="Arial"/>
          <w:color w:val="000000"/>
          <w:sz w:val="24"/>
          <w:szCs w:val="24"/>
          <w:lang w:val="es-ES" w:eastAsia="es-ES"/>
        </w:rPr>
        <w:t>Las prestaciones de los artículos segundo y tercero transitorios de la presente ley no se considerarán para la aplicación de la restricción de acceso al Fondo de Cesantía Solidario que contempla el inciso segundo del artículo 24 de la ley Nº 19.728.</w:t>
      </w:r>
    </w:p>
    <w:p w:rsidR="0055272C" w:rsidRPr="009C19FC" w:rsidRDefault="0055272C" w:rsidP="0055272C">
      <w:pPr>
        <w:tabs>
          <w:tab w:val="left" w:pos="4253"/>
        </w:tabs>
        <w:spacing w:after="0" w:line="240" w:lineRule="auto"/>
        <w:ind w:firstLine="2835"/>
        <w:jc w:val="both"/>
        <w:rPr>
          <w:rFonts w:ascii="Arial" w:eastAsia="Times New Roman" w:hAnsi="Arial" w:cs="Arial"/>
          <w:color w:val="000000"/>
          <w:sz w:val="24"/>
          <w:szCs w:val="24"/>
          <w:lang w:val="es-ES" w:eastAsia="es-ES"/>
        </w:rPr>
      </w:pPr>
    </w:p>
    <w:p w:rsidR="00943016" w:rsidRPr="009C19FC" w:rsidRDefault="0055272C" w:rsidP="00943016">
      <w:pPr>
        <w:tabs>
          <w:tab w:val="left" w:pos="4253"/>
        </w:tabs>
        <w:spacing w:after="0" w:line="240" w:lineRule="auto"/>
        <w:ind w:firstLine="2835"/>
        <w:jc w:val="both"/>
        <w:rPr>
          <w:rFonts w:ascii="Arial" w:eastAsia="Times New Roman" w:hAnsi="Arial" w:cs="Arial"/>
          <w:color w:val="000000"/>
          <w:sz w:val="24"/>
          <w:szCs w:val="24"/>
          <w:lang w:val="es-ES" w:eastAsia="es-ES"/>
        </w:rPr>
      </w:pPr>
      <w:r w:rsidRPr="009C19FC">
        <w:rPr>
          <w:rFonts w:ascii="Arial" w:eastAsia="Times New Roman" w:hAnsi="Arial" w:cs="Arial"/>
          <w:color w:val="000000"/>
          <w:sz w:val="24"/>
          <w:szCs w:val="24"/>
          <w:lang w:val="es-ES" w:eastAsia="es-ES"/>
        </w:rPr>
        <w:lastRenderedPageBreak/>
        <w:t>Para los efectos de la obtención de los beneficios que establecen los artículos segundo y tercero transitorio de la presente ley se aplicará lo dispuesto en el artículo 27 de la ley N° 19.728.”.</w:t>
      </w:r>
      <w:r w:rsidR="00911BA4" w:rsidRPr="009C19FC">
        <w:rPr>
          <w:rFonts w:ascii="Arial" w:eastAsia="Times New Roman" w:hAnsi="Arial" w:cs="Arial"/>
          <w:color w:val="000000"/>
          <w:sz w:val="24"/>
          <w:szCs w:val="24"/>
          <w:lang w:val="es-ES" w:eastAsia="es-ES"/>
        </w:rPr>
        <w:t xml:space="preserve"> </w:t>
      </w:r>
      <w:r w:rsidR="00911BA4" w:rsidRPr="009C19FC">
        <w:rPr>
          <w:rFonts w:ascii="Arial" w:eastAsia="Times New Roman" w:hAnsi="Arial" w:cs="Arial"/>
          <w:b/>
          <w:color w:val="000000"/>
          <w:sz w:val="24"/>
          <w:szCs w:val="24"/>
          <w:lang w:val="es-ES" w:eastAsia="es-ES"/>
        </w:rPr>
        <w:t>(Unanimidad 4x0. Indicación número 2)</w:t>
      </w:r>
    </w:p>
    <w:p w:rsidR="00943016" w:rsidRPr="009C19FC" w:rsidRDefault="00943016" w:rsidP="00C54094">
      <w:pPr>
        <w:tabs>
          <w:tab w:val="left" w:pos="4253"/>
        </w:tabs>
        <w:spacing w:after="0" w:line="240" w:lineRule="auto"/>
        <w:jc w:val="both"/>
        <w:rPr>
          <w:rFonts w:ascii="Arial" w:eastAsia="Times New Roman" w:hAnsi="Arial" w:cs="Arial"/>
          <w:color w:val="000000"/>
          <w:sz w:val="24"/>
          <w:szCs w:val="24"/>
          <w:lang w:val="es-ES" w:eastAsia="es-ES"/>
        </w:rPr>
      </w:pPr>
    </w:p>
    <w:p w:rsidR="00C54094" w:rsidRPr="009C19FC" w:rsidRDefault="00C54094" w:rsidP="00C54094">
      <w:pPr>
        <w:tabs>
          <w:tab w:val="left" w:pos="4253"/>
        </w:tabs>
        <w:spacing w:after="0" w:line="240" w:lineRule="auto"/>
        <w:jc w:val="both"/>
        <w:rPr>
          <w:rFonts w:ascii="Arial" w:eastAsia="Times New Roman" w:hAnsi="Arial" w:cs="Arial"/>
          <w:color w:val="000000"/>
          <w:sz w:val="24"/>
          <w:szCs w:val="24"/>
          <w:lang w:val="es-ES" w:eastAsia="es-ES"/>
        </w:rPr>
      </w:pPr>
    </w:p>
    <w:p w:rsidR="00C54094" w:rsidRPr="009C19FC" w:rsidRDefault="00C54094" w:rsidP="00C54094">
      <w:pPr>
        <w:tabs>
          <w:tab w:val="left" w:pos="4253"/>
        </w:tabs>
        <w:spacing w:after="0" w:line="240" w:lineRule="auto"/>
        <w:jc w:val="center"/>
        <w:rPr>
          <w:rFonts w:ascii="Arial" w:eastAsia="Times New Roman" w:hAnsi="Arial" w:cs="Arial"/>
          <w:color w:val="000000"/>
          <w:sz w:val="24"/>
          <w:szCs w:val="24"/>
          <w:lang w:val="es-ES" w:eastAsia="es-ES"/>
        </w:rPr>
      </w:pPr>
      <w:r w:rsidRPr="009C19FC">
        <w:rPr>
          <w:rFonts w:ascii="Arial" w:eastAsia="Times New Roman" w:hAnsi="Arial" w:cs="Arial"/>
          <w:color w:val="000000"/>
          <w:sz w:val="24"/>
          <w:szCs w:val="24"/>
          <w:lang w:val="es-ES" w:eastAsia="es-ES"/>
        </w:rPr>
        <w:t>- - -</w:t>
      </w:r>
    </w:p>
    <w:p w:rsidR="00943016" w:rsidRPr="009C19FC" w:rsidRDefault="00943016" w:rsidP="00943016">
      <w:pPr>
        <w:tabs>
          <w:tab w:val="left" w:pos="4253"/>
        </w:tabs>
        <w:spacing w:after="0" w:line="240" w:lineRule="auto"/>
        <w:ind w:firstLine="2835"/>
        <w:jc w:val="both"/>
        <w:rPr>
          <w:rFonts w:ascii="Arial" w:eastAsia="Times New Roman" w:hAnsi="Arial" w:cs="Arial"/>
          <w:color w:val="000000"/>
          <w:sz w:val="24"/>
          <w:szCs w:val="24"/>
          <w:lang w:val="es-ES" w:eastAsia="es-ES"/>
        </w:rPr>
      </w:pPr>
    </w:p>
    <w:p w:rsidR="00C54094" w:rsidRPr="009C19FC" w:rsidRDefault="00C54094" w:rsidP="00943016">
      <w:pPr>
        <w:tabs>
          <w:tab w:val="left" w:pos="4253"/>
        </w:tabs>
        <w:spacing w:after="0" w:line="240" w:lineRule="auto"/>
        <w:ind w:firstLine="2835"/>
        <w:jc w:val="both"/>
        <w:rPr>
          <w:rFonts w:ascii="Arial" w:eastAsia="Times New Roman" w:hAnsi="Arial" w:cs="Arial"/>
          <w:color w:val="000000"/>
          <w:sz w:val="24"/>
          <w:szCs w:val="24"/>
          <w:lang w:val="es-ES" w:eastAsia="es-ES"/>
        </w:rPr>
      </w:pPr>
    </w:p>
    <w:p w:rsidR="00943016" w:rsidRPr="009C19FC" w:rsidRDefault="00943016" w:rsidP="00943016">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Artículo tercero transitorio</w:t>
      </w:r>
    </w:p>
    <w:p w:rsidR="00943016" w:rsidRPr="009C19FC" w:rsidRDefault="00943016" w:rsidP="00943016">
      <w:pPr>
        <w:tabs>
          <w:tab w:val="left" w:pos="4253"/>
        </w:tabs>
        <w:spacing w:after="0" w:line="240" w:lineRule="auto"/>
        <w:ind w:firstLine="2835"/>
        <w:jc w:val="both"/>
        <w:rPr>
          <w:rFonts w:ascii="Arial" w:eastAsia="Times New Roman" w:hAnsi="Arial" w:cs="Arial"/>
          <w:b/>
          <w:sz w:val="24"/>
          <w:szCs w:val="24"/>
          <w:lang w:val="es-ES" w:eastAsia="es-ES"/>
        </w:rPr>
      </w:pPr>
    </w:p>
    <w:p w:rsidR="00943016" w:rsidRPr="009C19FC" w:rsidRDefault="00943016" w:rsidP="00943016">
      <w:pPr>
        <w:tabs>
          <w:tab w:val="left" w:pos="4253"/>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Pasó a ser artículo sexto transitorio, sin </w:t>
      </w:r>
      <w:r w:rsidR="00C54094" w:rsidRPr="009C19FC">
        <w:rPr>
          <w:rFonts w:ascii="Arial" w:eastAsia="Times New Roman" w:hAnsi="Arial" w:cs="Arial"/>
          <w:sz w:val="24"/>
          <w:szCs w:val="24"/>
          <w:lang w:val="es-ES" w:eastAsia="es-ES"/>
        </w:rPr>
        <w:t>enmiendas</w:t>
      </w:r>
      <w:r w:rsidRPr="009C19FC">
        <w:rPr>
          <w:rFonts w:ascii="Arial" w:eastAsia="Times New Roman" w:hAnsi="Arial" w:cs="Arial"/>
          <w:sz w:val="24"/>
          <w:szCs w:val="24"/>
          <w:lang w:val="es-ES" w:eastAsia="es-ES"/>
        </w:rPr>
        <w:t>.</w:t>
      </w:r>
    </w:p>
    <w:p w:rsidR="00943016" w:rsidRPr="009C19FC" w:rsidRDefault="00943016" w:rsidP="00010017">
      <w:pPr>
        <w:tabs>
          <w:tab w:val="left" w:pos="2835"/>
        </w:tabs>
        <w:spacing w:after="0" w:line="240" w:lineRule="auto"/>
        <w:jc w:val="both"/>
        <w:rPr>
          <w:rFonts w:ascii="Arial" w:eastAsia="Times New Roman" w:hAnsi="Arial" w:cs="Arial"/>
          <w:b/>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ab/>
      </w: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 - -</w:t>
      </w:r>
    </w:p>
    <w:p w:rsidR="00010017" w:rsidRPr="009C19FC" w:rsidRDefault="00010017" w:rsidP="00010017">
      <w:pPr>
        <w:tabs>
          <w:tab w:val="left" w:pos="2835"/>
        </w:tabs>
        <w:spacing w:after="0" w:line="240" w:lineRule="auto"/>
        <w:jc w:val="both"/>
        <w:rPr>
          <w:rFonts w:ascii="Arial" w:eastAsia="Times New Roman" w:hAnsi="Arial" w:cs="Arial"/>
          <w:sz w:val="24"/>
          <w:szCs w:val="24"/>
          <w:u w:val="single"/>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u w:val="single"/>
          <w:lang w:val="es-ES" w:eastAsia="es-ES"/>
        </w:rPr>
      </w:pP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TEXTO DEL PROYECTO</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En conformidad con los acuerdos adoptados, la Comisión de Hacienda propone aprobar el proyecto de ley en informe en los siguientes términos:</w:t>
      </w: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PROYECTO DE LEY</w:t>
      </w:r>
    </w:p>
    <w:p w:rsidR="00010017" w:rsidRPr="009C19FC" w:rsidRDefault="00010017" w:rsidP="00010017">
      <w:pPr>
        <w:tabs>
          <w:tab w:val="left" w:pos="2835"/>
        </w:tabs>
        <w:spacing w:after="0" w:line="240" w:lineRule="auto"/>
        <w:jc w:val="both"/>
        <w:rPr>
          <w:rFonts w:ascii="Arial" w:eastAsia="Times New Roman" w:hAnsi="Arial" w:cs="Times New Roman"/>
          <w:bCs/>
          <w:sz w:val="24"/>
          <w:szCs w:val="24"/>
          <w:lang w:eastAsia="es-ES"/>
        </w:rPr>
      </w:pPr>
    </w:p>
    <w:p w:rsidR="00010017" w:rsidRPr="009C19FC" w:rsidRDefault="00010017" w:rsidP="00010017">
      <w:pPr>
        <w:tabs>
          <w:tab w:val="left" w:pos="851"/>
          <w:tab w:val="left" w:pos="2835"/>
          <w:tab w:val="left" w:pos="4751"/>
        </w:tabs>
        <w:spacing w:after="0" w:line="240" w:lineRule="auto"/>
        <w:ind w:right="51" w:firstLine="851"/>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 </w:t>
      </w:r>
      <w:r w:rsidRPr="009C19FC">
        <w:rPr>
          <w:rFonts w:ascii="Arial" w:eastAsia="Times New Roman" w:hAnsi="Arial" w:cs="Arial"/>
          <w:sz w:val="24"/>
          <w:szCs w:val="24"/>
          <w:lang w:val="es-ES" w:eastAsia="es-ES"/>
        </w:rPr>
        <w:tab/>
        <w:t>“</w:t>
      </w:r>
      <w:r w:rsidRPr="009C19FC">
        <w:rPr>
          <w:rFonts w:ascii="Arial" w:eastAsia="Times New Roman" w:hAnsi="Arial" w:cs="Arial"/>
          <w:b/>
          <w:sz w:val="24"/>
          <w:szCs w:val="24"/>
          <w:lang w:val="es-ES" w:eastAsia="es-ES"/>
        </w:rPr>
        <w:t>Artículo único.-</w:t>
      </w:r>
      <w:r w:rsidRPr="009C19FC">
        <w:rPr>
          <w:rFonts w:ascii="Arial" w:eastAsia="Times New Roman" w:hAnsi="Arial" w:cs="Arial"/>
          <w:sz w:val="24"/>
          <w:szCs w:val="24"/>
          <w:lang w:val="es-ES" w:eastAsia="es-ES"/>
        </w:rPr>
        <w:t xml:space="preserve"> </w:t>
      </w:r>
      <w:proofErr w:type="spellStart"/>
      <w:r w:rsidRPr="009C19FC">
        <w:rPr>
          <w:rFonts w:ascii="Arial" w:eastAsia="Times New Roman" w:hAnsi="Arial" w:cs="Arial"/>
          <w:sz w:val="24"/>
          <w:szCs w:val="24"/>
          <w:lang w:val="es-ES" w:eastAsia="es-ES"/>
        </w:rPr>
        <w:t>Introdúcense</w:t>
      </w:r>
      <w:proofErr w:type="spellEnd"/>
      <w:r w:rsidRPr="009C19FC">
        <w:rPr>
          <w:rFonts w:ascii="Arial" w:eastAsia="Times New Roman" w:hAnsi="Arial" w:cs="Arial"/>
          <w:sz w:val="24"/>
          <w:szCs w:val="24"/>
          <w:lang w:val="es-ES" w:eastAsia="es-ES"/>
        </w:rPr>
        <w:t xml:space="preserve"> las siguientes modificaciones en la ley N°19.728, que establece un Seguro de Desempleo:</w:t>
      </w:r>
    </w:p>
    <w:p w:rsidR="00010017" w:rsidRPr="009C19FC" w:rsidRDefault="00010017" w:rsidP="00010017">
      <w:pPr>
        <w:tabs>
          <w:tab w:val="left" w:pos="851"/>
          <w:tab w:val="left" w:pos="2835"/>
          <w:tab w:val="left" w:pos="4751"/>
        </w:tabs>
        <w:spacing w:after="0" w:line="240" w:lineRule="auto"/>
        <w:ind w:right="51"/>
        <w:jc w:val="both"/>
        <w:rPr>
          <w:rFonts w:ascii="Arial" w:eastAsia="Times New Roman" w:hAnsi="Arial" w:cs="Arial"/>
          <w:sz w:val="24"/>
          <w:szCs w:val="24"/>
          <w:lang w:val="es-ES" w:eastAsia="es-ES"/>
        </w:rPr>
      </w:pPr>
    </w:p>
    <w:p w:rsidR="00010017" w:rsidRPr="009C19FC" w:rsidRDefault="00010017" w:rsidP="00010017">
      <w:pPr>
        <w:tabs>
          <w:tab w:val="left" w:pos="851"/>
          <w:tab w:val="left" w:pos="2835"/>
          <w:tab w:val="left" w:pos="4751"/>
        </w:tabs>
        <w:spacing w:after="0" w:line="240" w:lineRule="auto"/>
        <w:ind w:right="51"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1)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xml:space="preserve"> la tabla del inciso </w:t>
      </w:r>
      <w:r w:rsidRPr="009C19FC">
        <w:rPr>
          <w:rFonts w:ascii="Arial" w:eastAsia="Times New Roman" w:hAnsi="Arial" w:cs="Arial"/>
          <w:b/>
          <w:sz w:val="24"/>
          <w:szCs w:val="24"/>
          <w:lang w:val="es-ES" w:eastAsia="es-ES"/>
        </w:rPr>
        <w:t>segundo</w:t>
      </w:r>
      <w:r w:rsidRPr="009C19FC">
        <w:rPr>
          <w:rFonts w:ascii="Arial" w:eastAsia="Times New Roman" w:hAnsi="Arial" w:cs="Arial"/>
          <w:sz w:val="24"/>
          <w:szCs w:val="24"/>
          <w:lang w:val="es-ES" w:eastAsia="es-ES"/>
        </w:rPr>
        <w:t xml:space="preserve"> del artículo 15 por la siguiente:</w:t>
      </w:r>
    </w:p>
    <w:p w:rsidR="00010017" w:rsidRPr="009C19FC" w:rsidRDefault="00010017" w:rsidP="00010017">
      <w:pPr>
        <w:tabs>
          <w:tab w:val="left" w:pos="851"/>
          <w:tab w:val="left" w:pos="2835"/>
          <w:tab w:val="left" w:pos="4751"/>
        </w:tabs>
        <w:spacing w:after="0" w:line="240" w:lineRule="auto"/>
        <w:ind w:right="51"/>
        <w:jc w:val="both"/>
        <w:rPr>
          <w:rFonts w:ascii="Arial" w:eastAsia="Times New Roman" w:hAnsi="Arial" w:cs="Arial"/>
          <w:sz w:val="24"/>
          <w:szCs w:val="24"/>
          <w:lang w:val="es-ES" w:eastAsia="es-ES"/>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969"/>
      </w:tblGrid>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Meses</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PORCENTAJE PROMEDIO REMUNERACIÓN ÚLTIMOS 6 o 12 MESES DE COTIZACIONES, SEGÚN CORRESPONDA </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Primero</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70%</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Segundo</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55%</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Tercero</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45%</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Cuarto</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40%</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Quinto</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35%</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Sexto</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30%</w:t>
            </w:r>
          </w:p>
        </w:tc>
      </w:tr>
      <w:tr w:rsidR="00010017" w:rsidRPr="009C19FC" w:rsidTr="004E4C2E">
        <w:trPr>
          <w:jc w:val="center"/>
        </w:trPr>
        <w:tc>
          <w:tcPr>
            <w:tcW w:w="226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Séptimo o superior</w:t>
            </w:r>
          </w:p>
        </w:tc>
        <w:tc>
          <w:tcPr>
            <w:tcW w:w="39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30%</w:t>
            </w:r>
          </w:p>
        </w:tc>
      </w:tr>
    </w:tbl>
    <w:p w:rsidR="00010017" w:rsidRPr="009C19FC" w:rsidRDefault="00010017" w:rsidP="00010017">
      <w:pPr>
        <w:tabs>
          <w:tab w:val="left" w:pos="2835"/>
          <w:tab w:val="left" w:pos="4253"/>
        </w:tabs>
        <w:autoSpaceDE w:val="0"/>
        <w:autoSpaceDN w:val="0"/>
        <w:adjustRightInd w:val="0"/>
        <w:spacing w:after="0" w:line="240" w:lineRule="auto"/>
        <w:ind w:firstLine="851"/>
        <w:jc w:val="both"/>
        <w:rPr>
          <w:rFonts w:ascii="Arial" w:eastAsia="Times New Roman" w:hAnsi="Arial" w:cs="Arial"/>
          <w:sz w:val="24"/>
          <w:szCs w:val="24"/>
          <w:lang w:val="es-ES" w:eastAsia="es-ES"/>
        </w:rPr>
      </w:pP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2)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xml:space="preserve"> el inciso segundo del artículo 24 por el siguiente:</w:t>
      </w: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“Sin perjuicio de lo establecido en el artículo siguiente, un trabajador no podrá recibir más de diez pagos de prestaciones financiadas parcial o totalmente con cargo al</w:t>
      </w:r>
      <w:r w:rsidRPr="009C19FC">
        <w:rPr>
          <w:rFonts w:ascii="Arial" w:eastAsia="Times New Roman" w:hAnsi="Arial" w:cs="Arial"/>
          <w:color w:val="FF0000"/>
          <w:sz w:val="24"/>
          <w:szCs w:val="24"/>
          <w:lang w:val="es-ES" w:eastAsia="es-ES"/>
        </w:rPr>
        <w:t xml:space="preserve"> </w:t>
      </w:r>
      <w:r w:rsidRPr="009C19FC">
        <w:rPr>
          <w:rFonts w:ascii="Arial" w:eastAsia="Times New Roman" w:hAnsi="Arial" w:cs="Arial"/>
          <w:sz w:val="24"/>
          <w:szCs w:val="24"/>
          <w:lang w:val="es-ES" w:eastAsia="es-ES"/>
        </w:rPr>
        <w:t>Fondo de Cesantía Solidario, en un período de cinco años.”.</w:t>
      </w: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lastRenderedPageBreak/>
        <w:t xml:space="preserve">3) </w:t>
      </w:r>
      <w:proofErr w:type="spellStart"/>
      <w:r w:rsidRPr="009C19FC">
        <w:rPr>
          <w:rFonts w:ascii="Arial" w:eastAsia="Times New Roman" w:hAnsi="Arial" w:cs="Arial"/>
          <w:sz w:val="24"/>
          <w:szCs w:val="24"/>
          <w:lang w:val="es-ES" w:eastAsia="es-ES"/>
        </w:rPr>
        <w:t>Modifícase</w:t>
      </w:r>
      <w:proofErr w:type="spellEnd"/>
      <w:r w:rsidRPr="009C19FC">
        <w:rPr>
          <w:rFonts w:ascii="Arial" w:eastAsia="Times New Roman" w:hAnsi="Arial" w:cs="Arial"/>
          <w:b/>
          <w:sz w:val="24"/>
          <w:szCs w:val="24"/>
          <w:lang w:val="es-ES" w:eastAsia="es-ES"/>
        </w:rPr>
        <w:t xml:space="preserve"> </w:t>
      </w:r>
      <w:r w:rsidRPr="009C19FC">
        <w:rPr>
          <w:rFonts w:ascii="Arial" w:eastAsia="Times New Roman" w:hAnsi="Arial" w:cs="Arial"/>
          <w:sz w:val="24"/>
          <w:szCs w:val="24"/>
          <w:lang w:val="es-ES" w:eastAsia="es-ES"/>
        </w:rPr>
        <w:t>el artículo 25 de la siguiente forma:</w:t>
      </w:r>
    </w:p>
    <w:p w:rsidR="00010017" w:rsidRPr="009C19FC" w:rsidRDefault="00010017" w:rsidP="00010017">
      <w:pPr>
        <w:tabs>
          <w:tab w:val="left" w:pos="2835"/>
          <w:tab w:val="left" w:pos="4253"/>
        </w:tabs>
        <w:autoSpaceDE w:val="0"/>
        <w:autoSpaceDN w:val="0"/>
        <w:adjustRightInd w:val="0"/>
        <w:spacing w:after="0" w:line="240" w:lineRule="auto"/>
        <w:ind w:firstLine="851"/>
        <w:jc w:val="both"/>
        <w:rPr>
          <w:rFonts w:ascii="Arial" w:eastAsia="Times New Roman" w:hAnsi="Arial" w:cs="Arial"/>
          <w:sz w:val="24"/>
          <w:szCs w:val="24"/>
          <w:lang w:val="es-ES" w:eastAsia="es-ES"/>
        </w:rPr>
      </w:pPr>
    </w:p>
    <w:p w:rsidR="00010017" w:rsidRPr="009C19FC" w:rsidRDefault="00010017" w:rsidP="00010017">
      <w:pPr>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a) </w:t>
      </w:r>
      <w:proofErr w:type="spellStart"/>
      <w:r w:rsidRPr="009C19FC">
        <w:rPr>
          <w:rFonts w:ascii="Arial" w:eastAsia="Calibri" w:hAnsi="Arial" w:cs="Arial"/>
          <w:sz w:val="24"/>
          <w:szCs w:val="24"/>
        </w:rPr>
        <w:t>Reemplázase</w:t>
      </w:r>
      <w:proofErr w:type="spellEnd"/>
      <w:r w:rsidRPr="009C19FC">
        <w:rPr>
          <w:rFonts w:ascii="Arial" w:eastAsia="Calibri" w:hAnsi="Arial" w:cs="Arial"/>
          <w:sz w:val="24"/>
          <w:szCs w:val="24"/>
        </w:rPr>
        <w:t xml:space="preserve"> la tabla del inciso primero por la siguiente: </w:t>
      </w:r>
    </w:p>
    <w:p w:rsidR="00010017" w:rsidRPr="009C19FC" w:rsidRDefault="00010017" w:rsidP="00010017">
      <w:pPr>
        <w:spacing w:after="0" w:line="240" w:lineRule="auto"/>
        <w:ind w:firstLine="851"/>
        <w:contextualSpacing/>
        <w:jc w:val="both"/>
        <w:rPr>
          <w:rFonts w:ascii="Arial" w:eastAsia="Calibri" w:hAnsi="Arial" w:cs="Arial"/>
          <w:sz w:val="24"/>
          <w:szCs w:val="24"/>
        </w:rPr>
      </w:pPr>
    </w:p>
    <w:tbl>
      <w:tblPr>
        <w:tblW w:w="6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90"/>
        <w:gridCol w:w="1470"/>
        <w:gridCol w:w="1389"/>
      </w:tblGrid>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MESES</w:t>
            </w:r>
          </w:p>
        </w:tc>
        <w:tc>
          <w:tcPr>
            <w:tcW w:w="205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PORCENTAJE PROMEDIO REMUNERACIÓN ÚLTIMOS 12 MESES</w:t>
            </w:r>
          </w:p>
        </w:tc>
        <w:tc>
          <w:tcPr>
            <w:tcW w:w="14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VALOR SUPERIOR</w:t>
            </w:r>
          </w:p>
        </w:tc>
        <w:tc>
          <w:tcPr>
            <w:tcW w:w="148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VALOR INFERIOR</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Primero</w:t>
            </w:r>
          </w:p>
        </w:tc>
        <w:tc>
          <w:tcPr>
            <w:tcW w:w="205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70%</w:t>
            </w:r>
          </w:p>
        </w:tc>
        <w:tc>
          <w:tcPr>
            <w:tcW w:w="14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$525.000</w:t>
            </w:r>
          </w:p>
        </w:tc>
        <w:tc>
          <w:tcPr>
            <w:tcW w:w="148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$157.500</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Segundo</w:t>
            </w:r>
          </w:p>
        </w:tc>
        <w:tc>
          <w:tcPr>
            <w:tcW w:w="205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55%</w:t>
            </w:r>
          </w:p>
        </w:tc>
        <w:tc>
          <w:tcPr>
            <w:tcW w:w="14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$412.500</w:t>
            </w:r>
          </w:p>
        </w:tc>
        <w:tc>
          <w:tcPr>
            <w:tcW w:w="148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$123.750</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Tercero</w:t>
            </w:r>
          </w:p>
        </w:tc>
        <w:tc>
          <w:tcPr>
            <w:tcW w:w="205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45%</w:t>
            </w:r>
          </w:p>
        </w:tc>
        <w:tc>
          <w:tcPr>
            <w:tcW w:w="14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$337.500</w:t>
            </w:r>
          </w:p>
        </w:tc>
        <w:tc>
          <w:tcPr>
            <w:tcW w:w="148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$101.250</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Cuarto</w:t>
            </w:r>
          </w:p>
        </w:tc>
        <w:tc>
          <w:tcPr>
            <w:tcW w:w="205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40%</w:t>
            </w:r>
          </w:p>
        </w:tc>
        <w:tc>
          <w:tcPr>
            <w:tcW w:w="14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$300.000</w:t>
            </w:r>
          </w:p>
        </w:tc>
        <w:tc>
          <w:tcPr>
            <w:tcW w:w="148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$ 90.000</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Quinto</w:t>
            </w:r>
          </w:p>
        </w:tc>
        <w:tc>
          <w:tcPr>
            <w:tcW w:w="205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35%</w:t>
            </w:r>
          </w:p>
        </w:tc>
        <w:tc>
          <w:tcPr>
            <w:tcW w:w="1469"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$262.500</w:t>
            </w:r>
          </w:p>
        </w:tc>
        <w:tc>
          <w:tcPr>
            <w:tcW w:w="148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$ 78.750</w:t>
            </w:r>
          </w:p>
        </w:tc>
      </w:tr>
    </w:tbl>
    <w:p w:rsidR="00010017" w:rsidRPr="009C19FC" w:rsidRDefault="00010017" w:rsidP="00010017">
      <w:pPr>
        <w:tabs>
          <w:tab w:val="left" w:pos="1134"/>
          <w:tab w:val="left" w:pos="2552"/>
          <w:tab w:val="left" w:pos="2835"/>
          <w:tab w:val="left" w:pos="3686"/>
          <w:tab w:val="left" w:pos="4820"/>
        </w:tabs>
        <w:spacing w:after="0" w:line="240" w:lineRule="auto"/>
        <w:ind w:left="851"/>
        <w:contextualSpacing/>
        <w:jc w:val="both"/>
        <w:rPr>
          <w:rFonts w:ascii="Arial" w:eastAsia="Calibri" w:hAnsi="Arial" w:cs="Arial"/>
          <w:sz w:val="24"/>
          <w:szCs w:val="24"/>
        </w:rPr>
      </w:pPr>
    </w:p>
    <w:p w:rsidR="00010017" w:rsidRPr="009C19FC" w:rsidRDefault="00010017" w:rsidP="00010017">
      <w:pPr>
        <w:tabs>
          <w:tab w:val="left" w:pos="1134"/>
          <w:tab w:val="left" w:pos="2552"/>
          <w:tab w:val="left" w:pos="2835"/>
          <w:tab w:val="left" w:pos="3686"/>
          <w:tab w:val="left" w:pos="4820"/>
        </w:tabs>
        <w:spacing w:after="0" w:line="240" w:lineRule="auto"/>
        <w:ind w:left="69" w:firstLine="2766"/>
        <w:contextualSpacing/>
        <w:jc w:val="both"/>
        <w:rPr>
          <w:rFonts w:ascii="Arial" w:eastAsia="Calibri" w:hAnsi="Arial" w:cs="Arial"/>
          <w:sz w:val="24"/>
          <w:szCs w:val="24"/>
        </w:rPr>
      </w:pPr>
      <w:r w:rsidRPr="009C19FC">
        <w:rPr>
          <w:rFonts w:ascii="Arial" w:eastAsia="Calibri" w:hAnsi="Arial" w:cs="Arial"/>
          <w:sz w:val="24"/>
          <w:szCs w:val="24"/>
        </w:rPr>
        <w:t xml:space="preserve">b) </w:t>
      </w:r>
      <w:proofErr w:type="spellStart"/>
      <w:r w:rsidRPr="009C19FC">
        <w:rPr>
          <w:rFonts w:ascii="Arial" w:eastAsia="Calibri" w:hAnsi="Arial" w:cs="Arial"/>
          <w:sz w:val="24"/>
          <w:szCs w:val="24"/>
        </w:rPr>
        <w:t>Reemplázase</w:t>
      </w:r>
      <w:proofErr w:type="spellEnd"/>
      <w:r w:rsidRPr="009C19FC">
        <w:rPr>
          <w:rFonts w:ascii="Arial" w:eastAsia="Calibri" w:hAnsi="Arial" w:cs="Arial"/>
          <w:sz w:val="24"/>
          <w:szCs w:val="24"/>
        </w:rPr>
        <w:t xml:space="preserve">, en el inciso segundo, la expresión “segundo mes, con los porcentajes y valores superiores e inferiores señalados para los meses cuarto y quinto de la tabla establecida en el inciso anterior” por “tercer mes, con los porcentajes y valores superiores e inferiores señalados en la tabla siguiente:”. </w:t>
      </w:r>
    </w:p>
    <w:p w:rsidR="00010017" w:rsidRPr="009C19FC" w:rsidRDefault="00010017" w:rsidP="00010017">
      <w:pPr>
        <w:tabs>
          <w:tab w:val="left" w:pos="993"/>
          <w:tab w:val="left" w:pos="2552"/>
          <w:tab w:val="left" w:pos="3686"/>
        </w:tabs>
        <w:spacing w:after="0" w:line="240" w:lineRule="auto"/>
        <w:ind w:firstLine="2766"/>
        <w:contextualSpacing/>
        <w:jc w:val="both"/>
        <w:rPr>
          <w:rFonts w:ascii="Arial" w:eastAsia="Calibri" w:hAnsi="Arial" w:cs="Arial"/>
          <w:sz w:val="24"/>
          <w:szCs w:val="24"/>
        </w:rPr>
      </w:pPr>
    </w:p>
    <w:p w:rsidR="00010017" w:rsidRPr="009C19FC" w:rsidRDefault="00010017" w:rsidP="00010017">
      <w:pPr>
        <w:tabs>
          <w:tab w:val="left" w:pos="1134"/>
          <w:tab w:val="left" w:pos="2552"/>
          <w:tab w:val="left" w:pos="2835"/>
          <w:tab w:val="left" w:pos="3686"/>
          <w:tab w:val="left" w:pos="4820"/>
        </w:tabs>
        <w:spacing w:after="0" w:line="240" w:lineRule="auto"/>
        <w:ind w:firstLine="2766"/>
        <w:contextualSpacing/>
        <w:jc w:val="both"/>
        <w:rPr>
          <w:rFonts w:ascii="Arial" w:eastAsia="Calibri" w:hAnsi="Arial" w:cs="Arial"/>
          <w:sz w:val="24"/>
          <w:szCs w:val="24"/>
        </w:rPr>
      </w:pPr>
      <w:r w:rsidRPr="009C19FC">
        <w:rPr>
          <w:rFonts w:ascii="Arial" w:eastAsia="Calibri" w:hAnsi="Arial" w:cs="Arial"/>
          <w:sz w:val="24"/>
          <w:szCs w:val="24"/>
        </w:rPr>
        <w:t xml:space="preserve">c) </w:t>
      </w:r>
      <w:proofErr w:type="spellStart"/>
      <w:r w:rsidRPr="009C19FC">
        <w:rPr>
          <w:rFonts w:ascii="Arial" w:eastAsia="Calibri" w:hAnsi="Arial" w:cs="Arial"/>
          <w:sz w:val="24"/>
          <w:szCs w:val="24"/>
        </w:rPr>
        <w:t>Intercálase</w:t>
      </w:r>
      <w:proofErr w:type="spellEnd"/>
      <w:r w:rsidRPr="009C19FC">
        <w:rPr>
          <w:rFonts w:ascii="Arial" w:eastAsia="Calibri" w:hAnsi="Arial" w:cs="Arial"/>
          <w:sz w:val="24"/>
          <w:szCs w:val="24"/>
        </w:rPr>
        <w:t xml:space="preserve">, entre el actual inciso segundo y el inciso tercero, la siguiente tabla: </w:t>
      </w:r>
    </w:p>
    <w:p w:rsidR="00010017" w:rsidRPr="009C19FC" w:rsidRDefault="00010017" w:rsidP="00010017">
      <w:pPr>
        <w:tabs>
          <w:tab w:val="left" w:pos="993"/>
        </w:tabs>
        <w:spacing w:after="0" w:line="240" w:lineRule="auto"/>
        <w:ind w:firstLine="851"/>
        <w:contextualSpacing/>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190"/>
        <w:gridCol w:w="1518"/>
        <w:gridCol w:w="1542"/>
      </w:tblGrid>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p>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MESES</w:t>
            </w:r>
          </w:p>
        </w:tc>
        <w:tc>
          <w:tcPr>
            <w:tcW w:w="2116"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PORCENTAJE PROMEDIO REMUNERACIÓN ÚLTIMOS 12 MESES</w:t>
            </w:r>
          </w:p>
        </w:tc>
        <w:tc>
          <w:tcPr>
            <w:tcW w:w="151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VALOR SUPERIOR</w:t>
            </w:r>
          </w:p>
        </w:tc>
        <w:tc>
          <w:tcPr>
            <w:tcW w:w="1542"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VALOR INFERIOR</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Primero</w:t>
            </w:r>
          </w:p>
        </w:tc>
        <w:tc>
          <w:tcPr>
            <w:tcW w:w="2116"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50%</w:t>
            </w:r>
          </w:p>
        </w:tc>
        <w:tc>
          <w:tcPr>
            <w:tcW w:w="151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$375.000</w:t>
            </w:r>
          </w:p>
        </w:tc>
        <w:tc>
          <w:tcPr>
            <w:tcW w:w="1542"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$112.500</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Segundo</w:t>
            </w:r>
          </w:p>
        </w:tc>
        <w:tc>
          <w:tcPr>
            <w:tcW w:w="2116"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40%</w:t>
            </w:r>
          </w:p>
        </w:tc>
        <w:tc>
          <w:tcPr>
            <w:tcW w:w="151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$300.000</w:t>
            </w:r>
          </w:p>
        </w:tc>
        <w:tc>
          <w:tcPr>
            <w:tcW w:w="1542"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$90.000</w:t>
            </w:r>
          </w:p>
        </w:tc>
      </w:tr>
      <w:tr w:rsidR="00010017" w:rsidRPr="009C19FC" w:rsidTr="004E4C2E">
        <w:trPr>
          <w:jc w:val="center"/>
        </w:trPr>
        <w:tc>
          <w:tcPr>
            <w:tcW w:w="1225"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Tercero</w:t>
            </w:r>
          </w:p>
        </w:tc>
        <w:tc>
          <w:tcPr>
            <w:tcW w:w="2116"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35%</w:t>
            </w:r>
          </w:p>
        </w:tc>
        <w:tc>
          <w:tcPr>
            <w:tcW w:w="1518"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$262.500</w:t>
            </w:r>
          </w:p>
        </w:tc>
        <w:tc>
          <w:tcPr>
            <w:tcW w:w="1542"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552"/>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$78.750</w:t>
            </w:r>
          </w:p>
        </w:tc>
      </w:tr>
    </w:tbl>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p>
    <w:p w:rsidR="00010017" w:rsidRPr="009C19FC" w:rsidRDefault="00010017" w:rsidP="00010017">
      <w:pPr>
        <w:tabs>
          <w:tab w:val="left" w:pos="426"/>
          <w:tab w:val="left" w:pos="1134"/>
          <w:tab w:val="left" w:pos="2552"/>
          <w:tab w:val="left" w:pos="2835"/>
          <w:tab w:val="left" w:pos="3686"/>
          <w:tab w:val="left" w:pos="4820"/>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d) </w:t>
      </w:r>
      <w:proofErr w:type="spellStart"/>
      <w:r w:rsidRPr="009C19FC">
        <w:rPr>
          <w:rFonts w:ascii="Arial" w:eastAsia="Calibri" w:hAnsi="Arial" w:cs="Arial"/>
          <w:sz w:val="24"/>
          <w:szCs w:val="24"/>
        </w:rPr>
        <w:t>Reemplázase</w:t>
      </w:r>
      <w:proofErr w:type="spellEnd"/>
      <w:r w:rsidRPr="009C19FC">
        <w:rPr>
          <w:rFonts w:ascii="Arial" w:eastAsia="Calibri" w:hAnsi="Arial" w:cs="Arial"/>
          <w:sz w:val="24"/>
          <w:szCs w:val="24"/>
        </w:rPr>
        <w:t xml:space="preserve"> la tabla del inciso tercero por la siguiente:</w:t>
      </w:r>
    </w:p>
    <w:p w:rsidR="00010017" w:rsidRPr="009C19FC" w:rsidRDefault="00010017" w:rsidP="00010017">
      <w:pPr>
        <w:tabs>
          <w:tab w:val="left" w:pos="2552"/>
          <w:tab w:val="left" w:pos="2835"/>
          <w:tab w:val="left" w:pos="3686"/>
        </w:tabs>
        <w:spacing w:after="0" w:line="240" w:lineRule="auto"/>
        <w:contextualSpacing/>
        <w:jc w:val="both"/>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2363"/>
        <w:gridCol w:w="1734"/>
        <w:gridCol w:w="1791"/>
      </w:tblGrid>
      <w:tr w:rsidR="00010017" w:rsidRPr="009C19FC" w:rsidTr="004E4C2E">
        <w:trPr>
          <w:jc w:val="center"/>
        </w:trPr>
        <w:tc>
          <w:tcPr>
            <w:tcW w:w="513" w:type="dxa"/>
            <w:tcBorders>
              <w:top w:val="single" w:sz="4" w:space="0" w:color="auto"/>
              <w:left w:val="single" w:sz="4" w:space="0" w:color="auto"/>
              <w:bottom w:val="single" w:sz="4" w:space="0" w:color="auto"/>
              <w:right w:val="single" w:sz="4" w:space="0" w:color="auto"/>
            </w:tcBorders>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MESES</w:t>
            </w:r>
          </w:p>
        </w:tc>
        <w:tc>
          <w:tcPr>
            <w:tcW w:w="2363"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PORCENTAJE PROMEDIO REMUNERACIÓN ÚLTIMOS 12 MESES</w:t>
            </w:r>
          </w:p>
        </w:tc>
        <w:tc>
          <w:tcPr>
            <w:tcW w:w="173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VALOR SUPERIOR</w:t>
            </w:r>
          </w:p>
        </w:tc>
        <w:tc>
          <w:tcPr>
            <w:tcW w:w="1791"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VALOR INFERIOR</w:t>
            </w:r>
          </w:p>
        </w:tc>
      </w:tr>
      <w:tr w:rsidR="00010017" w:rsidRPr="009C19FC" w:rsidTr="004E4C2E">
        <w:trPr>
          <w:jc w:val="center"/>
        </w:trPr>
        <w:tc>
          <w:tcPr>
            <w:tcW w:w="513"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Sexto</w:t>
            </w:r>
          </w:p>
        </w:tc>
        <w:tc>
          <w:tcPr>
            <w:tcW w:w="2363"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30%</w:t>
            </w:r>
          </w:p>
        </w:tc>
        <w:tc>
          <w:tcPr>
            <w:tcW w:w="173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$225.000</w:t>
            </w:r>
          </w:p>
        </w:tc>
        <w:tc>
          <w:tcPr>
            <w:tcW w:w="1791"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$67.500</w:t>
            </w:r>
          </w:p>
        </w:tc>
      </w:tr>
      <w:tr w:rsidR="00010017" w:rsidRPr="009C19FC" w:rsidTr="004E4C2E">
        <w:trPr>
          <w:jc w:val="center"/>
        </w:trPr>
        <w:tc>
          <w:tcPr>
            <w:tcW w:w="513"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Séptimo</w:t>
            </w:r>
          </w:p>
        </w:tc>
        <w:tc>
          <w:tcPr>
            <w:tcW w:w="2363"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30%</w:t>
            </w:r>
          </w:p>
        </w:tc>
        <w:tc>
          <w:tcPr>
            <w:tcW w:w="1734"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$225.000</w:t>
            </w:r>
          </w:p>
        </w:tc>
        <w:tc>
          <w:tcPr>
            <w:tcW w:w="1791" w:type="dxa"/>
            <w:tcBorders>
              <w:top w:val="single" w:sz="4" w:space="0" w:color="auto"/>
              <w:left w:val="single" w:sz="4" w:space="0" w:color="auto"/>
              <w:bottom w:val="single" w:sz="4" w:space="0" w:color="auto"/>
              <w:right w:val="single" w:sz="4" w:space="0" w:color="auto"/>
            </w:tcBorders>
            <w:hideMark/>
          </w:tcPr>
          <w:p w:rsidR="00010017" w:rsidRPr="009C19FC" w:rsidRDefault="00010017" w:rsidP="00010017">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$67.500</w:t>
            </w:r>
          </w:p>
        </w:tc>
      </w:tr>
    </w:tbl>
    <w:p w:rsidR="00010017" w:rsidRPr="009C19FC" w:rsidRDefault="00010017" w:rsidP="00010017">
      <w:pPr>
        <w:tabs>
          <w:tab w:val="left" w:pos="2835"/>
          <w:tab w:val="left" w:pos="3686"/>
          <w:tab w:val="left" w:pos="4820"/>
        </w:tabs>
        <w:spacing w:after="0" w:line="240" w:lineRule="auto"/>
        <w:contextualSpacing/>
        <w:jc w:val="both"/>
        <w:rPr>
          <w:rFonts w:ascii="Arial" w:eastAsia="Calibri" w:hAnsi="Arial" w:cs="Arial"/>
          <w:sz w:val="24"/>
          <w:szCs w:val="24"/>
        </w:rPr>
      </w:pPr>
    </w:p>
    <w:p w:rsidR="00010017" w:rsidRPr="009C19FC" w:rsidRDefault="00010017" w:rsidP="00010017">
      <w:pPr>
        <w:tabs>
          <w:tab w:val="left" w:pos="1276"/>
          <w:tab w:val="left" w:pos="2835"/>
          <w:tab w:val="left" w:pos="3686"/>
          <w:tab w:val="left" w:pos="4820"/>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e) </w:t>
      </w:r>
      <w:proofErr w:type="spellStart"/>
      <w:r w:rsidRPr="009C19FC">
        <w:rPr>
          <w:rFonts w:ascii="Arial" w:eastAsia="Calibri" w:hAnsi="Arial" w:cs="Arial"/>
          <w:sz w:val="24"/>
          <w:szCs w:val="24"/>
        </w:rPr>
        <w:t>Reemplázanse</w:t>
      </w:r>
      <w:proofErr w:type="spellEnd"/>
      <w:r w:rsidRPr="009C19FC">
        <w:rPr>
          <w:rFonts w:ascii="Arial" w:eastAsia="Calibri" w:hAnsi="Arial" w:cs="Arial"/>
          <w:sz w:val="24"/>
          <w:szCs w:val="24"/>
        </w:rPr>
        <w:t xml:space="preserve">, en el inciso cuarto, las expresiones “segundo giro” por “tercer giro” y “tercer y cuarto giro” por “cuarto y quinto giro”. </w:t>
      </w:r>
    </w:p>
    <w:p w:rsidR="00010017" w:rsidRPr="009C19FC" w:rsidRDefault="00010017" w:rsidP="00010017">
      <w:pPr>
        <w:tabs>
          <w:tab w:val="left" w:pos="1134"/>
          <w:tab w:val="left" w:pos="2835"/>
          <w:tab w:val="left" w:pos="3686"/>
        </w:tabs>
        <w:spacing w:after="0" w:line="240" w:lineRule="auto"/>
        <w:ind w:firstLine="2835"/>
        <w:contextualSpacing/>
        <w:jc w:val="both"/>
        <w:rPr>
          <w:rFonts w:ascii="Arial" w:eastAsia="Calibri" w:hAnsi="Arial" w:cs="Arial"/>
          <w:sz w:val="24"/>
          <w:szCs w:val="24"/>
        </w:rPr>
      </w:pPr>
    </w:p>
    <w:p w:rsidR="00010017" w:rsidRPr="009C19FC" w:rsidRDefault="00010017" w:rsidP="00010017">
      <w:pPr>
        <w:tabs>
          <w:tab w:val="left" w:pos="1134"/>
          <w:tab w:val="left" w:pos="1276"/>
          <w:tab w:val="left" w:pos="2835"/>
          <w:tab w:val="left" w:pos="3686"/>
          <w:tab w:val="left" w:pos="4820"/>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f) </w:t>
      </w:r>
      <w:proofErr w:type="spellStart"/>
      <w:r w:rsidRPr="009C19FC">
        <w:rPr>
          <w:rFonts w:ascii="Arial" w:eastAsia="Calibri" w:hAnsi="Arial" w:cs="Arial"/>
          <w:sz w:val="24"/>
          <w:szCs w:val="24"/>
        </w:rPr>
        <w:t>Intercálase</w:t>
      </w:r>
      <w:proofErr w:type="spellEnd"/>
      <w:r w:rsidRPr="009C19FC">
        <w:rPr>
          <w:rFonts w:ascii="Arial" w:eastAsia="Calibri" w:hAnsi="Arial" w:cs="Arial"/>
          <w:sz w:val="24"/>
          <w:szCs w:val="24"/>
        </w:rPr>
        <w:t xml:space="preserve"> el siguiente inciso quinto, nuevo, pasando el actual inciso quinto a ser sexto y así sucesivamente:</w:t>
      </w:r>
    </w:p>
    <w:p w:rsidR="00010017" w:rsidRPr="009C19FC" w:rsidRDefault="00010017" w:rsidP="00010017">
      <w:pPr>
        <w:tabs>
          <w:tab w:val="left" w:pos="1134"/>
          <w:tab w:val="left" w:pos="2835"/>
          <w:tab w:val="left" w:pos="3686"/>
        </w:tabs>
        <w:spacing w:after="0" w:line="240" w:lineRule="auto"/>
        <w:ind w:firstLine="2835"/>
        <w:contextualSpacing/>
        <w:jc w:val="both"/>
        <w:rPr>
          <w:rFonts w:ascii="Arial" w:eastAsia="Calibri" w:hAnsi="Arial" w:cs="Arial"/>
          <w:sz w:val="24"/>
          <w:szCs w:val="24"/>
        </w:rPr>
      </w:pPr>
    </w:p>
    <w:p w:rsidR="00010017" w:rsidRPr="009C19FC" w:rsidRDefault="00010017" w:rsidP="00010017">
      <w:pPr>
        <w:tabs>
          <w:tab w:val="left" w:pos="1134"/>
          <w:tab w:val="left" w:pos="2835"/>
          <w:tab w:val="left" w:pos="3686"/>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“Los giros adicionales señalados en los incisos tercero y cuarto no se considerarán para el número máximo de pagos de prestaciones a que se refiere el inciso segundo del artículo 24.”.</w:t>
      </w:r>
    </w:p>
    <w:p w:rsidR="00010017" w:rsidRPr="009C19FC" w:rsidRDefault="00010017" w:rsidP="00010017">
      <w:pPr>
        <w:tabs>
          <w:tab w:val="left" w:pos="1134"/>
          <w:tab w:val="left" w:pos="2835"/>
          <w:tab w:val="left" w:pos="3686"/>
        </w:tabs>
        <w:spacing w:after="0" w:line="240" w:lineRule="auto"/>
        <w:ind w:firstLine="2835"/>
        <w:contextualSpacing/>
        <w:jc w:val="both"/>
        <w:rPr>
          <w:rFonts w:ascii="Arial" w:eastAsia="Calibri" w:hAnsi="Arial" w:cs="Arial"/>
          <w:sz w:val="24"/>
          <w:szCs w:val="24"/>
        </w:rPr>
      </w:pPr>
    </w:p>
    <w:p w:rsidR="00010017" w:rsidRPr="009C19FC" w:rsidRDefault="00010017" w:rsidP="00010017">
      <w:pPr>
        <w:tabs>
          <w:tab w:val="left" w:pos="567"/>
          <w:tab w:val="left" w:pos="1276"/>
          <w:tab w:val="left" w:pos="2835"/>
          <w:tab w:val="left" w:pos="3686"/>
          <w:tab w:val="left" w:pos="4820"/>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g) </w:t>
      </w:r>
      <w:proofErr w:type="spellStart"/>
      <w:r w:rsidRPr="009C19FC">
        <w:rPr>
          <w:rFonts w:ascii="Arial" w:eastAsia="Calibri" w:hAnsi="Arial" w:cs="Arial"/>
          <w:sz w:val="24"/>
          <w:szCs w:val="24"/>
        </w:rPr>
        <w:t>Reemplázase</w:t>
      </w:r>
      <w:proofErr w:type="spellEnd"/>
      <w:r w:rsidRPr="009C19FC">
        <w:rPr>
          <w:rFonts w:ascii="Arial" w:eastAsia="Calibri" w:hAnsi="Arial" w:cs="Arial"/>
          <w:sz w:val="24"/>
          <w:szCs w:val="24"/>
        </w:rPr>
        <w:t>, en la primera oración del inciso quinto, que ha pasado a ser sexto, la expresión “primero y tercero” por “primero, segundo y tercero”, y la palabra “febrero” por “marzo”.</w:t>
      </w:r>
    </w:p>
    <w:p w:rsidR="00010017" w:rsidRPr="009C19FC" w:rsidRDefault="00010017" w:rsidP="00010017">
      <w:pPr>
        <w:tabs>
          <w:tab w:val="left" w:pos="567"/>
          <w:tab w:val="left" w:pos="1276"/>
          <w:tab w:val="left" w:pos="2835"/>
          <w:tab w:val="left" w:pos="3686"/>
          <w:tab w:val="left" w:pos="4820"/>
        </w:tabs>
        <w:spacing w:after="0" w:line="240" w:lineRule="auto"/>
        <w:ind w:firstLine="2835"/>
        <w:contextualSpacing/>
        <w:jc w:val="both"/>
        <w:rPr>
          <w:rFonts w:ascii="Arial" w:eastAsia="Calibri" w:hAnsi="Arial" w:cs="Arial"/>
          <w:sz w:val="24"/>
          <w:szCs w:val="24"/>
        </w:rPr>
      </w:pPr>
    </w:p>
    <w:p w:rsidR="00010017" w:rsidRPr="009C19FC" w:rsidRDefault="00010017" w:rsidP="00010017">
      <w:pPr>
        <w:tabs>
          <w:tab w:val="left" w:pos="1276"/>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4) </w:t>
      </w:r>
      <w:proofErr w:type="spellStart"/>
      <w:r w:rsidRPr="009C19FC">
        <w:rPr>
          <w:rFonts w:ascii="Arial" w:eastAsia="Times New Roman" w:hAnsi="Arial" w:cs="Arial"/>
          <w:sz w:val="24"/>
          <w:szCs w:val="24"/>
          <w:lang w:val="es-ES" w:eastAsia="es-ES"/>
        </w:rPr>
        <w:t>Agrégase</w:t>
      </w:r>
      <w:proofErr w:type="spellEnd"/>
      <w:r w:rsidRPr="009C19FC">
        <w:rPr>
          <w:rFonts w:ascii="Arial" w:eastAsia="Times New Roman" w:hAnsi="Arial" w:cs="Arial"/>
          <w:sz w:val="24"/>
          <w:szCs w:val="24"/>
          <w:lang w:val="es-ES" w:eastAsia="es-ES"/>
        </w:rPr>
        <w:t>, a continuación del artículo 25 bis, el siguiente artículo 25 ter, nuevo:</w:t>
      </w:r>
    </w:p>
    <w:p w:rsidR="00010017" w:rsidRPr="009C19FC" w:rsidRDefault="00010017" w:rsidP="00010017">
      <w:pPr>
        <w:tabs>
          <w:tab w:val="left" w:pos="1276"/>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“Artículo 25 ter.- El Fondo de Cesantía Solidario aportará a la cuenta de capitalización individual obligatoria para pensiones de los beneficiarios que hayan optado por </w:t>
      </w:r>
      <w:r w:rsidRPr="009C19FC">
        <w:rPr>
          <w:rFonts w:ascii="Arial" w:eastAsia="Times New Roman" w:hAnsi="Arial" w:cs="Arial"/>
          <w:b/>
          <w:sz w:val="24"/>
          <w:szCs w:val="24"/>
          <w:lang w:val="es-ES" w:eastAsia="es-ES"/>
        </w:rPr>
        <w:t>dicho Fondo</w:t>
      </w:r>
      <w:r w:rsidRPr="009C19FC">
        <w:rPr>
          <w:rFonts w:ascii="Arial" w:eastAsia="Times New Roman" w:hAnsi="Arial" w:cs="Arial"/>
          <w:sz w:val="24"/>
          <w:szCs w:val="24"/>
          <w:lang w:val="es-ES" w:eastAsia="es-ES"/>
        </w:rPr>
        <w:t xml:space="preserve">, el monto equivalente al 10% de la prestación por cesantía que les corresponda recibir de acuerdo al artículo 25. El aporte a que se refiere este artículo </w:t>
      </w:r>
      <w:r w:rsidRPr="009C19FC">
        <w:rPr>
          <w:rFonts w:ascii="Arial" w:eastAsia="Times New Roman" w:hAnsi="Arial" w:cs="Arial"/>
          <w:color w:val="000000"/>
          <w:sz w:val="24"/>
          <w:szCs w:val="24"/>
          <w:lang w:val="es-ES" w:eastAsia="es-ES"/>
        </w:rPr>
        <w:t>deberá ser enterado por la Sociedad Administradora del Fondo y no estará afecto al cobro de comisiones por parte de</w:t>
      </w:r>
      <w:r w:rsidRPr="009C19FC">
        <w:rPr>
          <w:rFonts w:ascii="Arial" w:eastAsia="Times New Roman" w:hAnsi="Arial" w:cs="Arial"/>
          <w:sz w:val="24"/>
          <w:szCs w:val="24"/>
          <w:lang w:val="es-ES" w:eastAsia="es-ES"/>
        </w:rPr>
        <w:t xml:space="preserve"> la Administradora de Fondos de Pensiones correspondiente.”.</w:t>
      </w: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5)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xml:space="preserve"> el artículo 28 por el siguiente:</w:t>
      </w: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“Artículo 28.- El beneficiario no tendrá derecho a las prestaciones previstas en este párrafo, o cesarán las concedidas, según el caso y para cada evento de cesantía, si no busca de manera efectiva un empleo. Para estos efectos se considerará que el beneficiario no busca de manera efectiva un empleo cuando:</w:t>
      </w: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276"/>
          <w:tab w:val="left" w:pos="2835"/>
          <w:tab w:val="left" w:pos="4820"/>
        </w:tabs>
        <w:spacing w:after="0" w:line="240" w:lineRule="auto"/>
        <w:ind w:firstLine="2835"/>
        <w:contextualSpacing/>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 No se inscribiere en la Bolsa Nacional de Empleo.</w:t>
      </w:r>
    </w:p>
    <w:p w:rsidR="00010017" w:rsidRPr="009C19FC" w:rsidRDefault="00010017" w:rsidP="00010017">
      <w:pPr>
        <w:tabs>
          <w:tab w:val="left" w:pos="2835"/>
          <w:tab w:val="left" w:pos="4820"/>
        </w:tabs>
        <w:spacing w:after="0" w:line="240" w:lineRule="auto"/>
        <w:ind w:left="60" w:firstLine="2835"/>
        <w:jc w:val="both"/>
        <w:rPr>
          <w:rFonts w:ascii="Arial" w:eastAsia="Times New Roman" w:hAnsi="Arial" w:cs="Arial"/>
          <w:sz w:val="24"/>
          <w:szCs w:val="24"/>
          <w:lang w:val="es-ES" w:eastAsia="es-ES"/>
        </w:rPr>
      </w:pPr>
    </w:p>
    <w:p w:rsidR="00010017" w:rsidRPr="009C19FC" w:rsidRDefault="00010017" w:rsidP="00010017">
      <w:pPr>
        <w:tabs>
          <w:tab w:val="left" w:pos="1276"/>
          <w:tab w:val="left" w:pos="2835"/>
          <w:tab w:val="left" w:pos="4820"/>
        </w:tabs>
        <w:spacing w:after="0" w:line="240" w:lineRule="auto"/>
        <w:ind w:left="60"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b) No postulare, reiteradamente y sin causa justificada, a una oportunidad de empleo que se encuentre disponible según le informare la respectiva Oficina Municipal de Intermediación Laboral o la Bolsa Nacional de Empleo. </w:t>
      </w:r>
    </w:p>
    <w:p w:rsidR="00010017" w:rsidRPr="009C19FC" w:rsidRDefault="00010017" w:rsidP="00010017">
      <w:pPr>
        <w:tabs>
          <w:tab w:val="left" w:pos="1276"/>
          <w:tab w:val="left" w:pos="2835"/>
          <w:tab w:val="left" w:pos="4820"/>
        </w:tabs>
        <w:spacing w:after="0" w:line="240" w:lineRule="auto"/>
        <w:ind w:left="60" w:firstLine="2835"/>
        <w:jc w:val="both"/>
        <w:rPr>
          <w:rFonts w:ascii="Arial" w:eastAsia="Times New Roman" w:hAnsi="Arial" w:cs="Arial"/>
          <w:sz w:val="24"/>
          <w:szCs w:val="24"/>
          <w:lang w:val="es-ES" w:eastAsia="es-ES"/>
        </w:rPr>
      </w:pPr>
    </w:p>
    <w:p w:rsidR="00010017" w:rsidRPr="009C19FC" w:rsidRDefault="00010017" w:rsidP="00010017">
      <w:pPr>
        <w:tabs>
          <w:tab w:val="left" w:pos="1276"/>
          <w:tab w:val="left" w:pos="2835"/>
          <w:tab w:val="left" w:pos="4820"/>
        </w:tabs>
        <w:spacing w:after="0" w:line="240" w:lineRule="auto"/>
        <w:ind w:left="60" w:firstLine="2835"/>
        <w:contextualSpacing/>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c) No concurriere, reiteradamente y sin causa justificada, a entrevistas de empleo  debidamente intermediadas por las mismas instituciones a que se refiere la letra anterior.</w:t>
      </w:r>
    </w:p>
    <w:p w:rsidR="00010017" w:rsidRPr="009C19FC" w:rsidRDefault="00010017" w:rsidP="00010017">
      <w:pPr>
        <w:tabs>
          <w:tab w:val="left" w:pos="2835"/>
          <w:tab w:val="left" w:pos="4820"/>
        </w:tabs>
        <w:spacing w:after="0" w:line="240" w:lineRule="auto"/>
        <w:ind w:left="60"/>
        <w:jc w:val="both"/>
        <w:rPr>
          <w:rFonts w:ascii="Arial" w:eastAsia="Times New Roman" w:hAnsi="Arial" w:cs="Arial"/>
          <w:sz w:val="24"/>
          <w:szCs w:val="24"/>
          <w:lang w:val="es-ES" w:eastAsia="es-ES"/>
        </w:rPr>
      </w:pPr>
    </w:p>
    <w:p w:rsidR="00010017" w:rsidRPr="009C19FC" w:rsidRDefault="00010017" w:rsidP="00010017">
      <w:pPr>
        <w:tabs>
          <w:tab w:val="left" w:pos="1276"/>
          <w:tab w:val="left" w:pos="2835"/>
          <w:tab w:val="left" w:pos="4820"/>
        </w:tabs>
        <w:spacing w:after="0" w:line="240" w:lineRule="auto"/>
        <w:ind w:left="60" w:firstLine="277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d) Rechazare, sin causa justificada, una oportunidad de empleo intermediada o la capacitación ofrecida por la respectiva oficina Municipal de Intermediación Laboral o la Bolsa Nacional de Empleo.</w:t>
      </w:r>
    </w:p>
    <w:p w:rsidR="00010017" w:rsidRPr="009C19FC" w:rsidRDefault="00010017" w:rsidP="00010017">
      <w:pPr>
        <w:tabs>
          <w:tab w:val="left" w:pos="1276"/>
          <w:tab w:val="left" w:pos="2835"/>
          <w:tab w:val="left" w:pos="4820"/>
        </w:tabs>
        <w:spacing w:after="0" w:line="240" w:lineRule="auto"/>
        <w:ind w:left="60" w:firstLine="2775"/>
        <w:jc w:val="both"/>
        <w:rPr>
          <w:rFonts w:ascii="Arial" w:eastAsia="Times New Roman" w:hAnsi="Arial" w:cs="Arial"/>
          <w:sz w:val="24"/>
          <w:szCs w:val="24"/>
          <w:lang w:val="es-ES" w:eastAsia="es-ES"/>
        </w:rPr>
      </w:pPr>
    </w:p>
    <w:p w:rsidR="00010017" w:rsidRPr="009C19FC" w:rsidRDefault="00010017" w:rsidP="00010017">
      <w:pPr>
        <w:tabs>
          <w:tab w:val="left" w:pos="1276"/>
          <w:tab w:val="left" w:pos="2835"/>
          <w:tab w:val="left" w:pos="4820"/>
        </w:tabs>
        <w:spacing w:after="0" w:line="240" w:lineRule="auto"/>
        <w:ind w:left="60" w:firstLine="277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e) Rechazare</w:t>
      </w:r>
      <w:r w:rsidRPr="009C19FC">
        <w:rPr>
          <w:rFonts w:ascii="Arial" w:eastAsia="Times New Roman" w:hAnsi="Arial" w:cs="Arial"/>
          <w:b/>
          <w:sz w:val="24"/>
          <w:szCs w:val="24"/>
          <w:lang w:val="es-ES" w:eastAsia="es-ES"/>
        </w:rPr>
        <w:t>, sin causa justificada,</w:t>
      </w:r>
      <w:r w:rsidRPr="009C19FC">
        <w:rPr>
          <w:rFonts w:ascii="Arial" w:eastAsia="Times New Roman" w:hAnsi="Arial" w:cs="Arial"/>
          <w:sz w:val="24"/>
          <w:szCs w:val="24"/>
          <w:lang w:val="es-ES" w:eastAsia="es-ES"/>
        </w:rPr>
        <w:t xml:space="preserve"> una beca de capacitación ofrecida y financiada por el Servicio Nacional de Capacitación y Empleo.</w:t>
      </w:r>
    </w:p>
    <w:p w:rsidR="00010017" w:rsidRPr="009C19FC" w:rsidRDefault="00010017" w:rsidP="00010017">
      <w:pPr>
        <w:tabs>
          <w:tab w:val="left" w:pos="1276"/>
          <w:tab w:val="left" w:pos="2835"/>
          <w:tab w:val="left" w:pos="4820"/>
        </w:tabs>
        <w:spacing w:after="0" w:line="240" w:lineRule="auto"/>
        <w:ind w:left="60" w:firstLine="2775"/>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ind w:firstLine="277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lastRenderedPageBreak/>
        <w:t xml:space="preserve">Para los efectos del inciso anterior, serán consideradas como causas justificadas del beneficiario, causas de similar entidad, tales como: </w:t>
      </w:r>
    </w:p>
    <w:p w:rsidR="00010017" w:rsidRPr="009C19FC" w:rsidRDefault="00010017" w:rsidP="00010017">
      <w:pPr>
        <w:tabs>
          <w:tab w:val="left" w:pos="2835"/>
        </w:tabs>
        <w:spacing w:after="0" w:line="240" w:lineRule="auto"/>
        <w:ind w:firstLine="2775"/>
        <w:jc w:val="both"/>
        <w:rPr>
          <w:rFonts w:ascii="Arial" w:eastAsia="Times New Roman" w:hAnsi="Arial" w:cs="Arial"/>
          <w:sz w:val="24"/>
          <w:szCs w:val="24"/>
          <w:lang w:val="es-ES" w:eastAsia="es-ES"/>
        </w:rPr>
      </w:pPr>
    </w:p>
    <w:p w:rsidR="00010017" w:rsidRPr="009C19FC" w:rsidRDefault="00010017" w:rsidP="00010017">
      <w:pPr>
        <w:tabs>
          <w:tab w:val="left" w:pos="1134"/>
        </w:tabs>
        <w:spacing w:after="0" w:line="240" w:lineRule="auto"/>
        <w:ind w:firstLine="2775"/>
        <w:contextualSpacing/>
        <w:jc w:val="both"/>
        <w:rPr>
          <w:rFonts w:ascii="Arial" w:eastAsia="Calibri" w:hAnsi="Arial" w:cs="Arial"/>
          <w:sz w:val="24"/>
          <w:szCs w:val="24"/>
        </w:rPr>
      </w:pPr>
      <w:r w:rsidRPr="009C19FC">
        <w:rPr>
          <w:rFonts w:ascii="Arial" w:eastAsia="Calibri" w:hAnsi="Arial" w:cs="Arial"/>
          <w:sz w:val="24"/>
          <w:szCs w:val="24"/>
        </w:rPr>
        <w:t xml:space="preserve">a) Padecer alguna enfermedad o discapacidad que le impida desarrollar el empleo ofrecido. </w:t>
      </w:r>
    </w:p>
    <w:p w:rsidR="00010017" w:rsidRPr="009C19FC" w:rsidRDefault="00010017" w:rsidP="00010017">
      <w:pPr>
        <w:tabs>
          <w:tab w:val="left" w:pos="284"/>
          <w:tab w:val="left" w:pos="4820"/>
        </w:tabs>
        <w:spacing w:after="0" w:line="240" w:lineRule="auto"/>
        <w:ind w:firstLine="2775"/>
        <w:contextualSpacing/>
        <w:jc w:val="both"/>
        <w:rPr>
          <w:rFonts w:ascii="Arial" w:eastAsia="Calibri" w:hAnsi="Arial" w:cs="Arial"/>
          <w:sz w:val="24"/>
          <w:szCs w:val="24"/>
        </w:rPr>
      </w:pPr>
    </w:p>
    <w:p w:rsidR="00010017" w:rsidRPr="009C19FC" w:rsidRDefault="00010017" w:rsidP="00010017">
      <w:pPr>
        <w:tabs>
          <w:tab w:val="left" w:pos="1276"/>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b) Residir en una localidad distante del lugar donde se realice la entrevista de empleo, donde deba desempeñarse el respectivo empleo o donde se realice la capacitación ofrecida.</w:t>
      </w:r>
    </w:p>
    <w:p w:rsidR="00010017" w:rsidRPr="009C19FC" w:rsidRDefault="00010017" w:rsidP="00010017">
      <w:pPr>
        <w:tabs>
          <w:tab w:val="left" w:pos="1276"/>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 </w:t>
      </w:r>
    </w:p>
    <w:p w:rsidR="00010017" w:rsidRPr="009C19FC" w:rsidRDefault="00010017" w:rsidP="00010017">
      <w:pPr>
        <w:tabs>
          <w:tab w:val="left" w:pos="284"/>
          <w:tab w:val="left" w:pos="1276"/>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 xml:space="preserve">c) El empleo </w:t>
      </w:r>
      <w:r w:rsidRPr="009C19FC">
        <w:rPr>
          <w:rFonts w:ascii="Arial" w:eastAsia="Calibri" w:hAnsi="Arial" w:cs="Arial"/>
          <w:b/>
          <w:sz w:val="24"/>
          <w:szCs w:val="24"/>
        </w:rPr>
        <w:t>o beca de capacitación ofrecidos</w:t>
      </w:r>
      <w:r w:rsidRPr="009C19FC">
        <w:rPr>
          <w:rFonts w:ascii="Arial" w:eastAsia="Calibri" w:hAnsi="Arial" w:cs="Arial"/>
          <w:sz w:val="24"/>
          <w:szCs w:val="24"/>
        </w:rPr>
        <w:t xml:space="preserve"> no </w:t>
      </w:r>
      <w:r w:rsidRPr="009C19FC">
        <w:rPr>
          <w:rFonts w:ascii="Arial" w:eastAsia="Calibri" w:hAnsi="Arial" w:cs="Arial"/>
          <w:b/>
          <w:sz w:val="24"/>
          <w:szCs w:val="24"/>
        </w:rPr>
        <w:t>guardan</w:t>
      </w:r>
      <w:r w:rsidRPr="009C19FC">
        <w:rPr>
          <w:rFonts w:ascii="Arial" w:eastAsia="Calibri" w:hAnsi="Arial" w:cs="Arial"/>
          <w:sz w:val="24"/>
          <w:szCs w:val="24"/>
        </w:rPr>
        <w:t xml:space="preserve"> relación con las habilidades o destrezas del empleo anterior u </w:t>
      </w:r>
      <w:r w:rsidRPr="009C19FC">
        <w:rPr>
          <w:rFonts w:ascii="Arial" w:eastAsia="Calibri" w:hAnsi="Arial" w:cs="Arial"/>
          <w:b/>
          <w:sz w:val="24"/>
          <w:szCs w:val="24"/>
        </w:rPr>
        <w:t>ocasionan</w:t>
      </w:r>
      <w:r w:rsidRPr="009C19FC">
        <w:rPr>
          <w:rFonts w:ascii="Arial" w:eastAsia="Calibri" w:hAnsi="Arial" w:cs="Arial"/>
          <w:sz w:val="24"/>
          <w:szCs w:val="24"/>
        </w:rPr>
        <w:t xml:space="preserve"> un serio menoscabo a su condición laboral o a sus estudios profesionales, universitarios o técnicos.</w:t>
      </w:r>
    </w:p>
    <w:p w:rsidR="00010017" w:rsidRPr="009C19FC" w:rsidRDefault="00010017" w:rsidP="00010017">
      <w:pPr>
        <w:tabs>
          <w:tab w:val="left" w:pos="284"/>
          <w:tab w:val="left" w:pos="4820"/>
        </w:tabs>
        <w:spacing w:after="0" w:line="240" w:lineRule="auto"/>
        <w:ind w:firstLine="2835"/>
        <w:contextualSpacing/>
        <w:jc w:val="both"/>
        <w:rPr>
          <w:rFonts w:ascii="Arial" w:eastAsia="Calibri" w:hAnsi="Arial" w:cs="Arial"/>
          <w:sz w:val="24"/>
          <w:szCs w:val="24"/>
        </w:rPr>
      </w:pPr>
    </w:p>
    <w:p w:rsidR="00010017" w:rsidRPr="009C19FC" w:rsidRDefault="00010017" w:rsidP="00010017">
      <w:pPr>
        <w:tabs>
          <w:tab w:val="left" w:pos="284"/>
          <w:tab w:val="left" w:pos="1276"/>
        </w:tabs>
        <w:spacing w:after="0" w:line="240" w:lineRule="auto"/>
        <w:ind w:firstLine="2835"/>
        <w:contextualSpacing/>
        <w:jc w:val="both"/>
        <w:rPr>
          <w:rFonts w:ascii="Arial" w:eastAsia="Calibri" w:hAnsi="Arial" w:cs="Arial"/>
          <w:sz w:val="24"/>
          <w:szCs w:val="24"/>
        </w:rPr>
      </w:pPr>
      <w:r w:rsidRPr="009C19FC">
        <w:rPr>
          <w:rFonts w:ascii="Arial" w:eastAsia="Calibri" w:hAnsi="Arial" w:cs="Arial"/>
          <w:sz w:val="24"/>
          <w:szCs w:val="24"/>
        </w:rPr>
        <w:t>d) El empleo ofrecido no le permita percibir una remuneración igual o superior al 50% de la última devengada en el empleo anterior.</w:t>
      </w:r>
    </w:p>
    <w:p w:rsidR="00010017" w:rsidRPr="009C19FC" w:rsidRDefault="00010017" w:rsidP="00010017">
      <w:pPr>
        <w:tabs>
          <w:tab w:val="left" w:pos="284"/>
          <w:tab w:val="left" w:pos="1276"/>
        </w:tabs>
        <w:spacing w:after="0" w:line="240" w:lineRule="auto"/>
        <w:ind w:firstLine="2835"/>
        <w:contextualSpacing/>
        <w:jc w:val="both"/>
        <w:rPr>
          <w:rFonts w:ascii="Arial" w:eastAsia="Calibri" w:hAnsi="Arial" w:cs="Arial"/>
          <w:sz w:val="24"/>
          <w:szCs w:val="24"/>
        </w:rPr>
      </w:pP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Sin perjuicio de lo anterior, un reglamento expedido por el Ministerio </w:t>
      </w:r>
      <w:r w:rsidRPr="009C19FC">
        <w:rPr>
          <w:rFonts w:ascii="Arial" w:eastAsia="Times New Roman" w:hAnsi="Arial" w:cs="Arial"/>
          <w:b/>
          <w:sz w:val="24"/>
          <w:szCs w:val="24"/>
          <w:lang w:val="es-ES" w:eastAsia="es-ES"/>
        </w:rPr>
        <w:t xml:space="preserve">del </w:t>
      </w:r>
      <w:r w:rsidRPr="009C19FC">
        <w:rPr>
          <w:rFonts w:ascii="Arial" w:eastAsia="Times New Roman" w:hAnsi="Arial" w:cs="Arial"/>
          <w:sz w:val="24"/>
          <w:szCs w:val="24"/>
          <w:lang w:val="es-ES" w:eastAsia="es-ES"/>
        </w:rPr>
        <w:t xml:space="preserve">Trabajo y Previsión Social, que deberá ser suscrito por el Ministro de Hacienda, establecerá los criterios y condiciones para determinar la procedencia de las  causas justificadas a que se refiere este artículo, así como los requisitos, procedimiento y mecanismos para acreditar su concurrencia y, en general, toda norma para la correcta aplicación de esta disposición.”. </w:t>
      </w: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6) </w:t>
      </w:r>
      <w:proofErr w:type="spellStart"/>
      <w:r w:rsidRPr="009C19FC">
        <w:rPr>
          <w:rFonts w:ascii="Arial" w:eastAsia="Times New Roman" w:hAnsi="Arial" w:cs="Arial"/>
          <w:sz w:val="24"/>
          <w:szCs w:val="24"/>
          <w:lang w:val="es-ES" w:eastAsia="es-ES"/>
        </w:rPr>
        <w:t>Modifícase</w:t>
      </w:r>
      <w:proofErr w:type="spellEnd"/>
      <w:r w:rsidRPr="009C19FC">
        <w:rPr>
          <w:rFonts w:ascii="Arial" w:eastAsia="Times New Roman" w:hAnsi="Arial" w:cs="Arial"/>
          <w:sz w:val="24"/>
          <w:szCs w:val="24"/>
          <w:lang w:val="es-ES" w:eastAsia="es-ES"/>
        </w:rPr>
        <w:t xml:space="preserve"> el artículo 34 B de la siguiente forma:</w:t>
      </w:r>
    </w:p>
    <w:p w:rsidR="00010017" w:rsidRPr="009C19FC" w:rsidRDefault="00010017" w:rsidP="00010017">
      <w:pPr>
        <w:tabs>
          <w:tab w:val="left" w:pos="2835"/>
          <w:tab w:val="left" w:pos="4253"/>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 w:val="left" w:pos="4820"/>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a) </w:t>
      </w:r>
      <w:proofErr w:type="spellStart"/>
      <w:r w:rsidRPr="009C19FC">
        <w:rPr>
          <w:rFonts w:ascii="Arial" w:eastAsia="Times New Roman" w:hAnsi="Arial" w:cs="Arial"/>
          <w:sz w:val="24"/>
          <w:szCs w:val="24"/>
          <w:lang w:val="es-ES" w:eastAsia="es-ES"/>
        </w:rPr>
        <w:t>Elimínase</w:t>
      </w:r>
      <w:proofErr w:type="spellEnd"/>
      <w:r w:rsidRPr="009C19FC">
        <w:rPr>
          <w:rFonts w:ascii="Arial" w:eastAsia="Times New Roman" w:hAnsi="Arial" w:cs="Arial"/>
          <w:sz w:val="24"/>
          <w:szCs w:val="24"/>
          <w:lang w:val="es-ES" w:eastAsia="es-ES"/>
        </w:rPr>
        <w:t>, en su inciso primero, la palabra “Subsecretaría” que sigue a la expresión “Hacienda,”.</w:t>
      </w:r>
    </w:p>
    <w:p w:rsidR="00010017" w:rsidRPr="009C19FC" w:rsidRDefault="00010017" w:rsidP="00010017">
      <w:pPr>
        <w:tabs>
          <w:tab w:val="left" w:pos="2835"/>
          <w:tab w:val="left" w:pos="4820"/>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 w:val="left" w:pos="4820"/>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b)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en su inciso primero, la expresión “y del Trabajo” por “, del Trabajo y de Previsión Social, la Superintendencia de Seguridad Social”.</w:t>
      </w:r>
    </w:p>
    <w:p w:rsidR="00010017" w:rsidRPr="009C19FC" w:rsidRDefault="00010017" w:rsidP="00010017">
      <w:pPr>
        <w:tabs>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7)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xml:space="preserve">, </w:t>
      </w:r>
      <w:r w:rsidRPr="009C19FC">
        <w:rPr>
          <w:rFonts w:ascii="Arial" w:eastAsia="Times New Roman" w:hAnsi="Arial" w:cs="Arial"/>
          <w:b/>
          <w:sz w:val="24"/>
          <w:szCs w:val="24"/>
          <w:lang w:val="es-ES" w:eastAsia="es-ES"/>
        </w:rPr>
        <w:t>en el</w:t>
      </w:r>
      <w:r w:rsidRPr="009C19FC">
        <w:rPr>
          <w:rFonts w:ascii="Arial" w:eastAsia="Times New Roman" w:hAnsi="Arial" w:cs="Arial"/>
          <w:sz w:val="24"/>
          <w:szCs w:val="24"/>
          <w:lang w:val="es-ES" w:eastAsia="es-ES"/>
        </w:rPr>
        <w:t xml:space="preserve"> artículo 61, la expresión “afiliados al Seguro de Cesantía” por “mayores de 18 años de edad”.</w:t>
      </w:r>
    </w:p>
    <w:p w:rsidR="00010017" w:rsidRPr="009C19FC" w:rsidRDefault="00010017" w:rsidP="00010017">
      <w:pPr>
        <w:tabs>
          <w:tab w:val="left" w:pos="1134"/>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134"/>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8) </w:t>
      </w:r>
      <w:proofErr w:type="spellStart"/>
      <w:r w:rsidRPr="009C19FC">
        <w:rPr>
          <w:rFonts w:ascii="Arial" w:eastAsia="Times New Roman" w:hAnsi="Arial" w:cs="Arial"/>
          <w:sz w:val="24"/>
          <w:szCs w:val="24"/>
          <w:lang w:val="es-ES" w:eastAsia="es-ES"/>
        </w:rPr>
        <w:t>Modifícase</w:t>
      </w:r>
      <w:proofErr w:type="spellEnd"/>
      <w:r w:rsidRPr="009C19FC">
        <w:rPr>
          <w:rFonts w:ascii="Arial" w:eastAsia="Times New Roman" w:hAnsi="Arial" w:cs="Arial"/>
          <w:sz w:val="24"/>
          <w:szCs w:val="24"/>
          <w:lang w:val="es-ES" w:eastAsia="es-ES"/>
        </w:rPr>
        <w:t xml:space="preserve"> el artículo 63 de la siguiente forma:</w:t>
      </w:r>
    </w:p>
    <w:p w:rsidR="00010017" w:rsidRPr="009C19FC" w:rsidRDefault="00010017" w:rsidP="00010017">
      <w:pPr>
        <w:tabs>
          <w:tab w:val="left" w:pos="1134"/>
          <w:tab w:val="left" w:pos="2835"/>
        </w:tabs>
        <w:spacing w:after="0" w:line="240" w:lineRule="auto"/>
        <w:ind w:firstLine="993"/>
        <w:jc w:val="both"/>
        <w:rPr>
          <w:rFonts w:ascii="Arial" w:eastAsia="Times New Roman" w:hAnsi="Arial" w:cs="Arial"/>
          <w:sz w:val="24"/>
          <w:szCs w:val="24"/>
          <w:lang w:val="es-ES" w:eastAsia="es-ES"/>
        </w:rPr>
      </w:pP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a)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en su inciso primero y en la primera oración de su inciso segundo, la expresión “afiliados al Seguro” por “mayores de 18 años de edad”.</w:t>
      </w: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b) </w:t>
      </w:r>
      <w:proofErr w:type="spellStart"/>
      <w:r w:rsidRPr="009C19FC">
        <w:rPr>
          <w:rFonts w:ascii="Arial" w:eastAsia="Times New Roman" w:hAnsi="Arial" w:cs="Arial"/>
          <w:sz w:val="24"/>
          <w:szCs w:val="24"/>
          <w:lang w:val="es-ES" w:eastAsia="es-ES"/>
        </w:rPr>
        <w:t>Reemplázanse</w:t>
      </w:r>
      <w:proofErr w:type="spellEnd"/>
      <w:r w:rsidRPr="009C19FC">
        <w:rPr>
          <w:rFonts w:ascii="Arial" w:eastAsia="Times New Roman" w:hAnsi="Arial" w:cs="Arial"/>
          <w:sz w:val="24"/>
          <w:szCs w:val="24"/>
          <w:lang w:val="es-ES" w:eastAsia="es-ES"/>
        </w:rPr>
        <w:t xml:space="preserve"> sus incisos tercero y cuarto por los siguientes:</w:t>
      </w:r>
    </w:p>
    <w:p w:rsidR="00010017" w:rsidRPr="009C19FC" w:rsidRDefault="00010017" w:rsidP="00010017">
      <w:pPr>
        <w:tabs>
          <w:tab w:val="left" w:pos="1276"/>
          <w:tab w:val="left" w:pos="1843"/>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276"/>
          <w:tab w:val="left" w:pos="1843"/>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“El administrador de la Bolsa Nacional de Empleo deberá comunicar a los cesantes inscritos las oportunidades de capacitación </w:t>
      </w:r>
      <w:r w:rsidRPr="009C19FC">
        <w:rPr>
          <w:rFonts w:ascii="Arial" w:eastAsia="Times New Roman" w:hAnsi="Arial" w:cs="Arial"/>
          <w:sz w:val="24"/>
          <w:szCs w:val="24"/>
          <w:lang w:val="es-ES" w:eastAsia="es-ES"/>
        </w:rPr>
        <w:lastRenderedPageBreak/>
        <w:t>y de empleos disponibles, según el orden de prioridad que establezca el índice de empleabilidad elaborado por la Subsecretaría del Trabajo.</w:t>
      </w:r>
    </w:p>
    <w:p w:rsidR="00010017" w:rsidRPr="009C19FC" w:rsidRDefault="00010017" w:rsidP="00010017">
      <w:pPr>
        <w:tabs>
          <w:tab w:val="left" w:pos="1276"/>
          <w:tab w:val="left" w:pos="1843"/>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276"/>
          <w:tab w:val="left" w:pos="1843"/>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Igualmente, deberá mantener una base de datos de los trabajadores inscritos, con información del trabajador y su índice de empleabilidad, como asimismo de aquellos empleadores que ofrezcan vacantes de trabajo y los demás registros que determine la Subsecretaría del Trabajo, de acuerdo a lo establecido en las bases de licitación.”.</w:t>
      </w: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c)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al comienzo del inciso quinto, la palabra “El” por la expresión “La Subsecretaría del Trabajo, el”.</w:t>
      </w:r>
    </w:p>
    <w:p w:rsidR="00010017" w:rsidRPr="009C19FC" w:rsidRDefault="00010017" w:rsidP="00010017">
      <w:pPr>
        <w:tabs>
          <w:tab w:val="left" w:pos="1134"/>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134"/>
          <w:tab w:val="left" w:pos="2835"/>
        </w:tabs>
        <w:autoSpaceDE w:val="0"/>
        <w:autoSpaceDN w:val="0"/>
        <w:adjustRightInd w:val="0"/>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9) </w:t>
      </w:r>
      <w:proofErr w:type="spellStart"/>
      <w:r w:rsidRPr="009C19FC">
        <w:rPr>
          <w:rFonts w:ascii="Arial" w:eastAsia="Times New Roman" w:hAnsi="Arial" w:cs="Arial"/>
          <w:sz w:val="24"/>
          <w:szCs w:val="24"/>
          <w:lang w:val="es-ES" w:eastAsia="es-ES"/>
        </w:rPr>
        <w:t>Modifícase</w:t>
      </w:r>
      <w:proofErr w:type="spellEnd"/>
      <w:r w:rsidRPr="009C19FC">
        <w:rPr>
          <w:rFonts w:ascii="Arial" w:eastAsia="Times New Roman" w:hAnsi="Arial" w:cs="Arial"/>
          <w:sz w:val="24"/>
          <w:szCs w:val="24"/>
          <w:lang w:val="es-ES" w:eastAsia="es-ES"/>
        </w:rPr>
        <w:t xml:space="preserve"> el artículo 64 de la siguiente forma:</w:t>
      </w: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1134"/>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a) </w:t>
      </w:r>
      <w:proofErr w:type="spellStart"/>
      <w:r w:rsidRPr="009C19FC">
        <w:rPr>
          <w:rFonts w:ascii="Arial" w:eastAsia="Times New Roman" w:hAnsi="Arial" w:cs="Arial"/>
          <w:sz w:val="24"/>
          <w:szCs w:val="24"/>
          <w:lang w:val="es-ES" w:eastAsia="es-ES"/>
        </w:rPr>
        <w:t>Reemplázanse</w:t>
      </w:r>
      <w:proofErr w:type="spellEnd"/>
      <w:r w:rsidRPr="009C19FC">
        <w:rPr>
          <w:rFonts w:ascii="Arial" w:eastAsia="Times New Roman" w:hAnsi="Arial" w:cs="Arial"/>
          <w:sz w:val="24"/>
          <w:szCs w:val="24"/>
          <w:lang w:val="es-ES" w:eastAsia="es-ES"/>
        </w:rPr>
        <w:t xml:space="preserve"> los incisos segundo y tercero por los siguientes:</w:t>
      </w:r>
    </w:p>
    <w:p w:rsidR="00010017" w:rsidRPr="009C19FC" w:rsidRDefault="00010017" w:rsidP="00010017">
      <w:pPr>
        <w:tabs>
          <w:tab w:val="left" w:pos="851"/>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851"/>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“La entidad administradora de la Bolsa Nacional de Empleo tendrá derecho a una retribución cuyo financiamiento será de cargo del Fondo de Cesantía Solidario y del Servicio Nacional de Capacitación y Empleo, en la proporción que se establezca en un reglamento emitido en conjunto por los Ministerios del Trabajo y Previsión Social y de Hacienda.</w:t>
      </w: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Extinguido el contrato de administración de la Bolsa Nacional de Empleo por las causas establecidas en las bases de licitación, la entidad que estuviere prestando el servicio deberá transferir a la Subsecretaría del Trabajo o a quién ésta determine los sistemas informáticos y las bases de datos utilizadas, para permitir la continuidad de dicho servicio.”.</w:t>
      </w: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b)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en el inciso cuarto, la expresión “este artículo” por “</w:t>
      </w:r>
      <w:r w:rsidRPr="009C19FC">
        <w:rPr>
          <w:rFonts w:ascii="Arial" w:eastAsia="Times New Roman" w:hAnsi="Arial" w:cs="Arial"/>
          <w:b/>
          <w:sz w:val="24"/>
          <w:szCs w:val="24"/>
          <w:lang w:val="es-ES" w:eastAsia="es-ES"/>
        </w:rPr>
        <w:t>esta ley</w:t>
      </w:r>
      <w:r w:rsidRPr="009C19FC">
        <w:rPr>
          <w:rFonts w:ascii="Arial" w:eastAsia="Times New Roman" w:hAnsi="Arial" w:cs="Arial"/>
          <w:sz w:val="24"/>
          <w:szCs w:val="24"/>
          <w:lang w:val="es-ES" w:eastAsia="es-ES"/>
        </w:rPr>
        <w:t>”.</w:t>
      </w:r>
    </w:p>
    <w:p w:rsidR="00010017" w:rsidRPr="009C19FC" w:rsidRDefault="00010017" w:rsidP="00010017">
      <w:pPr>
        <w:tabs>
          <w:tab w:val="left" w:pos="2835"/>
        </w:tabs>
        <w:spacing w:after="0" w:line="240" w:lineRule="auto"/>
        <w:ind w:firstLine="2835"/>
        <w:jc w:val="both"/>
        <w:rPr>
          <w:rFonts w:ascii="Arial" w:eastAsia="Times New Roman" w:hAnsi="Arial" w:cs="Arial"/>
          <w:sz w:val="24"/>
          <w:szCs w:val="24"/>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 xml:space="preserve">c) </w:t>
      </w:r>
      <w:proofErr w:type="spellStart"/>
      <w:r w:rsidRPr="009C19FC">
        <w:rPr>
          <w:rFonts w:ascii="Arial" w:eastAsia="Times New Roman" w:hAnsi="Arial" w:cs="Arial"/>
          <w:b/>
          <w:sz w:val="24"/>
          <w:szCs w:val="24"/>
          <w:lang w:val="es-ES" w:eastAsia="es-ES"/>
        </w:rPr>
        <w:t>Reemplázase</w:t>
      </w:r>
      <w:proofErr w:type="spellEnd"/>
      <w:r w:rsidRPr="009C19FC">
        <w:rPr>
          <w:rFonts w:ascii="Arial" w:eastAsia="Times New Roman" w:hAnsi="Arial" w:cs="Arial"/>
          <w:b/>
          <w:sz w:val="24"/>
          <w:szCs w:val="24"/>
          <w:lang w:val="es-ES" w:eastAsia="es-ES"/>
        </w:rPr>
        <w:t xml:space="preserve"> el inciso quinto por el siguiente:</w:t>
      </w:r>
    </w:p>
    <w:p w:rsidR="00010017" w:rsidRPr="009C19FC" w:rsidRDefault="00010017" w:rsidP="00010017">
      <w:pPr>
        <w:tabs>
          <w:tab w:val="left" w:pos="2835"/>
        </w:tabs>
        <w:spacing w:after="0" w:line="240" w:lineRule="auto"/>
        <w:ind w:firstLine="2835"/>
        <w:jc w:val="both"/>
        <w:rPr>
          <w:rFonts w:ascii="Arial" w:eastAsia="Times New Roman" w:hAnsi="Arial" w:cs="Arial"/>
          <w:b/>
          <w:sz w:val="24"/>
          <w:szCs w:val="24"/>
          <w:lang w:val="es-ES" w:eastAsia="es-ES"/>
        </w:rPr>
      </w:pPr>
    </w:p>
    <w:p w:rsidR="00010017" w:rsidRPr="009C19FC" w:rsidRDefault="00010017" w:rsidP="00010017">
      <w:pPr>
        <w:tabs>
          <w:tab w:val="left" w:pos="2835"/>
        </w:tabs>
        <w:spacing w:after="0" w:line="240" w:lineRule="auto"/>
        <w:ind w:firstLine="2835"/>
        <w:jc w:val="both"/>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“El que durante el traspaso de la administración de la Bolsa Nacional de Empleo provoque un daño no fortuito a las bases de datos que forman parte de ella, o niegue u obstaculice su entrega o la otorgue en forma incompleta, será sancionado con las penas que se contemplan en el inciso sexto del artículo 34, sin perjuicio de la aplicación a la entidad administradora de dicha Bolsa de las sanciones que establezcan las bases de licitación y el contrato respectivo.”.</w:t>
      </w:r>
    </w:p>
    <w:p w:rsidR="00010017" w:rsidRPr="009C19FC" w:rsidRDefault="00010017" w:rsidP="00010017">
      <w:pPr>
        <w:tabs>
          <w:tab w:val="left" w:pos="2835"/>
          <w:tab w:val="left" w:pos="3402"/>
          <w:tab w:val="left" w:pos="4751"/>
        </w:tabs>
        <w:spacing w:after="0" w:line="240" w:lineRule="auto"/>
        <w:ind w:right="51" w:firstLine="2835"/>
        <w:jc w:val="both"/>
        <w:rPr>
          <w:rFonts w:ascii="Arial" w:eastAsia="Times New Roman" w:hAnsi="Arial" w:cs="Arial"/>
          <w:sz w:val="24"/>
          <w:szCs w:val="24"/>
          <w:lang w:val="es-ES" w:eastAsia="es-ES"/>
        </w:rPr>
      </w:pPr>
    </w:p>
    <w:p w:rsidR="00010017" w:rsidRPr="009C19FC" w:rsidRDefault="00010017" w:rsidP="00010017">
      <w:pPr>
        <w:tabs>
          <w:tab w:val="left" w:pos="2835"/>
          <w:tab w:val="left" w:pos="3402"/>
          <w:tab w:val="left" w:pos="4751"/>
        </w:tabs>
        <w:spacing w:after="0" w:line="240" w:lineRule="auto"/>
        <w:ind w:right="51" w:firstLine="2835"/>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 xml:space="preserve">10) </w:t>
      </w:r>
      <w:proofErr w:type="spellStart"/>
      <w:r w:rsidRPr="009C19FC">
        <w:rPr>
          <w:rFonts w:ascii="Arial" w:eastAsia="Times New Roman" w:hAnsi="Arial" w:cs="Arial"/>
          <w:sz w:val="24"/>
          <w:szCs w:val="24"/>
          <w:lang w:val="es-ES" w:eastAsia="es-ES"/>
        </w:rPr>
        <w:t>Reemplázase</w:t>
      </w:r>
      <w:proofErr w:type="spellEnd"/>
      <w:r w:rsidRPr="009C19FC">
        <w:rPr>
          <w:rFonts w:ascii="Arial" w:eastAsia="Times New Roman" w:hAnsi="Arial" w:cs="Arial"/>
          <w:sz w:val="24"/>
          <w:szCs w:val="24"/>
          <w:lang w:val="es-ES" w:eastAsia="es-ES"/>
        </w:rPr>
        <w:t xml:space="preserve">, en el artículo 65, el guarismo “78” por “73”. </w:t>
      </w: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p>
    <w:p w:rsidR="00C54094" w:rsidRPr="009C19FC" w:rsidRDefault="00C54094"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p>
    <w:p w:rsidR="00C54094" w:rsidRPr="009C19FC" w:rsidRDefault="00C54094"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p>
    <w:p w:rsidR="00C54094" w:rsidRPr="009C19FC" w:rsidRDefault="00C54094"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p>
    <w:p w:rsidR="00010017" w:rsidRPr="009C19FC" w:rsidRDefault="00010017" w:rsidP="00FB00B1">
      <w:pPr>
        <w:tabs>
          <w:tab w:val="left" w:pos="2835"/>
          <w:tab w:val="left" w:pos="3402"/>
          <w:tab w:val="left" w:pos="4751"/>
        </w:tabs>
        <w:spacing w:after="0" w:line="240" w:lineRule="auto"/>
        <w:ind w:right="51" w:firstLine="851"/>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lastRenderedPageBreak/>
        <w:t>DISPOSICIONES TRANSITORIAS</w:t>
      </w:r>
    </w:p>
    <w:p w:rsidR="00010017" w:rsidRPr="009C19FC" w:rsidRDefault="00010017" w:rsidP="00010017">
      <w:pPr>
        <w:tabs>
          <w:tab w:val="left" w:pos="2835"/>
          <w:tab w:val="left" w:pos="3402"/>
          <w:tab w:val="left" w:pos="4751"/>
        </w:tabs>
        <w:spacing w:after="0" w:line="240" w:lineRule="auto"/>
        <w:ind w:right="51"/>
        <w:jc w:val="both"/>
        <w:rPr>
          <w:rFonts w:ascii="Arial" w:eastAsia="Times New Roman" w:hAnsi="Arial" w:cs="Arial"/>
          <w:sz w:val="24"/>
          <w:szCs w:val="24"/>
          <w:lang w:val="es-ES" w:eastAsia="es-ES"/>
        </w:rPr>
      </w:pP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r>
      <w:r w:rsidRPr="009C19FC">
        <w:rPr>
          <w:rFonts w:ascii="Arial" w:eastAsia="Times New Roman" w:hAnsi="Arial" w:cs="Arial"/>
          <w:b/>
          <w:sz w:val="24"/>
          <w:szCs w:val="24"/>
          <w:lang w:val="es-ES" w:eastAsia="es-ES"/>
        </w:rPr>
        <w:t>Artículo primero</w:t>
      </w:r>
      <w:r w:rsidRPr="009C19FC">
        <w:rPr>
          <w:rFonts w:ascii="Arial" w:eastAsia="Times New Roman" w:hAnsi="Arial" w:cs="Arial"/>
          <w:sz w:val="24"/>
          <w:szCs w:val="24"/>
          <w:lang w:val="es-ES" w:eastAsia="es-ES"/>
        </w:rPr>
        <w:t>.- La Sociedad Administradora de Fondos de Cesantía tendrá derecho a una retribución adicional a la que se refiere el artículo 30 de la ley N° 19.728.</w:t>
      </w: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La retribución adicional se determinará calculando, para los meses que resten de vigencia del contrato, la comisión base contemplada en el artículo 30 de la ley N° 19.728 por los recursos del Fondo de Cesantía Solidario que se destinen al pago de los beneficios contemplados en la presente ley, que reciban aquellos beneficiarios del Seguro de Cesantía que no hubiesen tenido derecho a tales prestaciones antes de su entrada en vigencia o que correspondan a un mayor monto de prestaciones.</w:t>
      </w: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t>La retribución establecida en este artículo se devengará a contar de la entrada en vigencia de esta ley y hasta el término del contrato de administración del Seguro de Cesantía y se pagará con cargo al Fondo de Cesantía Solidario, en los plazos y en la forma que determine la Superintendencia de Pensiones, mediante norma de carácter general.</w:t>
      </w:r>
    </w:p>
    <w:p w:rsidR="00010017" w:rsidRPr="009C19FC" w:rsidRDefault="00010017" w:rsidP="00010017">
      <w:pPr>
        <w:tabs>
          <w:tab w:val="left" w:pos="2835"/>
          <w:tab w:val="left" w:pos="3402"/>
          <w:tab w:val="left" w:pos="4751"/>
        </w:tabs>
        <w:spacing w:after="0" w:line="240" w:lineRule="auto"/>
        <w:ind w:right="51"/>
        <w:jc w:val="both"/>
        <w:rPr>
          <w:rFonts w:ascii="Arial" w:eastAsia="Times New Roman" w:hAnsi="Arial" w:cs="Arial"/>
          <w:sz w:val="24"/>
          <w:szCs w:val="24"/>
          <w:lang w:val="es-ES" w:eastAsia="es-ES"/>
        </w:rPr>
      </w:pPr>
    </w:p>
    <w:p w:rsidR="00010017" w:rsidRPr="009C19FC" w:rsidRDefault="00010017" w:rsidP="00010017">
      <w:pPr>
        <w:tabs>
          <w:tab w:val="left" w:pos="2835"/>
          <w:tab w:val="left" w:pos="3402"/>
          <w:tab w:val="left" w:pos="4751"/>
        </w:tabs>
        <w:spacing w:after="0" w:line="240" w:lineRule="auto"/>
        <w:ind w:right="51" w:firstLine="851"/>
        <w:jc w:val="both"/>
        <w:rPr>
          <w:rFonts w:ascii="Arial" w:eastAsia="Times New Roman" w:hAnsi="Arial" w:cs="Arial"/>
          <w:b/>
          <w:i/>
          <w:sz w:val="24"/>
          <w:szCs w:val="24"/>
          <w:lang w:val="es-ES" w:eastAsia="es-ES"/>
        </w:rPr>
      </w:pPr>
      <w:r w:rsidRPr="009C19FC">
        <w:rPr>
          <w:rFonts w:ascii="Arial" w:eastAsia="Times New Roman" w:hAnsi="Arial" w:cs="Arial"/>
          <w:sz w:val="24"/>
          <w:szCs w:val="24"/>
          <w:lang w:val="es-ES" w:eastAsia="es-ES"/>
        </w:rPr>
        <w:tab/>
      </w:r>
      <w:r w:rsidR="00C54094" w:rsidRPr="009C19FC">
        <w:rPr>
          <w:rFonts w:ascii="Arial" w:eastAsia="Calibri" w:hAnsi="Arial" w:cs="Arial"/>
          <w:b/>
          <w:i/>
          <w:sz w:val="24"/>
          <w:szCs w:val="24"/>
        </w:rPr>
        <w:t>Artículo segundo:</w:t>
      </w:r>
      <w:r w:rsidR="00C54094" w:rsidRPr="009C19FC">
        <w:rPr>
          <w:rFonts w:ascii="Arial" w:eastAsia="Times New Roman" w:hAnsi="Arial" w:cs="Arial"/>
          <w:b/>
          <w:i/>
          <w:sz w:val="24"/>
          <w:szCs w:val="24"/>
          <w:lang w:val="es-ES" w:eastAsia="es-ES"/>
        </w:rPr>
        <w:t xml:space="preserve"> La presente ley entrará en vigencia a contar del día siguiente al de su publicación en el Diario Oficial, salvo en lo que respecta a los numerales 4), 5), 7), 8) y 9) del artículo único, que comenzarán a regir el primer día del cuarto mes contado desde dicha publicación.</w:t>
      </w:r>
    </w:p>
    <w:p w:rsidR="00010017" w:rsidRPr="009C19FC" w:rsidRDefault="00010017" w:rsidP="00010017">
      <w:pPr>
        <w:tabs>
          <w:tab w:val="left" w:pos="2835"/>
          <w:tab w:val="left" w:pos="3402"/>
          <w:tab w:val="left" w:pos="4751"/>
        </w:tabs>
        <w:spacing w:after="0" w:line="240" w:lineRule="auto"/>
        <w:ind w:right="51"/>
        <w:jc w:val="both"/>
        <w:rPr>
          <w:rFonts w:ascii="Arial" w:eastAsia="Times New Roman" w:hAnsi="Arial" w:cs="Arial"/>
          <w:sz w:val="24"/>
          <w:szCs w:val="24"/>
          <w:lang w:val="es-ES" w:eastAsia="es-ES"/>
        </w:rPr>
      </w:pPr>
    </w:p>
    <w:p w:rsidR="00C54094" w:rsidRPr="009C19FC" w:rsidRDefault="00C54094" w:rsidP="00C54094">
      <w:pPr>
        <w:tabs>
          <w:tab w:val="left" w:pos="4253"/>
        </w:tabs>
        <w:spacing w:after="0" w:line="240" w:lineRule="auto"/>
        <w:ind w:firstLine="2835"/>
        <w:jc w:val="both"/>
        <w:rPr>
          <w:rFonts w:ascii="Arial" w:eastAsia="Times New Roman" w:hAnsi="Arial" w:cs="Arial"/>
          <w:b/>
          <w:i/>
          <w:sz w:val="24"/>
          <w:szCs w:val="24"/>
          <w:lang w:val="es-ES" w:eastAsia="es-ES"/>
        </w:rPr>
      </w:pPr>
      <w:r w:rsidRPr="009C19FC">
        <w:rPr>
          <w:rFonts w:ascii="Arial" w:eastAsia="Times New Roman" w:hAnsi="Arial" w:cs="Arial"/>
          <w:b/>
          <w:i/>
          <w:sz w:val="24"/>
          <w:szCs w:val="24"/>
          <w:lang w:val="es-ES" w:eastAsia="es-ES"/>
        </w:rPr>
        <w:t xml:space="preserve">Artículo tercero.- Los trabajadores afiliados al Seguro de Cesantía contemplado en la ley N° 19.728, cuyo último lugar de trabajo se encontrare dentro de la Región de Atacama o de las comunas de Antofagasta y Taltal, podrán acceder en condiciones especiales a los beneficios que consagra dicha ley cuando se hubiere puesto término a sus </w:t>
      </w:r>
      <w:r w:rsidRPr="009C19FC">
        <w:rPr>
          <w:rFonts w:ascii="Arial" w:eastAsia="Calibri" w:hAnsi="Arial" w:cs="Arial"/>
          <w:b/>
          <w:i/>
          <w:sz w:val="24"/>
          <w:szCs w:val="24"/>
        </w:rPr>
        <w:t>respectivos</w:t>
      </w:r>
      <w:r w:rsidRPr="009C19FC">
        <w:rPr>
          <w:rFonts w:ascii="Arial" w:eastAsia="Times New Roman" w:hAnsi="Arial" w:cs="Arial"/>
          <w:b/>
          <w:i/>
          <w:sz w:val="24"/>
          <w:szCs w:val="24"/>
          <w:lang w:val="es-ES" w:eastAsia="es-ES"/>
        </w:rPr>
        <w:t xml:space="preserve"> contratos de trabajo entre el 1 de marzo de 2015 y el 31 de agosto del mismo año, ambas fechas inclusive. Para los efectos de acceder al Fondo de Cesantía Solidario, se entenderá que cumple con el requisito exigido en la letra a) del artículo 24 de la ley N° 19.728 quien registre ocho cotizaciones mensuales, continuas o discontinuas, desde la afiliación del trabajador al Seguro o desde que se devengó el último giro a que hubiere tenido derecho, siempre que éstas se hayan registrado en los últimos 24 meses anteriores al término de la relación laboral. En todo caso, el trabajador deberá cumplir con el requisito de las tres últimas cotizaciones continuas con el mismo empleador. El promedio de las remuneraciones devengadas por el trabajador a que se refiere el inciso primero del artículo 25 de la ley N° 19.728 se calculará con las que se hayan devengado en los últimos 8 meses en que se registren cotizaciones anteriores al término de la relación laboral.</w:t>
      </w:r>
    </w:p>
    <w:p w:rsidR="00C54094" w:rsidRPr="009C19FC" w:rsidRDefault="00C54094" w:rsidP="00C54094">
      <w:pPr>
        <w:tabs>
          <w:tab w:val="left" w:pos="4253"/>
        </w:tabs>
        <w:spacing w:after="0" w:line="240" w:lineRule="auto"/>
        <w:ind w:firstLine="2835"/>
        <w:jc w:val="both"/>
        <w:rPr>
          <w:rFonts w:ascii="Arial" w:eastAsia="Times New Roman" w:hAnsi="Arial" w:cs="Arial"/>
          <w:b/>
          <w:i/>
          <w:sz w:val="24"/>
          <w:szCs w:val="24"/>
          <w:lang w:val="es-ES" w:eastAsia="es-ES"/>
        </w:rPr>
      </w:pPr>
    </w:p>
    <w:p w:rsidR="00C54094" w:rsidRPr="009C19FC" w:rsidRDefault="00C54094" w:rsidP="00C54094">
      <w:pPr>
        <w:tabs>
          <w:tab w:val="left" w:pos="4253"/>
        </w:tabs>
        <w:spacing w:after="0" w:line="240" w:lineRule="auto"/>
        <w:ind w:firstLine="2835"/>
        <w:jc w:val="both"/>
        <w:rPr>
          <w:rFonts w:ascii="Arial" w:eastAsia="Times New Roman" w:hAnsi="Arial" w:cs="Arial"/>
          <w:b/>
          <w:i/>
          <w:sz w:val="24"/>
          <w:szCs w:val="24"/>
          <w:lang w:val="es-ES" w:eastAsia="es-ES"/>
        </w:rPr>
      </w:pPr>
      <w:r w:rsidRPr="009C19FC">
        <w:rPr>
          <w:rFonts w:ascii="Arial" w:eastAsia="Times New Roman" w:hAnsi="Arial" w:cs="Arial"/>
          <w:b/>
          <w:i/>
          <w:sz w:val="24"/>
          <w:szCs w:val="24"/>
          <w:lang w:val="es-ES" w:eastAsia="es-ES"/>
        </w:rPr>
        <w:t xml:space="preserve">A su vez, en estos casos, el requisito establecido en la letra b) del artículo 12 de la ley Nº 19.728 para acceder a prestaciones financiadas con cargo a la Cuenta de Capitalización </w:t>
      </w:r>
      <w:r w:rsidRPr="009C19FC">
        <w:rPr>
          <w:rFonts w:ascii="Arial" w:eastAsia="Times New Roman" w:hAnsi="Arial" w:cs="Arial"/>
          <w:b/>
          <w:i/>
          <w:sz w:val="24"/>
          <w:szCs w:val="24"/>
          <w:lang w:val="es-ES" w:eastAsia="es-ES"/>
        </w:rPr>
        <w:lastRenderedPageBreak/>
        <w:t>Individual será de un mínimo de ocho cotizaciones mensuales, continuas o discontinuas, y el promedio de las remuneraciones devengadas por el trabajador a que se refiere el artículo 15 de la citada ley, se calculará con los últimos 8 meses en que se registren cotizaciones anteriores al término de la relación laboral, para aquellos trabajadores que se encuentren contratados con duración indefinida.</w:t>
      </w:r>
    </w:p>
    <w:p w:rsidR="00C54094" w:rsidRPr="009C19FC" w:rsidRDefault="00C54094" w:rsidP="00C54094">
      <w:pPr>
        <w:tabs>
          <w:tab w:val="left" w:pos="4253"/>
        </w:tabs>
        <w:spacing w:after="0" w:line="240" w:lineRule="auto"/>
        <w:ind w:firstLine="2835"/>
        <w:jc w:val="both"/>
        <w:rPr>
          <w:rFonts w:ascii="Arial" w:eastAsia="Times New Roman" w:hAnsi="Arial" w:cs="Arial"/>
          <w:b/>
          <w:i/>
          <w:sz w:val="24"/>
          <w:szCs w:val="24"/>
          <w:lang w:val="es-ES" w:eastAsia="es-ES"/>
        </w:rPr>
      </w:pPr>
    </w:p>
    <w:p w:rsidR="00C54094" w:rsidRPr="009C19FC" w:rsidRDefault="00C54094" w:rsidP="00C54094">
      <w:pPr>
        <w:tabs>
          <w:tab w:val="left" w:pos="4253"/>
        </w:tabs>
        <w:spacing w:after="0" w:line="240" w:lineRule="auto"/>
        <w:ind w:firstLine="2835"/>
        <w:jc w:val="both"/>
        <w:rPr>
          <w:rFonts w:ascii="Arial" w:eastAsia="Times New Roman" w:hAnsi="Arial" w:cs="Arial"/>
          <w:b/>
          <w:i/>
          <w:sz w:val="24"/>
          <w:szCs w:val="24"/>
          <w:lang w:val="es-ES" w:eastAsia="es-ES"/>
        </w:rPr>
      </w:pPr>
      <w:r w:rsidRPr="009C19FC">
        <w:rPr>
          <w:rFonts w:ascii="Arial" w:eastAsia="Times New Roman" w:hAnsi="Arial" w:cs="Arial"/>
          <w:b/>
          <w:i/>
          <w:sz w:val="24"/>
          <w:szCs w:val="24"/>
          <w:lang w:val="es-ES" w:eastAsia="es-ES"/>
        </w:rPr>
        <w:t>Tratándose de trabajadores con contrato a plazo fijo o por obra, trabajo o servicio determinado, el requisito de la letra c) del artículo 12 de la ley Nº 19.728 para acceder a prestaciones financiadas con cargo a la Cuenta de Capitalización Individual será de un mínimo de cuatro cotizaciones mensuales, continuas o discontinuas, y el promedio de las remuneraciones devengadas por el trabajador a que se refiere el artículo 15 de la citada ley, se calculará con los últimos 4 meses en que se registren cotizaciones anteriores al término de la relación laboral.</w:t>
      </w:r>
    </w:p>
    <w:p w:rsidR="00C54094" w:rsidRPr="009C19FC" w:rsidRDefault="00C54094" w:rsidP="00C54094">
      <w:pPr>
        <w:tabs>
          <w:tab w:val="left" w:pos="4253"/>
        </w:tabs>
        <w:spacing w:after="0" w:line="240" w:lineRule="auto"/>
        <w:ind w:firstLine="2835"/>
        <w:jc w:val="both"/>
        <w:rPr>
          <w:rFonts w:ascii="Arial" w:eastAsia="Times New Roman" w:hAnsi="Arial" w:cs="Arial"/>
          <w:b/>
          <w:i/>
          <w:sz w:val="24"/>
          <w:szCs w:val="24"/>
          <w:lang w:val="es-ES" w:eastAsia="es-ES"/>
        </w:rPr>
      </w:pPr>
    </w:p>
    <w:p w:rsidR="00C54094" w:rsidRPr="009C19FC" w:rsidRDefault="00C54094" w:rsidP="00C54094">
      <w:pPr>
        <w:tabs>
          <w:tab w:val="left" w:pos="4253"/>
        </w:tabs>
        <w:spacing w:after="0" w:line="240" w:lineRule="auto"/>
        <w:ind w:firstLine="2835"/>
        <w:jc w:val="both"/>
        <w:rPr>
          <w:rFonts w:ascii="Arial" w:eastAsia="Times New Roman" w:hAnsi="Arial" w:cs="Arial"/>
          <w:b/>
          <w:i/>
          <w:color w:val="000000"/>
          <w:sz w:val="24"/>
          <w:szCs w:val="24"/>
          <w:lang w:val="es-ES" w:eastAsia="es-ES"/>
        </w:rPr>
      </w:pPr>
      <w:r w:rsidRPr="009C19FC">
        <w:rPr>
          <w:rFonts w:ascii="Arial" w:eastAsia="Times New Roman" w:hAnsi="Arial" w:cs="Arial"/>
          <w:b/>
          <w:i/>
          <w:sz w:val="24"/>
          <w:szCs w:val="24"/>
          <w:lang w:val="es-ES" w:eastAsia="es-ES"/>
        </w:rPr>
        <w:t xml:space="preserve">Artículo cuarto.- </w:t>
      </w:r>
      <w:r w:rsidRPr="009C19FC">
        <w:rPr>
          <w:rFonts w:ascii="Arial" w:eastAsia="Times New Roman" w:hAnsi="Arial" w:cs="Arial"/>
          <w:b/>
          <w:i/>
          <w:color w:val="000000"/>
          <w:sz w:val="24"/>
          <w:szCs w:val="24"/>
          <w:lang w:val="es-ES" w:eastAsia="es-ES"/>
        </w:rPr>
        <w:t>Los trabajadores cuyo lugar de trabajo se encontrare dentro de las zonas a que se refiere el artículo anterior, que perciban un último giro con cargo al Fondo de Cesantía Solidario, en el período comprendido entre el mes de febrero y el mes de agosto de 2015, tendrán derecho a los dos giros adicionales señalados en el artículo 25 de la ley Nº 19.728, sin que sea necesario considerar el requisito de alto desempleo establecido en el inciso tercero del citado artículo 25.</w:t>
      </w:r>
    </w:p>
    <w:p w:rsidR="00C54094" w:rsidRPr="009C19FC" w:rsidRDefault="00C54094" w:rsidP="00C54094">
      <w:pPr>
        <w:tabs>
          <w:tab w:val="left" w:pos="4253"/>
        </w:tabs>
        <w:spacing w:after="0" w:line="240" w:lineRule="auto"/>
        <w:ind w:firstLine="2835"/>
        <w:jc w:val="both"/>
        <w:rPr>
          <w:rFonts w:ascii="Arial" w:eastAsia="Times New Roman" w:hAnsi="Arial" w:cs="Arial"/>
          <w:b/>
          <w:i/>
          <w:color w:val="000000"/>
          <w:sz w:val="24"/>
          <w:szCs w:val="24"/>
          <w:lang w:val="es-ES" w:eastAsia="es-ES"/>
        </w:rPr>
      </w:pPr>
    </w:p>
    <w:p w:rsidR="00C54094" w:rsidRPr="009C19FC" w:rsidRDefault="00C54094" w:rsidP="00C54094">
      <w:pPr>
        <w:tabs>
          <w:tab w:val="left" w:pos="4253"/>
        </w:tabs>
        <w:spacing w:after="0" w:line="240" w:lineRule="auto"/>
        <w:ind w:firstLine="2835"/>
        <w:jc w:val="both"/>
        <w:rPr>
          <w:rFonts w:ascii="Arial" w:eastAsia="Times New Roman" w:hAnsi="Arial" w:cs="Arial"/>
          <w:b/>
          <w:i/>
          <w:color w:val="000000"/>
          <w:sz w:val="24"/>
          <w:szCs w:val="24"/>
          <w:lang w:val="es-ES" w:eastAsia="es-ES"/>
        </w:rPr>
      </w:pPr>
      <w:r w:rsidRPr="009C19FC">
        <w:rPr>
          <w:rFonts w:ascii="Arial" w:eastAsia="Times New Roman" w:hAnsi="Arial" w:cs="Arial"/>
          <w:b/>
          <w:i/>
          <w:sz w:val="24"/>
          <w:szCs w:val="24"/>
          <w:lang w:val="es-ES" w:eastAsia="es-ES"/>
        </w:rPr>
        <w:t xml:space="preserve">Artículo quinto.- </w:t>
      </w:r>
      <w:r w:rsidRPr="009C19FC">
        <w:rPr>
          <w:rFonts w:ascii="Arial" w:eastAsia="Times New Roman" w:hAnsi="Arial" w:cs="Arial"/>
          <w:b/>
          <w:i/>
          <w:color w:val="000000"/>
          <w:sz w:val="24"/>
          <w:szCs w:val="24"/>
          <w:lang w:val="es-ES" w:eastAsia="es-ES"/>
        </w:rPr>
        <w:t>Las prestaciones de los artículos segundo y tercero transitorios de la presente ley no se considerarán para la aplicación de la restricción de acceso al Fondo de Cesantía Solidario que contempla el inciso segundo del artículo 24 de la ley Nº 19.728.</w:t>
      </w:r>
    </w:p>
    <w:p w:rsidR="00C54094" w:rsidRPr="009C19FC" w:rsidRDefault="00C54094" w:rsidP="00C54094">
      <w:pPr>
        <w:tabs>
          <w:tab w:val="left" w:pos="4253"/>
        </w:tabs>
        <w:spacing w:after="0" w:line="240" w:lineRule="auto"/>
        <w:ind w:firstLine="2835"/>
        <w:jc w:val="both"/>
        <w:rPr>
          <w:rFonts w:ascii="Arial" w:eastAsia="Times New Roman" w:hAnsi="Arial" w:cs="Arial"/>
          <w:b/>
          <w:i/>
          <w:color w:val="000000"/>
          <w:sz w:val="24"/>
          <w:szCs w:val="24"/>
          <w:lang w:val="es-ES" w:eastAsia="es-ES"/>
        </w:rPr>
      </w:pPr>
    </w:p>
    <w:p w:rsidR="00C54094" w:rsidRPr="009C19FC" w:rsidRDefault="00C54094" w:rsidP="00C54094">
      <w:pPr>
        <w:tabs>
          <w:tab w:val="left" w:pos="2835"/>
          <w:tab w:val="left" w:pos="3402"/>
          <w:tab w:val="left" w:pos="4751"/>
        </w:tabs>
        <w:spacing w:after="0" w:line="240" w:lineRule="auto"/>
        <w:ind w:right="51"/>
        <w:jc w:val="both"/>
        <w:rPr>
          <w:rFonts w:ascii="Arial" w:eastAsia="Times New Roman" w:hAnsi="Arial" w:cs="Arial"/>
          <w:b/>
          <w:i/>
          <w:sz w:val="24"/>
          <w:szCs w:val="24"/>
          <w:lang w:val="es-ES" w:eastAsia="es-ES"/>
        </w:rPr>
      </w:pPr>
      <w:r w:rsidRPr="009C19FC">
        <w:rPr>
          <w:rFonts w:ascii="Arial" w:eastAsia="Times New Roman" w:hAnsi="Arial" w:cs="Arial"/>
          <w:b/>
          <w:i/>
          <w:color w:val="000000"/>
          <w:sz w:val="24"/>
          <w:szCs w:val="24"/>
          <w:lang w:val="es-ES" w:eastAsia="es-ES"/>
        </w:rPr>
        <w:tab/>
        <w:t>Para los efectos de la obtención de los beneficios que establecen los artículos segundo y tercero transitorio de la presente ley se aplicará lo dispuesto en el artículo 27 de la ley N° 19.728.</w:t>
      </w:r>
    </w:p>
    <w:p w:rsidR="00C54094" w:rsidRPr="009C19FC" w:rsidRDefault="00C54094" w:rsidP="00010017">
      <w:pPr>
        <w:tabs>
          <w:tab w:val="left" w:pos="2835"/>
          <w:tab w:val="left" w:pos="3402"/>
          <w:tab w:val="left" w:pos="4751"/>
        </w:tabs>
        <w:spacing w:after="0" w:line="240" w:lineRule="auto"/>
        <w:ind w:right="51"/>
        <w:jc w:val="both"/>
        <w:rPr>
          <w:rFonts w:ascii="Arial" w:eastAsia="Times New Roman" w:hAnsi="Arial" w:cs="Arial"/>
          <w:sz w:val="24"/>
          <w:szCs w:val="24"/>
          <w:lang w:val="es-ES" w:eastAsia="es-ES"/>
        </w:rPr>
      </w:pPr>
      <w:bookmarkStart w:id="1" w:name="_GoBack"/>
      <w:bookmarkEnd w:id="1"/>
    </w:p>
    <w:p w:rsidR="00010017" w:rsidRPr="009C19FC" w:rsidRDefault="00010017" w:rsidP="00010017">
      <w:pPr>
        <w:tabs>
          <w:tab w:val="left" w:pos="2268"/>
          <w:tab w:val="left" w:pos="2835"/>
        </w:tabs>
        <w:spacing w:after="0" w:line="240" w:lineRule="auto"/>
        <w:ind w:firstLine="851"/>
        <w:jc w:val="both"/>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ab/>
      </w:r>
      <w:r w:rsidRPr="009C19FC">
        <w:rPr>
          <w:rFonts w:ascii="Arial" w:eastAsia="Times New Roman" w:hAnsi="Arial" w:cs="Arial"/>
          <w:sz w:val="24"/>
          <w:szCs w:val="24"/>
          <w:lang w:val="es-ES" w:eastAsia="es-ES"/>
        </w:rPr>
        <w:tab/>
      </w:r>
      <w:r w:rsidRPr="009C19FC">
        <w:rPr>
          <w:rFonts w:ascii="Arial" w:eastAsia="Times New Roman" w:hAnsi="Arial" w:cs="Arial"/>
          <w:b/>
          <w:sz w:val="24"/>
          <w:szCs w:val="24"/>
          <w:lang w:val="es-ES" w:eastAsia="es-ES"/>
        </w:rPr>
        <w:t xml:space="preserve">Artículo </w:t>
      </w:r>
      <w:r w:rsidR="00C54094" w:rsidRPr="009C19FC">
        <w:rPr>
          <w:rFonts w:ascii="Arial" w:eastAsia="Times New Roman" w:hAnsi="Arial" w:cs="Arial"/>
          <w:b/>
          <w:i/>
          <w:sz w:val="24"/>
          <w:szCs w:val="24"/>
          <w:lang w:val="es-ES" w:eastAsia="es-ES"/>
        </w:rPr>
        <w:t>sexto</w:t>
      </w:r>
      <w:r w:rsidRPr="009C19FC">
        <w:rPr>
          <w:rFonts w:ascii="Arial" w:eastAsia="Times New Roman" w:hAnsi="Arial" w:cs="Arial"/>
          <w:sz w:val="24"/>
          <w:szCs w:val="24"/>
          <w:lang w:val="es-ES" w:eastAsia="es-ES"/>
        </w:rPr>
        <w:t>.- El mayor gasto fiscal que represente la aplicación de esta ley durante el año presupuestario de entrada en vigencia de la misma se financiará con cargo a los recursos del Ministerio del Trabajo y Previsión Social y, en lo que faltare, con cargo a la partida presupuestaria del Tesoro Público del Presupuesto del Sector Público. En los años siguientes se financiará con cargo a los recursos que anualmente contemple la ley de Presupuestos.”.</w:t>
      </w:r>
    </w:p>
    <w:p w:rsidR="00010017" w:rsidRPr="009C19FC" w:rsidRDefault="00010017" w:rsidP="00010017">
      <w:pPr>
        <w:tabs>
          <w:tab w:val="left" w:pos="2268"/>
          <w:tab w:val="left" w:pos="2835"/>
        </w:tabs>
        <w:spacing w:after="0" w:line="240" w:lineRule="auto"/>
        <w:ind w:firstLine="851"/>
        <w:jc w:val="both"/>
        <w:rPr>
          <w:rFonts w:ascii="Arial" w:eastAsia="Times New Roman" w:hAnsi="Arial" w:cs="Arial"/>
          <w:bCs/>
          <w:sz w:val="24"/>
          <w:szCs w:val="24"/>
          <w:lang w:val="es-ES" w:eastAsia="es-CL"/>
        </w:rPr>
      </w:pPr>
    </w:p>
    <w:p w:rsidR="00C54094" w:rsidRPr="009C19FC" w:rsidRDefault="00C54094" w:rsidP="00010017">
      <w:pPr>
        <w:tabs>
          <w:tab w:val="left" w:pos="2268"/>
          <w:tab w:val="left" w:pos="2835"/>
        </w:tabs>
        <w:spacing w:after="0" w:line="240" w:lineRule="auto"/>
        <w:ind w:firstLine="851"/>
        <w:jc w:val="both"/>
        <w:rPr>
          <w:rFonts w:ascii="Arial" w:eastAsia="Times New Roman" w:hAnsi="Arial" w:cs="Arial"/>
          <w:bCs/>
          <w:sz w:val="24"/>
          <w:szCs w:val="24"/>
          <w:lang w:val="es-ES" w:eastAsia="es-CL"/>
        </w:rPr>
      </w:pPr>
    </w:p>
    <w:p w:rsidR="00010017" w:rsidRPr="009C19FC" w:rsidRDefault="00010017" w:rsidP="00010017">
      <w:pPr>
        <w:tabs>
          <w:tab w:val="left" w:pos="2835"/>
        </w:tabs>
        <w:spacing w:after="0" w:line="240" w:lineRule="auto"/>
        <w:jc w:val="center"/>
        <w:rPr>
          <w:rFonts w:ascii="Arial" w:eastAsia="Times New Roman" w:hAnsi="Arial" w:cs="Arial"/>
          <w:b/>
          <w:sz w:val="24"/>
          <w:szCs w:val="24"/>
          <w:lang w:val="es-ES" w:eastAsia="es-ES"/>
        </w:rPr>
      </w:pPr>
      <w:r w:rsidRPr="009C19FC">
        <w:rPr>
          <w:rFonts w:ascii="Arial" w:eastAsia="Times New Roman" w:hAnsi="Arial" w:cs="Arial"/>
          <w:b/>
          <w:sz w:val="24"/>
          <w:szCs w:val="24"/>
          <w:lang w:val="es-ES" w:eastAsia="es-ES"/>
        </w:rPr>
        <w:t>- - -</w:t>
      </w:r>
    </w:p>
    <w:p w:rsidR="00010017" w:rsidRPr="009C19FC" w:rsidRDefault="00010017" w:rsidP="00010017">
      <w:pPr>
        <w:tabs>
          <w:tab w:val="left" w:pos="2835"/>
        </w:tabs>
        <w:spacing w:after="0" w:line="240" w:lineRule="auto"/>
        <w:jc w:val="both"/>
        <w:rPr>
          <w:rFonts w:ascii="Arial" w:eastAsia="Times New Roman" w:hAnsi="Arial" w:cs="Times New Roman"/>
          <w:bCs/>
          <w:sz w:val="24"/>
          <w:szCs w:val="24"/>
          <w:lang w:val="es-ES" w:eastAsia="es-ES"/>
        </w:rPr>
      </w:pPr>
    </w:p>
    <w:p w:rsidR="003937FC" w:rsidRPr="009C19FC" w:rsidRDefault="003937FC" w:rsidP="00010017">
      <w:pPr>
        <w:tabs>
          <w:tab w:val="left" w:pos="2835"/>
        </w:tabs>
        <w:spacing w:after="0" w:line="240" w:lineRule="auto"/>
        <w:jc w:val="both"/>
        <w:rPr>
          <w:rFonts w:ascii="Arial" w:eastAsia="Times New Roman" w:hAnsi="Arial" w:cs="Times New Roman"/>
          <w:bCs/>
          <w:sz w:val="24"/>
          <w:szCs w:val="24"/>
          <w:lang w:val="es-ES" w:eastAsia="es-ES"/>
        </w:rPr>
      </w:pPr>
    </w:p>
    <w:p w:rsidR="003937FC" w:rsidRPr="009C19FC" w:rsidRDefault="003937FC" w:rsidP="00010017">
      <w:pPr>
        <w:tabs>
          <w:tab w:val="left" w:pos="2835"/>
        </w:tabs>
        <w:spacing w:after="0" w:line="240" w:lineRule="auto"/>
        <w:jc w:val="both"/>
        <w:rPr>
          <w:rFonts w:ascii="Arial" w:eastAsia="Times New Roman" w:hAnsi="Arial" w:cs="Times New Roman"/>
          <w:bCs/>
          <w:sz w:val="24"/>
          <w:szCs w:val="24"/>
          <w:lang w:val="es-ES" w:eastAsia="es-ES"/>
        </w:rPr>
      </w:pPr>
    </w:p>
    <w:p w:rsidR="00010017" w:rsidRPr="009C19FC" w:rsidRDefault="00010017" w:rsidP="003937FC">
      <w:pPr>
        <w:tabs>
          <w:tab w:val="left" w:pos="2835"/>
        </w:tabs>
        <w:spacing w:after="0" w:line="240" w:lineRule="auto"/>
        <w:jc w:val="center"/>
        <w:rPr>
          <w:rFonts w:ascii="Arial" w:eastAsia="Times New Roman" w:hAnsi="Arial" w:cs="Arial"/>
          <w:sz w:val="24"/>
          <w:szCs w:val="24"/>
          <w:lang w:val="es-ES" w:eastAsia="es-ES"/>
        </w:rPr>
      </w:pPr>
      <w:r w:rsidRPr="009C19FC">
        <w:rPr>
          <w:rFonts w:ascii="Arial" w:eastAsia="Times New Roman" w:hAnsi="Arial" w:cs="Arial"/>
          <w:sz w:val="24"/>
          <w:szCs w:val="24"/>
          <w:lang w:val="es-ES" w:eastAsia="es-ES"/>
        </w:rPr>
        <w:t>ROBERTO BUSTOS LATORRE</w:t>
      </w:r>
    </w:p>
    <w:p w:rsidR="004606FA" w:rsidRDefault="00010017" w:rsidP="00547A4F">
      <w:pPr>
        <w:tabs>
          <w:tab w:val="left" w:pos="2835"/>
        </w:tabs>
        <w:spacing w:after="0" w:line="240" w:lineRule="auto"/>
        <w:jc w:val="center"/>
      </w:pPr>
      <w:r w:rsidRPr="009C19FC">
        <w:rPr>
          <w:rFonts w:ascii="Arial" w:eastAsia="Times New Roman" w:hAnsi="Arial" w:cs="Arial"/>
          <w:sz w:val="24"/>
          <w:szCs w:val="24"/>
          <w:lang w:val="es-ES" w:eastAsia="es-ES"/>
        </w:rPr>
        <w:t>Secretario de la Comisión</w:t>
      </w:r>
    </w:p>
    <w:sectPr w:rsidR="004606FA" w:rsidSect="009C19FC">
      <w:headerReference w:type="even" r:id="rId8"/>
      <w:headerReference w:type="default" r:id="rId9"/>
      <w:pgSz w:w="12240" w:h="20160" w:code="5"/>
      <w:pgMar w:top="2835" w:right="1701" w:bottom="2835" w:left="2268" w:header="709" w:footer="709" w:gutter="0"/>
      <w:paperSrc w:first="4" w:other="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2D7" w:rsidRDefault="00A832D7">
      <w:pPr>
        <w:spacing w:after="0" w:line="240" w:lineRule="auto"/>
      </w:pPr>
      <w:r>
        <w:separator/>
      </w:r>
    </w:p>
  </w:endnote>
  <w:endnote w:type="continuationSeparator" w:id="0">
    <w:p w:rsidR="00A832D7" w:rsidRDefault="00A83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2D7" w:rsidRDefault="00A832D7">
      <w:pPr>
        <w:spacing w:after="0" w:line="240" w:lineRule="auto"/>
      </w:pPr>
      <w:r>
        <w:separator/>
      </w:r>
    </w:p>
  </w:footnote>
  <w:footnote w:type="continuationSeparator" w:id="0">
    <w:p w:rsidR="00A832D7" w:rsidRDefault="00A832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92" w:rsidRDefault="00010017" w:rsidP="00805B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05B92" w:rsidRDefault="00A832D7" w:rsidP="00805B92">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B92" w:rsidRDefault="00010017" w:rsidP="00805B9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19FC">
      <w:rPr>
        <w:rStyle w:val="Nmerodepgina"/>
        <w:noProof/>
      </w:rPr>
      <w:t>16</w:t>
    </w:r>
    <w:r>
      <w:rPr>
        <w:rStyle w:val="Nmerodepgina"/>
      </w:rPr>
      <w:fldChar w:fldCharType="end"/>
    </w:r>
  </w:p>
  <w:p w:rsidR="00805B92" w:rsidRDefault="00A832D7" w:rsidP="00805B92">
    <w:pPr>
      <w:pStyle w:val="Encabezado"/>
      <w:ind w:right="360"/>
      <w:jc w:val="right"/>
    </w:pPr>
  </w:p>
  <w:p w:rsidR="00805B92" w:rsidRDefault="00A832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81DAA"/>
    <w:multiLevelType w:val="hybridMultilevel"/>
    <w:tmpl w:val="FC3E5F70"/>
    <w:lvl w:ilvl="0" w:tplc="55A633A8">
      <w:start w:val="2"/>
      <w:numFmt w:val="bullet"/>
      <w:lvlText w:val="-"/>
      <w:lvlJc w:val="left"/>
      <w:pPr>
        <w:ind w:left="720" w:hanging="360"/>
      </w:pPr>
      <w:rPr>
        <w:rFonts w:ascii="Arial" w:eastAsia="Calibr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4EA14DA0"/>
    <w:multiLevelType w:val="hybridMultilevel"/>
    <w:tmpl w:val="6F3EF528"/>
    <w:lvl w:ilvl="0" w:tplc="F32688AA">
      <w:start w:val="1"/>
      <w:numFmt w:val="decimal"/>
      <w:lvlText w:val="%1."/>
      <w:lvlJc w:val="left"/>
      <w:pPr>
        <w:ind w:left="2987" w:hanging="435"/>
      </w:pPr>
    </w:lvl>
    <w:lvl w:ilvl="1" w:tplc="340A0019">
      <w:start w:val="1"/>
      <w:numFmt w:val="lowerLetter"/>
      <w:lvlText w:val="%2."/>
      <w:lvlJc w:val="left"/>
      <w:pPr>
        <w:ind w:left="3632" w:hanging="360"/>
      </w:pPr>
    </w:lvl>
    <w:lvl w:ilvl="2" w:tplc="340A001B">
      <w:start w:val="1"/>
      <w:numFmt w:val="lowerRoman"/>
      <w:lvlText w:val="%3."/>
      <w:lvlJc w:val="right"/>
      <w:pPr>
        <w:ind w:left="4352" w:hanging="180"/>
      </w:pPr>
    </w:lvl>
    <w:lvl w:ilvl="3" w:tplc="340A000F">
      <w:start w:val="1"/>
      <w:numFmt w:val="decimal"/>
      <w:lvlText w:val="%4."/>
      <w:lvlJc w:val="left"/>
      <w:pPr>
        <w:ind w:left="5072" w:hanging="360"/>
      </w:pPr>
    </w:lvl>
    <w:lvl w:ilvl="4" w:tplc="340A0019">
      <w:start w:val="1"/>
      <w:numFmt w:val="lowerLetter"/>
      <w:lvlText w:val="%5."/>
      <w:lvlJc w:val="left"/>
      <w:pPr>
        <w:ind w:left="5792" w:hanging="360"/>
      </w:pPr>
    </w:lvl>
    <w:lvl w:ilvl="5" w:tplc="340A001B">
      <w:start w:val="1"/>
      <w:numFmt w:val="lowerRoman"/>
      <w:lvlText w:val="%6."/>
      <w:lvlJc w:val="right"/>
      <w:pPr>
        <w:ind w:left="6512" w:hanging="180"/>
      </w:pPr>
    </w:lvl>
    <w:lvl w:ilvl="6" w:tplc="340A000F">
      <w:start w:val="1"/>
      <w:numFmt w:val="decimal"/>
      <w:lvlText w:val="%7."/>
      <w:lvlJc w:val="left"/>
      <w:pPr>
        <w:ind w:left="7232" w:hanging="360"/>
      </w:pPr>
    </w:lvl>
    <w:lvl w:ilvl="7" w:tplc="340A0019">
      <w:start w:val="1"/>
      <w:numFmt w:val="lowerLetter"/>
      <w:lvlText w:val="%8."/>
      <w:lvlJc w:val="left"/>
      <w:pPr>
        <w:ind w:left="7952" w:hanging="360"/>
      </w:pPr>
    </w:lvl>
    <w:lvl w:ilvl="8" w:tplc="340A001B">
      <w:start w:val="1"/>
      <w:numFmt w:val="lowerRoman"/>
      <w:lvlText w:val="%9."/>
      <w:lvlJc w:val="right"/>
      <w:pPr>
        <w:ind w:left="8672" w:hanging="180"/>
      </w:pPr>
    </w:lvl>
  </w:abstractNum>
  <w:abstractNum w:abstractNumId="2">
    <w:nsid w:val="65F70060"/>
    <w:multiLevelType w:val="hybridMultilevel"/>
    <w:tmpl w:val="61E62A0C"/>
    <w:lvl w:ilvl="0" w:tplc="82AA4E26">
      <w:start w:val="2"/>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69F233AC"/>
    <w:multiLevelType w:val="hybridMultilevel"/>
    <w:tmpl w:val="8A0C5E04"/>
    <w:lvl w:ilvl="0" w:tplc="12102D5C">
      <w:start w:val="10"/>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17"/>
    <w:rsid w:val="00010017"/>
    <w:rsid w:val="0004658C"/>
    <w:rsid w:val="00092A7B"/>
    <w:rsid w:val="001A43F8"/>
    <w:rsid w:val="001F05A6"/>
    <w:rsid w:val="00280D1D"/>
    <w:rsid w:val="003937FC"/>
    <w:rsid w:val="003B198B"/>
    <w:rsid w:val="004606FA"/>
    <w:rsid w:val="00547A4F"/>
    <w:rsid w:val="0055272C"/>
    <w:rsid w:val="005A6127"/>
    <w:rsid w:val="005B7B1F"/>
    <w:rsid w:val="006C2A52"/>
    <w:rsid w:val="008325BE"/>
    <w:rsid w:val="0083564E"/>
    <w:rsid w:val="008A3F08"/>
    <w:rsid w:val="008B1867"/>
    <w:rsid w:val="008C1D52"/>
    <w:rsid w:val="008E0D9A"/>
    <w:rsid w:val="00911BA4"/>
    <w:rsid w:val="00943016"/>
    <w:rsid w:val="009C19FC"/>
    <w:rsid w:val="00A832D7"/>
    <w:rsid w:val="00AB5C1F"/>
    <w:rsid w:val="00B65B6D"/>
    <w:rsid w:val="00C54094"/>
    <w:rsid w:val="00C63FEC"/>
    <w:rsid w:val="00E316D6"/>
    <w:rsid w:val="00E749D9"/>
    <w:rsid w:val="00EE3DF8"/>
    <w:rsid w:val="00FB00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1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10017"/>
  </w:style>
  <w:style w:type="character" w:styleId="Nmerodepgina">
    <w:name w:val="page number"/>
    <w:basedOn w:val="Fuentedeprrafopredeter"/>
    <w:rsid w:val="00010017"/>
  </w:style>
  <w:style w:type="table" w:customStyle="1" w:styleId="Tablaconcuadrcula1">
    <w:name w:val="Tabla con cuadrícula1"/>
    <w:basedOn w:val="Tablanormal"/>
    <w:next w:val="Tablaconcuadrcula"/>
    <w:uiPriority w:val="59"/>
    <w:rsid w:val="00010017"/>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1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0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017"/>
    <w:rPr>
      <w:rFonts w:ascii="Tahoma" w:hAnsi="Tahoma" w:cs="Tahoma"/>
      <w:sz w:val="16"/>
      <w:szCs w:val="16"/>
    </w:rPr>
  </w:style>
  <w:style w:type="paragraph" w:styleId="Sinespaciado">
    <w:name w:val="No Spacing"/>
    <w:uiPriority w:val="1"/>
    <w:qFormat/>
    <w:rsid w:val="00010017"/>
    <w:pPr>
      <w:spacing w:after="0" w:line="240" w:lineRule="auto"/>
    </w:pPr>
  </w:style>
  <w:style w:type="character" w:customStyle="1" w:styleId="Cuerpodeltexto2">
    <w:name w:val="Cuerpo del texto (2)_"/>
    <w:basedOn w:val="Fuentedeprrafopredeter"/>
    <w:link w:val="Cuerpodeltexto20"/>
    <w:rsid w:val="00C63FEC"/>
    <w:rPr>
      <w:rFonts w:ascii="Tahoma" w:eastAsia="Tahoma" w:hAnsi="Tahoma" w:cs="Tahoma"/>
      <w:sz w:val="21"/>
      <w:szCs w:val="21"/>
      <w:shd w:val="clear" w:color="auto" w:fill="FFFFFF"/>
    </w:rPr>
  </w:style>
  <w:style w:type="character" w:customStyle="1" w:styleId="Cuerpodeltexto3">
    <w:name w:val="Cuerpo del texto (3)_"/>
    <w:basedOn w:val="Fuentedeprrafopredeter"/>
    <w:link w:val="Cuerpodeltexto30"/>
    <w:rsid w:val="00C63FEC"/>
    <w:rPr>
      <w:rFonts w:ascii="Tahoma" w:eastAsia="Tahoma" w:hAnsi="Tahoma" w:cs="Tahoma"/>
      <w:b/>
      <w:bCs/>
      <w:sz w:val="21"/>
      <w:szCs w:val="21"/>
      <w:shd w:val="clear" w:color="auto" w:fill="FFFFFF"/>
    </w:rPr>
  </w:style>
  <w:style w:type="character" w:customStyle="1" w:styleId="Cuerpodeltexto2Negrita">
    <w:name w:val="Cuerpo del texto (2) + Negrita"/>
    <w:basedOn w:val="Cuerpodeltexto2"/>
    <w:rsid w:val="00C63FEC"/>
    <w:rPr>
      <w:rFonts w:ascii="Tahoma" w:eastAsia="Tahoma" w:hAnsi="Tahoma" w:cs="Tahoma"/>
      <w:b/>
      <w:bCs/>
      <w:color w:val="000000"/>
      <w:spacing w:val="0"/>
      <w:w w:val="100"/>
      <w:position w:val="0"/>
      <w:sz w:val="21"/>
      <w:szCs w:val="21"/>
      <w:shd w:val="clear" w:color="auto" w:fill="FFFFFF"/>
      <w:lang w:val="es-ES" w:eastAsia="es-ES" w:bidi="es-ES"/>
    </w:rPr>
  </w:style>
  <w:style w:type="paragraph" w:customStyle="1" w:styleId="Cuerpodeltexto30">
    <w:name w:val="Cuerpo del texto (3)"/>
    <w:basedOn w:val="Normal"/>
    <w:link w:val="Cuerpodeltexto3"/>
    <w:rsid w:val="00C63FEC"/>
    <w:pPr>
      <w:widowControl w:val="0"/>
      <w:shd w:val="clear" w:color="auto" w:fill="FFFFFF"/>
      <w:spacing w:after="260" w:line="254" w:lineRule="exact"/>
      <w:ind w:hanging="380"/>
      <w:jc w:val="center"/>
    </w:pPr>
    <w:rPr>
      <w:rFonts w:ascii="Tahoma" w:eastAsia="Tahoma" w:hAnsi="Tahoma" w:cs="Tahoma"/>
      <w:b/>
      <w:bCs/>
      <w:sz w:val="21"/>
      <w:szCs w:val="21"/>
    </w:rPr>
  </w:style>
  <w:style w:type="paragraph" w:customStyle="1" w:styleId="Cuerpodeltexto20">
    <w:name w:val="Cuerpo del texto (2)"/>
    <w:basedOn w:val="Normal"/>
    <w:link w:val="Cuerpodeltexto2"/>
    <w:rsid w:val="00C63FEC"/>
    <w:pPr>
      <w:widowControl w:val="0"/>
      <w:shd w:val="clear" w:color="auto" w:fill="FFFFFF"/>
      <w:spacing w:before="260" w:after="260" w:line="250" w:lineRule="exact"/>
      <w:ind w:hanging="380"/>
      <w:jc w:val="both"/>
    </w:pPr>
    <w:rPr>
      <w:rFonts w:ascii="Tahoma" w:eastAsia="Tahoma" w:hAnsi="Tahoma" w:cs="Tahoma"/>
      <w:sz w:val="21"/>
      <w:szCs w:val="21"/>
    </w:rPr>
  </w:style>
  <w:style w:type="paragraph" w:styleId="Prrafodelista">
    <w:name w:val="List Paragraph"/>
    <w:basedOn w:val="Normal"/>
    <w:uiPriority w:val="34"/>
    <w:qFormat/>
    <w:rsid w:val="000465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1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0100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10017"/>
  </w:style>
  <w:style w:type="character" w:styleId="Nmerodepgina">
    <w:name w:val="page number"/>
    <w:basedOn w:val="Fuentedeprrafopredeter"/>
    <w:rsid w:val="00010017"/>
  </w:style>
  <w:style w:type="table" w:customStyle="1" w:styleId="Tablaconcuadrcula1">
    <w:name w:val="Tabla con cuadrícula1"/>
    <w:basedOn w:val="Tablanormal"/>
    <w:next w:val="Tablaconcuadrcula"/>
    <w:uiPriority w:val="59"/>
    <w:rsid w:val="00010017"/>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010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100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0017"/>
    <w:rPr>
      <w:rFonts w:ascii="Tahoma" w:hAnsi="Tahoma" w:cs="Tahoma"/>
      <w:sz w:val="16"/>
      <w:szCs w:val="16"/>
    </w:rPr>
  </w:style>
  <w:style w:type="paragraph" w:styleId="Sinespaciado">
    <w:name w:val="No Spacing"/>
    <w:uiPriority w:val="1"/>
    <w:qFormat/>
    <w:rsid w:val="00010017"/>
    <w:pPr>
      <w:spacing w:after="0" w:line="240" w:lineRule="auto"/>
    </w:pPr>
  </w:style>
  <w:style w:type="character" w:customStyle="1" w:styleId="Cuerpodeltexto2">
    <w:name w:val="Cuerpo del texto (2)_"/>
    <w:basedOn w:val="Fuentedeprrafopredeter"/>
    <w:link w:val="Cuerpodeltexto20"/>
    <w:rsid w:val="00C63FEC"/>
    <w:rPr>
      <w:rFonts w:ascii="Tahoma" w:eastAsia="Tahoma" w:hAnsi="Tahoma" w:cs="Tahoma"/>
      <w:sz w:val="21"/>
      <w:szCs w:val="21"/>
      <w:shd w:val="clear" w:color="auto" w:fill="FFFFFF"/>
    </w:rPr>
  </w:style>
  <w:style w:type="character" w:customStyle="1" w:styleId="Cuerpodeltexto3">
    <w:name w:val="Cuerpo del texto (3)_"/>
    <w:basedOn w:val="Fuentedeprrafopredeter"/>
    <w:link w:val="Cuerpodeltexto30"/>
    <w:rsid w:val="00C63FEC"/>
    <w:rPr>
      <w:rFonts w:ascii="Tahoma" w:eastAsia="Tahoma" w:hAnsi="Tahoma" w:cs="Tahoma"/>
      <w:b/>
      <w:bCs/>
      <w:sz w:val="21"/>
      <w:szCs w:val="21"/>
      <w:shd w:val="clear" w:color="auto" w:fill="FFFFFF"/>
    </w:rPr>
  </w:style>
  <w:style w:type="character" w:customStyle="1" w:styleId="Cuerpodeltexto2Negrita">
    <w:name w:val="Cuerpo del texto (2) + Negrita"/>
    <w:basedOn w:val="Cuerpodeltexto2"/>
    <w:rsid w:val="00C63FEC"/>
    <w:rPr>
      <w:rFonts w:ascii="Tahoma" w:eastAsia="Tahoma" w:hAnsi="Tahoma" w:cs="Tahoma"/>
      <w:b/>
      <w:bCs/>
      <w:color w:val="000000"/>
      <w:spacing w:val="0"/>
      <w:w w:val="100"/>
      <w:position w:val="0"/>
      <w:sz w:val="21"/>
      <w:szCs w:val="21"/>
      <w:shd w:val="clear" w:color="auto" w:fill="FFFFFF"/>
      <w:lang w:val="es-ES" w:eastAsia="es-ES" w:bidi="es-ES"/>
    </w:rPr>
  </w:style>
  <w:style w:type="paragraph" w:customStyle="1" w:styleId="Cuerpodeltexto30">
    <w:name w:val="Cuerpo del texto (3)"/>
    <w:basedOn w:val="Normal"/>
    <w:link w:val="Cuerpodeltexto3"/>
    <w:rsid w:val="00C63FEC"/>
    <w:pPr>
      <w:widowControl w:val="0"/>
      <w:shd w:val="clear" w:color="auto" w:fill="FFFFFF"/>
      <w:spacing w:after="260" w:line="254" w:lineRule="exact"/>
      <w:ind w:hanging="380"/>
      <w:jc w:val="center"/>
    </w:pPr>
    <w:rPr>
      <w:rFonts w:ascii="Tahoma" w:eastAsia="Tahoma" w:hAnsi="Tahoma" w:cs="Tahoma"/>
      <w:b/>
      <w:bCs/>
      <w:sz w:val="21"/>
      <w:szCs w:val="21"/>
    </w:rPr>
  </w:style>
  <w:style w:type="paragraph" w:customStyle="1" w:styleId="Cuerpodeltexto20">
    <w:name w:val="Cuerpo del texto (2)"/>
    <w:basedOn w:val="Normal"/>
    <w:link w:val="Cuerpodeltexto2"/>
    <w:rsid w:val="00C63FEC"/>
    <w:pPr>
      <w:widowControl w:val="0"/>
      <w:shd w:val="clear" w:color="auto" w:fill="FFFFFF"/>
      <w:spacing w:before="260" w:after="260" w:line="250" w:lineRule="exact"/>
      <w:ind w:hanging="380"/>
      <w:jc w:val="both"/>
    </w:pPr>
    <w:rPr>
      <w:rFonts w:ascii="Tahoma" w:eastAsia="Tahoma" w:hAnsi="Tahoma" w:cs="Tahoma"/>
      <w:sz w:val="21"/>
      <w:szCs w:val="21"/>
    </w:rPr>
  </w:style>
  <w:style w:type="paragraph" w:styleId="Prrafodelista">
    <w:name w:val="List Paragraph"/>
    <w:basedOn w:val="Normal"/>
    <w:uiPriority w:val="34"/>
    <w:qFormat/>
    <w:rsid w:val="00046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16</Pages>
  <Words>5477</Words>
  <Characters>30126</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avillarroel</cp:lastModifiedBy>
  <cp:revision>16</cp:revision>
  <cp:lastPrinted>2015-04-07T18:24:00Z</cp:lastPrinted>
  <dcterms:created xsi:type="dcterms:W3CDTF">2015-04-07T16:06:00Z</dcterms:created>
  <dcterms:modified xsi:type="dcterms:W3CDTF">2015-04-07T18:43:00Z</dcterms:modified>
</cp:coreProperties>
</file>