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5E480" w14:textId="77777777" w:rsidR="00384649" w:rsidRDefault="00000000">
      <w:pPr>
        <w:pStyle w:val="Ttulo1"/>
        <w:spacing w:before="84"/>
        <w:ind w:right="589" w:firstLine="577"/>
      </w:pPr>
      <w:bookmarkStart w:id="0" w:name="_heading=h.gjdgxs" w:colFirst="0" w:colLast="0"/>
      <w:bookmarkEnd w:id="0"/>
      <w:r>
        <w:t>PROYECTO DE LEY QUE MODIFICA EL CÓDIGO DEL TRABAJO PARA</w:t>
      </w:r>
    </w:p>
    <w:p w14:paraId="4C7BE960" w14:textId="77777777" w:rsidR="00384649" w:rsidRDefault="00000000">
      <w:pPr>
        <w:spacing w:before="42" w:line="276" w:lineRule="auto"/>
        <w:ind w:left="221" w:right="234"/>
        <w:jc w:val="center"/>
        <w:rPr>
          <w:rFonts w:ascii="Arial" w:eastAsia="Arial" w:hAnsi="Arial" w:cs="Arial"/>
          <w:b/>
          <w:sz w:val="24"/>
          <w:szCs w:val="24"/>
        </w:rPr>
      </w:pPr>
      <w:r>
        <w:rPr>
          <w:rFonts w:ascii="Arial" w:eastAsia="Arial" w:hAnsi="Arial" w:cs="Arial"/>
          <w:b/>
          <w:sz w:val="24"/>
          <w:szCs w:val="24"/>
        </w:rPr>
        <w:t xml:space="preserve"> FLEXIBILIZAR EL PERMISO LABORAL POR FALLECIMIENTO DE FAMILIARES.</w:t>
      </w:r>
    </w:p>
    <w:p w14:paraId="48B4F0C6" w14:textId="77777777" w:rsidR="00384649" w:rsidRDefault="00384649">
      <w:pPr>
        <w:pBdr>
          <w:top w:val="nil"/>
          <w:left w:val="nil"/>
          <w:bottom w:val="nil"/>
          <w:right w:val="nil"/>
          <w:between w:val="nil"/>
        </w:pBdr>
        <w:rPr>
          <w:rFonts w:ascii="Arial" w:eastAsia="Arial" w:hAnsi="Arial" w:cs="Arial"/>
          <w:b/>
          <w:color w:val="000000"/>
          <w:sz w:val="26"/>
          <w:szCs w:val="26"/>
        </w:rPr>
      </w:pPr>
    </w:p>
    <w:p w14:paraId="6085C128" w14:textId="77777777" w:rsidR="00384649" w:rsidRDefault="00384649">
      <w:pPr>
        <w:pBdr>
          <w:top w:val="nil"/>
          <w:left w:val="nil"/>
          <w:bottom w:val="nil"/>
          <w:right w:val="nil"/>
          <w:between w:val="nil"/>
        </w:pBdr>
        <w:spacing w:before="5"/>
        <w:rPr>
          <w:rFonts w:ascii="Arial" w:eastAsia="Arial" w:hAnsi="Arial" w:cs="Arial"/>
          <w:b/>
          <w:color w:val="000000"/>
        </w:rPr>
      </w:pPr>
    </w:p>
    <w:p w14:paraId="06500496" w14:textId="77777777" w:rsidR="00384649" w:rsidRDefault="00000000">
      <w:pPr>
        <w:pStyle w:val="Ttulo1"/>
        <w:numPr>
          <w:ilvl w:val="0"/>
          <w:numId w:val="1"/>
        </w:numPr>
        <w:tabs>
          <w:tab w:val="left" w:pos="819"/>
          <w:tab w:val="left" w:pos="820"/>
        </w:tabs>
        <w:jc w:val="left"/>
      </w:pPr>
      <w:r>
        <w:t>IDEA MATRIZ:</w:t>
      </w:r>
    </w:p>
    <w:p w14:paraId="46CC94EE" w14:textId="77777777" w:rsidR="00384649" w:rsidRDefault="00384649">
      <w:pPr>
        <w:pBdr>
          <w:top w:val="nil"/>
          <w:left w:val="nil"/>
          <w:bottom w:val="nil"/>
          <w:right w:val="nil"/>
          <w:between w:val="nil"/>
        </w:pBdr>
        <w:spacing w:before="10"/>
        <w:rPr>
          <w:rFonts w:ascii="Arial" w:eastAsia="Arial" w:hAnsi="Arial" w:cs="Arial"/>
          <w:b/>
          <w:color w:val="000000"/>
          <w:sz w:val="32"/>
          <w:szCs w:val="32"/>
        </w:rPr>
      </w:pPr>
    </w:p>
    <w:p w14:paraId="317A4F45" w14:textId="77777777" w:rsidR="00384649" w:rsidRDefault="00000000">
      <w:pPr>
        <w:pBdr>
          <w:top w:val="nil"/>
          <w:left w:val="nil"/>
          <w:bottom w:val="nil"/>
          <w:right w:val="nil"/>
          <w:between w:val="nil"/>
        </w:pBdr>
        <w:spacing w:line="360" w:lineRule="auto"/>
        <w:ind w:left="100" w:right="114" w:firstLine="720"/>
        <w:jc w:val="both"/>
        <w:rPr>
          <w:rFonts w:ascii="Arial" w:eastAsia="Arial" w:hAnsi="Arial" w:cs="Arial"/>
          <w:color w:val="000000"/>
          <w:sz w:val="24"/>
          <w:szCs w:val="24"/>
        </w:rPr>
      </w:pPr>
      <w:r>
        <w:rPr>
          <w:rFonts w:ascii="Arial" w:eastAsia="Arial" w:hAnsi="Arial" w:cs="Arial"/>
          <w:color w:val="000000"/>
          <w:sz w:val="24"/>
          <w:szCs w:val="24"/>
        </w:rPr>
        <w:t xml:space="preserve">Ampliar y flexibilizar el permiso laboral por fallecimiento de un familiar, permitiendo que los trabajadores y trabajadoras puedan disponer del tiempo necesario para asistir a ceremonias funerarias de familiares señalados en el </w:t>
      </w:r>
      <w:r>
        <w:rPr>
          <w:sz w:val="24"/>
          <w:szCs w:val="24"/>
        </w:rPr>
        <w:t>artículo</w:t>
      </w:r>
      <w:r>
        <w:rPr>
          <w:rFonts w:ascii="Arial" w:eastAsia="Arial" w:hAnsi="Arial" w:cs="Arial"/>
          <w:color w:val="000000"/>
          <w:sz w:val="24"/>
          <w:szCs w:val="24"/>
        </w:rPr>
        <w:t xml:space="preserve"> 66 </w:t>
      </w:r>
      <w:r>
        <w:rPr>
          <w:sz w:val="24"/>
          <w:szCs w:val="24"/>
        </w:rPr>
        <w:t>para</w:t>
      </w:r>
      <w:r>
        <w:rPr>
          <w:rFonts w:ascii="Arial" w:eastAsia="Arial" w:hAnsi="Arial" w:cs="Arial"/>
          <w:color w:val="000000"/>
          <w:sz w:val="24"/>
          <w:szCs w:val="24"/>
        </w:rPr>
        <w:t xml:space="preserve"> otorgarles la posibilidad de utilizar este permiso en fechas no consecutivas si las ceremonias no coinciden con los días inmediatamente posteriores al fallecimiento</w:t>
      </w:r>
      <w:proofErr w:type="gramStart"/>
      <w:r>
        <w:rPr>
          <w:rFonts w:ascii="Arial" w:eastAsia="Arial" w:hAnsi="Arial" w:cs="Arial"/>
          <w:color w:val="000000"/>
          <w:sz w:val="24"/>
          <w:szCs w:val="24"/>
        </w:rPr>
        <w:t>. .</w:t>
      </w:r>
      <w:proofErr w:type="gramEnd"/>
    </w:p>
    <w:p w14:paraId="3C3FD79E" w14:textId="77777777" w:rsidR="00384649" w:rsidRDefault="00384649">
      <w:pPr>
        <w:pBdr>
          <w:top w:val="nil"/>
          <w:left w:val="nil"/>
          <w:bottom w:val="nil"/>
          <w:right w:val="nil"/>
          <w:between w:val="nil"/>
        </w:pBdr>
        <w:spacing w:before="10"/>
        <w:rPr>
          <w:rFonts w:ascii="Arial" w:eastAsia="Arial" w:hAnsi="Arial" w:cs="Arial"/>
          <w:color w:val="000000"/>
          <w:sz w:val="20"/>
          <w:szCs w:val="20"/>
        </w:rPr>
      </w:pPr>
    </w:p>
    <w:p w14:paraId="783FA229" w14:textId="77777777" w:rsidR="00384649" w:rsidRDefault="00000000">
      <w:pPr>
        <w:pStyle w:val="Ttulo1"/>
        <w:numPr>
          <w:ilvl w:val="0"/>
          <w:numId w:val="1"/>
        </w:numPr>
        <w:tabs>
          <w:tab w:val="left" w:pos="819"/>
          <w:tab w:val="left" w:pos="820"/>
        </w:tabs>
        <w:ind w:hanging="561"/>
        <w:jc w:val="left"/>
      </w:pPr>
      <w:r>
        <w:t>FUNDAMENTOS:</w:t>
      </w:r>
    </w:p>
    <w:p w14:paraId="3C3CEFF6" w14:textId="77777777" w:rsidR="00384649" w:rsidRDefault="00000000">
      <w:pPr>
        <w:pBdr>
          <w:top w:val="nil"/>
          <w:left w:val="nil"/>
          <w:bottom w:val="nil"/>
          <w:right w:val="nil"/>
          <w:between w:val="nil"/>
        </w:pBdr>
        <w:spacing w:before="138" w:line="360" w:lineRule="auto"/>
        <w:ind w:left="100" w:right="112" w:firstLine="720"/>
        <w:jc w:val="both"/>
        <w:rPr>
          <w:rFonts w:ascii="Arial" w:eastAsia="Arial" w:hAnsi="Arial" w:cs="Arial"/>
          <w:color w:val="000000"/>
          <w:sz w:val="24"/>
          <w:szCs w:val="24"/>
        </w:rPr>
      </w:pPr>
      <w:r>
        <w:rPr>
          <w:rFonts w:ascii="Arial" w:eastAsia="Arial" w:hAnsi="Arial" w:cs="Arial"/>
          <w:color w:val="000000"/>
          <w:sz w:val="24"/>
          <w:szCs w:val="24"/>
        </w:rPr>
        <w:t>El Código del Trabajo, en su Capítulo VII, titulado "Del Feriado Anual y de los Permisos", establece en el artículo 66 el derecho de los trabajadores a un permiso especial en caso de fallecimiento de un familiar cercano. Específicamente, este artículo concede un permiso de 10 días corridos en caso de fallecimiento de un hijo,</w:t>
      </w:r>
    </w:p>
    <w:p w14:paraId="08CE8DF5" w14:textId="77777777" w:rsidR="00384649" w:rsidRDefault="00000000">
      <w:pPr>
        <w:pBdr>
          <w:top w:val="nil"/>
          <w:left w:val="nil"/>
          <w:bottom w:val="nil"/>
          <w:right w:val="nil"/>
          <w:between w:val="nil"/>
        </w:pBdr>
        <w:spacing w:line="360" w:lineRule="auto"/>
        <w:ind w:left="100" w:right="115"/>
        <w:jc w:val="both"/>
        <w:rPr>
          <w:rFonts w:ascii="Arial" w:eastAsia="Arial" w:hAnsi="Arial" w:cs="Arial"/>
          <w:color w:val="000000"/>
          <w:sz w:val="24"/>
          <w:szCs w:val="24"/>
        </w:rPr>
      </w:pPr>
      <w:r>
        <w:rPr>
          <w:rFonts w:ascii="Arial" w:eastAsia="Arial" w:hAnsi="Arial" w:cs="Arial"/>
          <w:color w:val="000000"/>
          <w:sz w:val="24"/>
          <w:szCs w:val="24"/>
        </w:rPr>
        <w:t>7 días corridos en caso de fallecimiento del cónyuge o conviviente civil, 7 días hábiles por la pérdida de un hijo en período de gestación, y 4 días hábiles por la muerte de un hermano, hermana, padre o madre del trabajador.</w:t>
      </w:r>
    </w:p>
    <w:p w14:paraId="77289E75" w14:textId="77777777" w:rsidR="00384649" w:rsidRDefault="00384649">
      <w:pPr>
        <w:pBdr>
          <w:top w:val="nil"/>
          <w:left w:val="nil"/>
          <w:bottom w:val="nil"/>
          <w:right w:val="nil"/>
          <w:between w:val="nil"/>
        </w:pBdr>
        <w:spacing w:before="10"/>
        <w:rPr>
          <w:rFonts w:ascii="Arial" w:eastAsia="Arial" w:hAnsi="Arial" w:cs="Arial"/>
          <w:color w:val="000000"/>
          <w:sz w:val="20"/>
          <w:szCs w:val="20"/>
        </w:rPr>
      </w:pPr>
    </w:p>
    <w:p w14:paraId="6C53E005" w14:textId="77777777" w:rsidR="00384649" w:rsidRDefault="00000000">
      <w:pPr>
        <w:pBdr>
          <w:top w:val="nil"/>
          <w:left w:val="nil"/>
          <w:bottom w:val="nil"/>
          <w:right w:val="nil"/>
          <w:between w:val="nil"/>
        </w:pBdr>
        <w:spacing w:line="360" w:lineRule="auto"/>
        <w:ind w:left="100" w:right="112" w:firstLine="720"/>
        <w:jc w:val="both"/>
        <w:rPr>
          <w:rFonts w:ascii="Arial" w:eastAsia="Arial" w:hAnsi="Arial" w:cs="Arial"/>
          <w:color w:val="000000"/>
          <w:sz w:val="24"/>
          <w:szCs w:val="24"/>
        </w:rPr>
      </w:pPr>
      <w:r>
        <w:rPr>
          <w:rFonts w:ascii="Arial" w:eastAsia="Arial" w:hAnsi="Arial" w:cs="Arial"/>
          <w:color w:val="000000"/>
          <w:sz w:val="24"/>
          <w:szCs w:val="24"/>
        </w:rPr>
        <w:t xml:space="preserve">Este permiso se fundamenta en el profundo impacto emocional que puede causar la pérdida de un ser querido tan cercano como los familiares directos. Reconociendo la importancia de este contexto, resulta lógico y necesario que el Código del Trabajo extienda estas disposiciones para incluir a otros familiares igualmente significativos para </w:t>
      </w:r>
      <w:proofErr w:type="gramStart"/>
      <w:r>
        <w:rPr>
          <w:rFonts w:ascii="Arial" w:eastAsia="Arial" w:hAnsi="Arial" w:cs="Arial"/>
          <w:color w:val="000000"/>
          <w:sz w:val="24"/>
          <w:szCs w:val="24"/>
        </w:rPr>
        <w:t>los trabajadores y trabajadoras</w:t>
      </w:r>
      <w:proofErr w:type="gramEnd"/>
      <w:r>
        <w:rPr>
          <w:rFonts w:ascii="Arial" w:eastAsia="Arial" w:hAnsi="Arial" w:cs="Arial"/>
          <w:color w:val="000000"/>
          <w:sz w:val="24"/>
          <w:szCs w:val="24"/>
        </w:rPr>
        <w:t>.</w:t>
      </w:r>
    </w:p>
    <w:p w14:paraId="68C600D9" w14:textId="77777777" w:rsidR="00384649" w:rsidRDefault="00384649">
      <w:pPr>
        <w:pBdr>
          <w:top w:val="nil"/>
          <w:left w:val="nil"/>
          <w:bottom w:val="nil"/>
          <w:right w:val="nil"/>
          <w:between w:val="nil"/>
        </w:pBdr>
        <w:spacing w:before="10"/>
        <w:rPr>
          <w:rFonts w:ascii="Arial" w:eastAsia="Arial" w:hAnsi="Arial" w:cs="Arial"/>
          <w:color w:val="000000"/>
          <w:sz w:val="20"/>
          <w:szCs w:val="20"/>
        </w:rPr>
      </w:pPr>
    </w:p>
    <w:p w14:paraId="0F1B675E" w14:textId="77777777" w:rsidR="00384649" w:rsidRDefault="00000000">
      <w:pPr>
        <w:pBdr>
          <w:top w:val="nil"/>
          <w:left w:val="nil"/>
          <w:bottom w:val="nil"/>
          <w:right w:val="nil"/>
          <w:between w:val="nil"/>
        </w:pBdr>
        <w:spacing w:line="360" w:lineRule="auto"/>
        <w:ind w:left="100" w:right="112" w:firstLine="720"/>
        <w:jc w:val="both"/>
        <w:rPr>
          <w:rFonts w:ascii="Arial" w:eastAsia="Arial" w:hAnsi="Arial" w:cs="Arial"/>
          <w:color w:val="000000"/>
          <w:sz w:val="24"/>
          <w:szCs w:val="24"/>
        </w:rPr>
        <w:sectPr w:rsidR="00384649">
          <w:headerReference w:type="default" r:id="rId8"/>
          <w:pgSz w:w="11920" w:h="16840"/>
          <w:pgMar w:top="2380" w:right="1340" w:bottom="280" w:left="1340" w:header="750" w:footer="720" w:gutter="0"/>
          <w:pgNumType w:start="1"/>
          <w:cols w:space="720"/>
        </w:sectPr>
      </w:pPr>
      <w:r>
        <w:rPr>
          <w:rFonts w:ascii="Arial" w:eastAsia="Arial" w:hAnsi="Arial" w:cs="Arial"/>
          <w:color w:val="000000"/>
          <w:sz w:val="24"/>
          <w:szCs w:val="24"/>
        </w:rPr>
        <w:t xml:space="preserve">A lo largo del tiempo, los derechos de </w:t>
      </w:r>
      <w:proofErr w:type="gramStart"/>
      <w:r>
        <w:rPr>
          <w:rFonts w:ascii="Arial" w:eastAsia="Arial" w:hAnsi="Arial" w:cs="Arial"/>
          <w:color w:val="000000"/>
          <w:sz w:val="24"/>
          <w:szCs w:val="24"/>
        </w:rPr>
        <w:t>los trabajadores y trabajadoras</w:t>
      </w:r>
      <w:proofErr w:type="gramEnd"/>
      <w:r>
        <w:rPr>
          <w:rFonts w:ascii="Arial" w:eastAsia="Arial" w:hAnsi="Arial" w:cs="Arial"/>
          <w:color w:val="000000"/>
          <w:sz w:val="24"/>
          <w:szCs w:val="24"/>
        </w:rPr>
        <w:t xml:space="preserve"> han evolucionado de manera constante, respondiendo a las necesidades que los propios trabajadores han ido exponiendo. En este sentido, en septiembre de 2021, se promulgó la Ley N° 21.371, la cual modificó el artículo 66 otorgando siete días hábiles de permiso en caso de muerte de un hijo en período de gestación.</w:t>
      </w:r>
    </w:p>
    <w:p w14:paraId="29592F28" w14:textId="77777777" w:rsidR="00384649" w:rsidRDefault="00000000">
      <w:pPr>
        <w:pBdr>
          <w:top w:val="nil"/>
          <w:left w:val="nil"/>
          <w:bottom w:val="nil"/>
          <w:right w:val="nil"/>
          <w:between w:val="nil"/>
        </w:pBdr>
        <w:spacing w:before="84" w:line="360" w:lineRule="auto"/>
        <w:ind w:left="100" w:right="115"/>
        <w:jc w:val="both"/>
        <w:rPr>
          <w:rFonts w:ascii="Arial" w:eastAsia="Arial" w:hAnsi="Arial" w:cs="Arial"/>
          <w:color w:val="000000"/>
          <w:sz w:val="24"/>
          <w:szCs w:val="24"/>
        </w:rPr>
      </w:pPr>
      <w:r>
        <w:rPr>
          <w:rFonts w:ascii="Arial" w:eastAsia="Arial" w:hAnsi="Arial" w:cs="Arial"/>
          <w:color w:val="000000"/>
          <w:sz w:val="24"/>
          <w:szCs w:val="24"/>
        </w:rPr>
        <w:lastRenderedPageBreak/>
        <w:t>Asimismo, en mayo de 2022, se publicó la Ley N° 21.441, que aumentó la duración del permiso laboral en caso de fallecimiento de padres, madres e hijos en período de gestación, y además incorporó el mismo permiso en caso de fallecimiento de un hermano o hermana.</w:t>
      </w:r>
    </w:p>
    <w:p w14:paraId="5D72D93C" w14:textId="77777777" w:rsidR="00384649" w:rsidRDefault="00384649">
      <w:pPr>
        <w:pBdr>
          <w:top w:val="nil"/>
          <w:left w:val="nil"/>
          <w:bottom w:val="nil"/>
          <w:right w:val="nil"/>
          <w:between w:val="nil"/>
        </w:pBdr>
        <w:spacing w:before="10"/>
        <w:rPr>
          <w:rFonts w:ascii="Arial" w:eastAsia="Arial" w:hAnsi="Arial" w:cs="Arial"/>
          <w:color w:val="000000"/>
          <w:sz w:val="20"/>
          <w:szCs w:val="20"/>
        </w:rPr>
      </w:pPr>
    </w:p>
    <w:p w14:paraId="1A04CC7C" w14:textId="77777777" w:rsidR="00384649" w:rsidRDefault="00000000">
      <w:pPr>
        <w:pBdr>
          <w:top w:val="nil"/>
          <w:left w:val="nil"/>
          <w:bottom w:val="nil"/>
          <w:right w:val="nil"/>
          <w:between w:val="nil"/>
        </w:pBdr>
        <w:spacing w:line="360" w:lineRule="auto"/>
        <w:ind w:left="100" w:right="113" w:firstLine="720"/>
        <w:jc w:val="both"/>
        <w:rPr>
          <w:rFonts w:ascii="Arial" w:eastAsia="Arial" w:hAnsi="Arial" w:cs="Arial"/>
          <w:color w:val="000000"/>
          <w:sz w:val="24"/>
          <w:szCs w:val="24"/>
        </w:rPr>
      </w:pPr>
      <w:r>
        <w:rPr>
          <w:rFonts w:ascii="Arial" w:eastAsia="Arial" w:hAnsi="Arial" w:cs="Arial"/>
          <w:color w:val="000000"/>
          <w:sz w:val="24"/>
          <w:szCs w:val="24"/>
        </w:rPr>
        <w:t xml:space="preserve">Es importante recordar que la salud mental de los trabajadores es un aspecto crucial que puede verse gravemente afectado por la pérdida de un familiar cercano. Por lo tanto, es esencial que el permiso contemplado en el artículo 66 </w:t>
      </w:r>
      <w:r>
        <w:rPr>
          <w:sz w:val="24"/>
          <w:szCs w:val="24"/>
        </w:rPr>
        <w:t xml:space="preserve">se flexibilice con </w:t>
      </w:r>
      <w:r>
        <w:rPr>
          <w:rFonts w:ascii="Arial" w:eastAsia="Arial" w:hAnsi="Arial" w:cs="Arial"/>
          <w:color w:val="000000"/>
          <w:sz w:val="24"/>
          <w:szCs w:val="24"/>
        </w:rPr>
        <w:t>los trabajadores</w:t>
      </w:r>
      <w:r>
        <w:rPr>
          <w:sz w:val="24"/>
          <w:szCs w:val="24"/>
        </w:rPr>
        <w:t>, para poder</w:t>
      </w:r>
      <w:r>
        <w:rPr>
          <w:rFonts w:ascii="Arial" w:eastAsia="Arial" w:hAnsi="Arial" w:cs="Arial"/>
          <w:color w:val="000000"/>
          <w:sz w:val="24"/>
          <w:szCs w:val="24"/>
        </w:rPr>
        <w:t xml:space="preserve"> asistir con la debida tranquilidad a las ceremonias del velatorio y/o funeral, lo que contribuirá a un proceso de duelo más adecuado y respetuoso.</w:t>
      </w:r>
    </w:p>
    <w:p w14:paraId="452563EC" w14:textId="77777777" w:rsidR="00384649" w:rsidRDefault="00384649">
      <w:pPr>
        <w:pBdr>
          <w:top w:val="nil"/>
          <w:left w:val="nil"/>
          <w:bottom w:val="nil"/>
          <w:right w:val="nil"/>
          <w:between w:val="nil"/>
        </w:pBdr>
        <w:spacing w:before="10"/>
        <w:rPr>
          <w:rFonts w:ascii="Arial" w:eastAsia="Arial" w:hAnsi="Arial" w:cs="Arial"/>
          <w:color w:val="000000"/>
          <w:sz w:val="20"/>
          <w:szCs w:val="20"/>
        </w:rPr>
      </w:pPr>
    </w:p>
    <w:p w14:paraId="46773B63" w14:textId="77777777" w:rsidR="00384649" w:rsidRDefault="00000000">
      <w:pPr>
        <w:pBdr>
          <w:top w:val="nil"/>
          <w:left w:val="nil"/>
          <w:bottom w:val="nil"/>
          <w:right w:val="nil"/>
          <w:between w:val="nil"/>
        </w:pBdr>
        <w:spacing w:line="360" w:lineRule="auto"/>
        <w:ind w:left="100" w:right="116" w:firstLine="720"/>
        <w:jc w:val="both"/>
        <w:rPr>
          <w:rFonts w:ascii="Arial" w:eastAsia="Arial" w:hAnsi="Arial" w:cs="Arial"/>
          <w:color w:val="000000"/>
          <w:sz w:val="24"/>
          <w:szCs w:val="24"/>
        </w:rPr>
      </w:pPr>
      <w:r>
        <w:rPr>
          <w:rFonts w:ascii="Arial" w:eastAsia="Arial" w:hAnsi="Arial" w:cs="Arial"/>
          <w:color w:val="000000"/>
          <w:sz w:val="24"/>
          <w:szCs w:val="24"/>
        </w:rPr>
        <w:t>Por otra parte, es común tanto en el sector público como en el privado que el empleador otorgue permisos a sus trabajadores afectados por la muerte de un familiar, cualquiera sea este, para que puedan acompañar a su familia con tranquilidad y estar presentes en las diversas ceremonias que se realizan con motivo del fallecimiento. Sin embargo, en algunos casos, este permiso es lamentablemente negado por parte del empleador, lo cual puede generar un alto nivel de estrés y angustia en el trabajador, afectando su desempeño laboral.</w:t>
      </w:r>
    </w:p>
    <w:p w14:paraId="672E18F5" w14:textId="77777777" w:rsidR="00384649" w:rsidRDefault="00384649">
      <w:pPr>
        <w:pBdr>
          <w:top w:val="nil"/>
          <w:left w:val="nil"/>
          <w:bottom w:val="nil"/>
          <w:right w:val="nil"/>
          <w:between w:val="nil"/>
        </w:pBdr>
        <w:spacing w:before="10"/>
        <w:rPr>
          <w:rFonts w:ascii="Arial" w:eastAsia="Arial" w:hAnsi="Arial" w:cs="Arial"/>
          <w:color w:val="000000"/>
          <w:sz w:val="20"/>
          <w:szCs w:val="20"/>
        </w:rPr>
      </w:pPr>
    </w:p>
    <w:p w14:paraId="6E806098" w14:textId="77777777" w:rsidR="00384649" w:rsidRDefault="00000000">
      <w:pPr>
        <w:pBdr>
          <w:top w:val="nil"/>
          <w:left w:val="nil"/>
          <w:bottom w:val="nil"/>
          <w:right w:val="nil"/>
          <w:between w:val="nil"/>
        </w:pBdr>
        <w:spacing w:line="360" w:lineRule="auto"/>
        <w:ind w:left="100" w:right="112" w:firstLine="720"/>
        <w:jc w:val="both"/>
        <w:rPr>
          <w:rFonts w:ascii="Arial" w:eastAsia="Arial" w:hAnsi="Arial" w:cs="Arial"/>
          <w:color w:val="000000"/>
          <w:sz w:val="24"/>
          <w:szCs w:val="24"/>
        </w:rPr>
      </w:pPr>
      <w:r>
        <w:rPr>
          <w:rFonts w:ascii="Arial" w:eastAsia="Arial" w:hAnsi="Arial" w:cs="Arial"/>
          <w:color w:val="000000"/>
          <w:sz w:val="24"/>
          <w:szCs w:val="24"/>
        </w:rPr>
        <w:t>Cabe destacar que, en 2008, el Gobierno de Chile firmó el Programa Nacional de Trabajo Decente de la Organización Internacional del Trabajo (OIT), cuyo propósito es desarrollar en el país el concepto de "Trabajo Decente". Este programa tiene como finalidad primordial promover oportunidades para que hombres y mujeres puedan obtener un trabajo digno y productivo en condiciones de libertad, equidad, seguridad y dignidad humana.</w:t>
      </w:r>
    </w:p>
    <w:p w14:paraId="4E068F25" w14:textId="77777777" w:rsidR="00384649" w:rsidRDefault="00384649">
      <w:pPr>
        <w:pBdr>
          <w:top w:val="nil"/>
          <w:left w:val="nil"/>
          <w:bottom w:val="nil"/>
          <w:right w:val="nil"/>
          <w:between w:val="nil"/>
        </w:pBdr>
        <w:spacing w:before="10"/>
        <w:rPr>
          <w:rFonts w:ascii="Arial" w:eastAsia="Arial" w:hAnsi="Arial" w:cs="Arial"/>
          <w:color w:val="000000"/>
          <w:sz w:val="20"/>
          <w:szCs w:val="20"/>
        </w:rPr>
      </w:pPr>
    </w:p>
    <w:p w14:paraId="6CAE55E1" w14:textId="77777777" w:rsidR="00384649" w:rsidRDefault="00000000">
      <w:pPr>
        <w:pBdr>
          <w:top w:val="nil"/>
          <w:left w:val="nil"/>
          <w:bottom w:val="nil"/>
          <w:right w:val="nil"/>
          <w:between w:val="nil"/>
        </w:pBdr>
        <w:spacing w:line="360" w:lineRule="auto"/>
        <w:ind w:left="100" w:right="114" w:firstLine="720"/>
        <w:jc w:val="both"/>
        <w:rPr>
          <w:rFonts w:ascii="Arial" w:eastAsia="Arial" w:hAnsi="Arial" w:cs="Arial"/>
          <w:color w:val="000000"/>
          <w:sz w:val="24"/>
          <w:szCs w:val="24"/>
        </w:rPr>
        <w:sectPr w:rsidR="00384649">
          <w:pgSz w:w="11920" w:h="16840"/>
          <w:pgMar w:top="2380" w:right="1340" w:bottom="280" w:left="1340" w:header="750" w:footer="0" w:gutter="0"/>
          <w:cols w:space="720"/>
        </w:sectPr>
      </w:pPr>
      <w:r>
        <w:rPr>
          <w:rFonts w:ascii="Arial" w:eastAsia="Arial" w:hAnsi="Arial" w:cs="Arial"/>
          <w:color w:val="000000"/>
          <w:sz w:val="24"/>
          <w:szCs w:val="24"/>
        </w:rPr>
        <w:t>En línea con estos principios, este proyecto propo</w:t>
      </w:r>
      <w:r>
        <w:rPr>
          <w:sz w:val="24"/>
          <w:szCs w:val="24"/>
        </w:rPr>
        <w:t>ne actualizar el inciso tercero del artículo 66 del Código del Trabajo, que actualmente establece que los permisos otorgados por el fallecimiento de un familiar deben hacerse efectivos a partir del día del respectivo fallecimiento, con la excepción de la defunción fetal, cuyo permiso se hace efectivo a partir de la acreditación de la muerte.</w:t>
      </w:r>
    </w:p>
    <w:p w14:paraId="772197F7" w14:textId="77777777" w:rsidR="00384649" w:rsidRDefault="00384649">
      <w:pPr>
        <w:pBdr>
          <w:top w:val="nil"/>
          <w:left w:val="nil"/>
          <w:bottom w:val="nil"/>
          <w:right w:val="nil"/>
          <w:between w:val="nil"/>
        </w:pBdr>
        <w:spacing w:before="84" w:line="360" w:lineRule="auto"/>
        <w:ind w:right="119"/>
        <w:jc w:val="both"/>
        <w:rPr>
          <w:rFonts w:ascii="Arial" w:eastAsia="Arial" w:hAnsi="Arial" w:cs="Arial"/>
          <w:color w:val="000000"/>
          <w:sz w:val="24"/>
          <w:szCs w:val="24"/>
        </w:rPr>
      </w:pPr>
    </w:p>
    <w:p w14:paraId="5ECFC90D" w14:textId="77777777" w:rsidR="00384649" w:rsidRDefault="00384649">
      <w:pPr>
        <w:pBdr>
          <w:top w:val="nil"/>
          <w:left w:val="nil"/>
          <w:bottom w:val="nil"/>
          <w:right w:val="nil"/>
          <w:between w:val="nil"/>
        </w:pBdr>
        <w:spacing w:before="10"/>
        <w:rPr>
          <w:rFonts w:ascii="Arial" w:eastAsia="Arial" w:hAnsi="Arial" w:cs="Arial"/>
          <w:color w:val="000000"/>
          <w:sz w:val="20"/>
          <w:szCs w:val="20"/>
        </w:rPr>
      </w:pPr>
    </w:p>
    <w:p w14:paraId="6460EE55" w14:textId="77777777" w:rsidR="00384649" w:rsidRDefault="00000000">
      <w:pPr>
        <w:pBdr>
          <w:top w:val="nil"/>
          <w:left w:val="nil"/>
          <w:bottom w:val="nil"/>
          <w:right w:val="nil"/>
          <w:between w:val="nil"/>
        </w:pBdr>
        <w:spacing w:line="360" w:lineRule="auto"/>
        <w:ind w:left="100" w:right="112" w:firstLine="720"/>
        <w:jc w:val="both"/>
        <w:rPr>
          <w:rFonts w:ascii="Arial" w:eastAsia="Arial" w:hAnsi="Arial" w:cs="Arial"/>
          <w:color w:val="000000"/>
          <w:sz w:val="24"/>
          <w:szCs w:val="24"/>
        </w:rPr>
      </w:pPr>
      <w:r>
        <w:rPr>
          <w:rFonts w:ascii="Arial" w:eastAsia="Arial" w:hAnsi="Arial" w:cs="Arial"/>
          <w:color w:val="000000"/>
          <w:sz w:val="24"/>
          <w:szCs w:val="24"/>
        </w:rPr>
        <w:t>Es de conocimiento público que, tras la muerte de una persona, se llevan a cabo diversas pericias para determinar la causa del deceso y realizar otros procedimientos que puedan ser necesarios. En muchos casos, el Servicio Médico Legal puede tardar varios días, e incluso semanas en situaciones más complejas, en entregar el cuerpo a los familiares. Esta situación podría provocar que, debido a la exigencia del artículo 66 de hacer efectivo el permiso desde el día del fallecimiento, el trabajador o trabajadora no disponga del tiempo necesario para asistir a las ceremonias de funeral de su ser querido.</w:t>
      </w:r>
    </w:p>
    <w:p w14:paraId="75A42152" w14:textId="77777777" w:rsidR="00384649" w:rsidRDefault="00384649">
      <w:pPr>
        <w:pBdr>
          <w:top w:val="nil"/>
          <w:left w:val="nil"/>
          <w:bottom w:val="nil"/>
          <w:right w:val="nil"/>
          <w:between w:val="nil"/>
        </w:pBdr>
        <w:spacing w:before="10"/>
        <w:rPr>
          <w:rFonts w:ascii="Arial" w:eastAsia="Arial" w:hAnsi="Arial" w:cs="Arial"/>
          <w:color w:val="000000"/>
          <w:sz w:val="20"/>
          <w:szCs w:val="20"/>
        </w:rPr>
      </w:pPr>
    </w:p>
    <w:p w14:paraId="349F3CF4" w14:textId="77777777" w:rsidR="00384649" w:rsidRDefault="00000000">
      <w:pPr>
        <w:pBdr>
          <w:top w:val="nil"/>
          <w:left w:val="nil"/>
          <w:bottom w:val="nil"/>
          <w:right w:val="nil"/>
          <w:between w:val="nil"/>
        </w:pBdr>
        <w:spacing w:line="360" w:lineRule="auto"/>
        <w:ind w:left="100" w:right="115" w:firstLine="720"/>
        <w:jc w:val="both"/>
        <w:rPr>
          <w:rFonts w:ascii="Arial" w:eastAsia="Arial" w:hAnsi="Arial" w:cs="Arial"/>
          <w:color w:val="000000"/>
          <w:sz w:val="24"/>
          <w:szCs w:val="24"/>
        </w:rPr>
      </w:pPr>
      <w:r>
        <w:rPr>
          <w:rFonts w:ascii="Arial" w:eastAsia="Arial" w:hAnsi="Arial" w:cs="Arial"/>
          <w:color w:val="000000"/>
          <w:sz w:val="24"/>
          <w:szCs w:val="24"/>
        </w:rPr>
        <w:t xml:space="preserve">Por lo tanto, es fundamental asegurar un permiso legal que permita a </w:t>
      </w:r>
      <w:proofErr w:type="gramStart"/>
      <w:r>
        <w:rPr>
          <w:rFonts w:ascii="Arial" w:eastAsia="Arial" w:hAnsi="Arial" w:cs="Arial"/>
          <w:color w:val="000000"/>
          <w:sz w:val="24"/>
          <w:szCs w:val="24"/>
        </w:rPr>
        <w:t>los trabajadores y trabajadoras</w:t>
      </w:r>
      <w:proofErr w:type="gramEnd"/>
      <w:r>
        <w:rPr>
          <w:rFonts w:ascii="Arial" w:eastAsia="Arial" w:hAnsi="Arial" w:cs="Arial"/>
          <w:color w:val="000000"/>
          <w:sz w:val="24"/>
          <w:szCs w:val="24"/>
        </w:rPr>
        <w:t xml:space="preserve"> hacer uso del permiso con posterioridad a la fecha del fallecimiento de su familiar o fraccionar su uso en caso de retrasos en la entrega del cuerpo o la realización de pericias. De este modo, se priorizan los derechos de </w:t>
      </w:r>
      <w:proofErr w:type="gramStart"/>
      <w:r>
        <w:rPr>
          <w:rFonts w:ascii="Arial" w:eastAsia="Arial" w:hAnsi="Arial" w:cs="Arial"/>
          <w:color w:val="000000"/>
          <w:sz w:val="24"/>
          <w:szCs w:val="24"/>
        </w:rPr>
        <w:t>los trabajadores y trabajadoras</w:t>
      </w:r>
      <w:proofErr w:type="gramEnd"/>
      <w:r>
        <w:rPr>
          <w:rFonts w:ascii="Arial" w:eastAsia="Arial" w:hAnsi="Arial" w:cs="Arial"/>
          <w:color w:val="000000"/>
          <w:sz w:val="24"/>
          <w:szCs w:val="24"/>
        </w:rPr>
        <w:t>, al tiempo que se cumple con el compromiso de nuestro país con el "trabajo decente’’.</w:t>
      </w:r>
    </w:p>
    <w:p w14:paraId="5BF22159" w14:textId="77777777" w:rsidR="00384649" w:rsidRDefault="00384649">
      <w:pPr>
        <w:pBdr>
          <w:top w:val="nil"/>
          <w:left w:val="nil"/>
          <w:bottom w:val="nil"/>
          <w:right w:val="nil"/>
          <w:between w:val="nil"/>
        </w:pBdr>
        <w:spacing w:before="10"/>
        <w:rPr>
          <w:rFonts w:ascii="Arial" w:eastAsia="Arial" w:hAnsi="Arial" w:cs="Arial"/>
          <w:color w:val="000000"/>
          <w:sz w:val="20"/>
          <w:szCs w:val="20"/>
        </w:rPr>
      </w:pPr>
    </w:p>
    <w:p w14:paraId="72F642D3" w14:textId="77777777" w:rsidR="00384649" w:rsidRDefault="00000000">
      <w:pPr>
        <w:pBdr>
          <w:top w:val="nil"/>
          <w:left w:val="nil"/>
          <w:bottom w:val="nil"/>
          <w:right w:val="nil"/>
          <w:between w:val="nil"/>
        </w:pBdr>
        <w:spacing w:line="360" w:lineRule="auto"/>
        <w:ind w:left="100" w:right="121" w:firstLine="720"/>
        <w:jc w:val="both"/>
        <w:rPr>
          <w:rFonts w:ascii="Arial" w:eastAsia="Arial" w:hAnsi="Arial" w:cs="Arial"/>
          <w:color w:val="000000"/>
          <w:sz w:val="24"/>
          <w:szCs w:val="24"/>
        </w:rPr>
      </w:pPr>
      <w:r>
        <w:rPr>
          <w:rFonts w:ascii="Arial" w:eastAsia="Arial" w:hAnsi="Arial" w:cs="Arial"/>
          <w:color w:val="000000"/>
          <w:sz w:val="24"/>
          <w:szCs w:val="24"/>
        </w:rPr>
        <w:t>Es una realidad que hoy en día la vida familiar puede y debe ser compatible con el trabajo, pero para ello es indispensable avanzar en la actualización de las normas laborales que actualmente rigen nuestro sistema jurídico.</w:t>
      </w:r>
    </w:p>
    <w:p w14:paraId="6C6E7D47" w14:textId="77777777" w:rsidR="00384649" w:rsidRDefault="00384649">
      <w:pPr>
        <w:pBdr>
          <w:top w:val="nil"/>
          <w:left w:val="nil"/>
          <w:bottom w:val="nil"/>
          <w:right w:val="nil"/>
          <w:between w:val="nil"/>
        </w:pBdr>
        <w:spacing w:before="10"/>
        <w:rPr>
          <w:rFonts w:ascii="Arial" w:eastAsia="Arial" w:hAnsi="Arial" w:cs="Arial"/>
          <w:color w:val="000000"/>
          <w:sz w:val="20"/>
          <w:szCs w:val="20"/>
        </w:rPr>
      </w:pPr>
    </w:p>
    <w:p w14:paraId="65C90AE5" w14:textId="77777777" w:rsidR="00384649" w:rsidRDefault="00000000">
      <w:pPr>
        <w:pStyle w:val="Ttulo1"/>
        <w:numPr>
          <w:ilvl w:val="0"/>
          <w:numId w:val="1"/>
        </w:numPr>
        <w:tabs>
          <w:tab w:val="left" w:pos="819"/>
          <w:tab w:val="left" w:pos="820"/>
        </w:tabs>
        <w:ind w:hanging="627"/>
        <w:jc w:val="left"/>
      </w:pPr>
      <w:r>
        <w:t>PROYECTO DE LEY:</w:t>
      </w:r>
    </w:p>
    <w:p w14:paraId="6CB3E801" w14:textId="77777777" w:rsidR="00384649" w:rsidRDefault="00384649">
      <w:pPr>
        <w:pBdr>
          <w:top w:val="nil"/>
          <w:left w:val="nil"/>
          <w:bottom w:val="nil"/>
          <w:right w:val="nil"/>
          <w:between w:val="nil"/>
        </w:pBdr>
        <w:spacing w:before="10"/>
        <w:rPr>
          <w:rFonts w:ascii="Arial" w:eastAsia="Arial" w:hAnsi="Arial" w:cs="Arial"/>
          <w:b/>
          <w:color w:val="000000"/>
          <w:sz w:val="32"/>
          <w:szCs w:val="32"/>
        </w:rPr>
      </w:pPr>
    </w:p>
    <w:p w14:paraId="4CD84F05" w14:textId="77777777" w:rsidR="00384649" w:rsidRDefault="00000000">
      <w:pPr>
        <w:pBdr>
          <w:top w:val="nil"/>
          <w:left w:val="nil"/>
          <w:bottom w:val="nil"/>
          <w:right w:val="nil"/>
          <w:between w:val="nil"/>
        </w:pBdr>
        <w:spacing w:line="360" w:lineRule="auto"/>
        <w:ind w:left="100" w:right="119" w:firstLine="720"/>
        <w:jc w:val="both"/>
        <w:rPr>
          <w:rFonts w:ascii="Arial" w:eastAsia="Arial" w:hAnsi="Arial" w:cs="Arial"/>
          <w:color w:val="000000"/>
          <w:sz w:val="24"/>
          <w:szCs w:val="24"/>
        </w:rPr>
      </w:pPr>
      <w:r>
        <w:rPr>
          <w:rFonts w:ascii="Arial" w:eastAsia="Arial" w:hAnsi="Arial" w:cs="Arial"/>
          <w:color w:val="000000"/>
          <w:sz w:val="24"/>
          <w:szCs w:val="24"/>
        </w:rPr>
        <w:t xml:space="preserve">Considerando todo lo anteriormente expuesto es que </w:t>
      </w:r>
      <w:proofErr w:type="gramStart"/>
      <w:r>
        <w:rPr>
          <w:rFonts w:ascii="Arial" w:eastAsia="Arial" w:hAnsi="Arial" w:cs="Arial"/>
          <w:color w:val="000000"/>
          <w:sz w:val="24"/>
          <w:szCs w:val="24"/>
        </w:rPr>
        <w:t>los diputados y las diputadas</w:t>
      </w:r>
      <w:proofErr w:type="gramEnd"/>
      <w:r>
        <w:rPr>
          <w:rFonts w:ascii="Arial" w:eastAsia="Arial" w:hAnsi="Arial" w:cs="Arial"/>
          <w:color w:val="000000"/>
          <w:sz w:val="24"/>
          <w:szCs w:val="24"/>
        </w:rPr>
        <w:t xml:space="preserve"> abajo firmantes venimos en presentar el siguiente:</w:t>
      </w:r>
    </w:p>
    <w:p w14:paraId="215C58F2" w14:textId="77777777" w:rsidR="00384649" w:rsidRDefault="00384649">
      <w:pPr>
        <w:pBdr>
          <w:top w:val="nil"/>
          <w:left w:val="nil"/>
          <w:bottom w:val="nil"/>
          <w:right w:val="nil"/>
          <w:between w:val="nil"/>
        </w:pBdr>
        <w:spacing w:line="360" w:lineRule="auto"/>
        <w:ind w:left="100" w:right="119" w:firstLine="720"/>
        <w:jc w:val="both"/>
        <w:rPr>
          <w:b/>
          <w:sz w:val="24"/>
          <w:szCs w:val="24"/>
        </w:rPr>
      </w:pPr>
    </w:p>
    <w:p w14:paraId="6ECD057E" w14:textId="77777777" w:rsidR="00384649" w:rsidRDefault="00000000">
      <w:pPr>
        <w:pBdr>
          <w:top w:val="nil"/>
          <w:left w:val="nil"/>
          <w:bottom w:val="nil"/>
          <w:right w:val="nil"/>
          <w:between w:val="nil"/>
        </w:pBdr>
        <w:spacing w:line="360" w:lineRule="auto"/>
        <w:ind w:left="100" w:right="119" w:firstLine="720"/>
        <w:jc w:val="both"/>
        <w:rPr>
          <w:rFonts w:ascii="Arial" w:eastAsia="Arial" w:hAnsi="Arial" w:cs="Arial"/>
          <w:color w:val="000000"/>
          <w:sz w:val="24"/>
          <w:szCs w:val="24"/>
        </w:rPr>
        <w:sectPr w:rsidR="00384649">
          <w:pgSz w:w="11920" w:h="16840"/>
          <w:pgMar w:top="2380" w:right="1340" w:bottom="280" w:left="1340" w:header="750" w:footer="0" w:gutter="0"/>
          <w:cols w:space="720"/>
        </w:sectPr>
      </w:pPr>
      <w:r>
        <w:rPr>
          <w:b/>
          <w:sz w:val="24"/>
          <w:szCs w:val="24"/>
        </w:rPr>
        <w:t xml:space="preserve">                                      PROYECTO DE LEY</w:t>
      </w:r>
    </w:p>
    <w:p w14:paraId="4A589AD9" w14:textId="77777777" w:rsidR="00384649" w:rsidRDefault="00384649">
      <w:pPr>
        <w:pStyle w:val="Ttulo1"/>
        <w:spacing w:before="84"/>
        <w:ind w:right="589" w:firstLine="577"/>
      </w:pPr>
    </w:p>
    <w:p w14:paraId="44395C36" w14:textId="77777777" w:rsidR="00384649" w:rsidRDefault="00384649">
      <w:pPr>
        <w:pBdr>
          <w:top w:val="nil"/>
          <w:left w:val="nil"/>
          <w:bottom w:val="nil"/>
          <w:right w:val="nil"/>
          <w:between w:val="nil"/>
        </w:pBdr>
        <w:rPr>
          <w:rFonts w:ascii="Arial" w:eastAsia="Arial" w:hAnsi="Arial" w:cs="Arial"/>
          <w:b/>
          <w:color w:val="000000"/>
          <w:sz w:val="26"/>
          <w:szCs w:val="26"/>
        </w:rPr>
      </w:pPr>
    </w:p>
    <w:p w14:paraId="6793543D" w14:textId="77777777" w:rsidR="00384649" w:rsidRDefault="00384649">
      <w:pPr>
        <w:pBdr>
          <w:top w:val="nil"/>
          <w:left w:val="nil"/>
          <w:bottom w:val="nil"/>
          <w:right w:val="nil"/>
          <w:between w:val="nil"/>
        </w:pBdr>
        <w:rPr>
          <w:rFonts w:ascii="Arial" w:eastAsia="Arial" w:hAnsi="Arial" w:cs="Arial"/>
          <w:b/>
          <w:color w:val="000000"/>
        </w:rPr>
      </w:pPr>
    </w:p>
    <w:p w14:paraId="1A139316" w14:textId="77777777" w:rsidR="00384649" w:rsidRDefault="00000000">
      <w:pPr>
        <w:pBdr>
          <w:top w:val="nil"/>
          <w:left w:val="nil"/>
          <w:bottom w:val="nil"/>
          <w:right w:val="nil"/>
          <w:between w:val="nil"/>
        </w:pBdr>
        <w:ind w:left="100"/>
        <w:rPr>
          <w:rFonts w:ascii="Arial" w:eastAsia="Arial" w:hAnsi="Arial" w:cs="Arial"/>
          <w:color w:val="000000"/>
          <w:sz w:val="24"/>
          <w:szCs w:val="24"/>
        </w:rPr>
      </w:pPr>
      <w:r>
        <w:rPr>
          <w:rFonts w:ascii="Arial" w:eastAsia="Arial" w:hAnsi="Arial" w:cs="Arial"/>
          <w:b/>
          <w:color w:val="000000"/>
          <w:sz w:val="24"/>
          <w:szCs w:val="24"/>
        </w:rPr>
        <w:t>ARTÍCULO ÚNICO</w:t>
      </w:r>
      <w:r>
        <w:rPr>
          <w:rFonts w:ascii="Arial" w:eastAsia="Arial" w:hAnsi="Arial" w:cs="Arial"/>
          <w:color w:val="000000"/>
          <w:sz w:val="24"/>
          <w:szCs w:val="24"/>
        </w:rPr>
        <w:t>: Modifíquese el Código del Trabajo en los siguientes términos:</w:t>
      </w:r>
    </w:p>
    <w:p w14:paraId="7BFE6E2F" w14:textId="77777777" w:rsidR="00384649" w:rsidRDefault="00384649">
      <w:pPr>
        <w:pBdr>
          <w:top w:val="nil"/>
          <w:left w:val="nil"/>
          <w:bottom w:val="nil"/>
          <w:right w:val="nil"/>
          <w:between w:val="nil"/>
        </w:pBdr>
        <w:rPr>
          <w:rFonts w:ascii="Arial" w:eastAsia="Arial" w:hAnsi="Arial" w:cs="Arial"/>
          <w:color w:val="000000"/>
          <w:sz w:val="36"/>
          <w:szCs w:val="36"/>
        </w:rPr>
      </w:pPr>
    </w:p>
    <w:p w14:paraId="6AD5EDF1" w14:textId="77777777" w:rsidR="00384649" w:rsidRDefault="00000000">
      <w:pPr>
        <w:numPr>
          <w:ilvl w:val="1"/>
          <w:numId w:val="1"/>
        </w:numPr>
        <w:pBdr>
          <w:top w:val="nil"/>
          <w:left w:val="nil"/>
          <w:bottom w:val="nil"/>
          <w:right w:val="nil"/>
          <w:between w:val="nil"/>
        </w:pBdr>
        <w:tabs>
          <w:tab w:val="left" w:pos="820"/>
        </w:tabs>
        <w:spacing w:line="360" w:lineRule="auto"/>
        <w:ind w:right="115"/>
        <w:jc w:val="both"/>
        <w:rPr>
          <w:rFonts w:ascii="Arial" w:eastAsia="Arial" w:hAnsi="Arial" w:cs="Arial"/>
          <w:color w:val="000000"/>
          <w:sz w:val="24"/>
          <w:szCs w:val="24"/>
        </w:rPr>
      </w:pPr>
      <w:r>
        <w:rPr>
          <w:rFonts w:ascii="Arial" w:eastAsia="Arial" w:hAnsi="Arial" w:cs="Arial"/>
          <w:b/>
          <w:color w:val="000000"/>
          <w:sz w:val="24"/>
          <w:szCs w:val="24"/>
        </w:rPr>
        <w:t xml:space="preserve">Incorpórese </w:t>
      </w:r>
      <w:r>
        <w:rPr>
          <w:rFonts w:ascii="Arial" w:eastAsia="Arial" w:hAnsi="Arial" w:cs="Arial"/>
          <w:color w:val="000000"/>
          <w:sz w:val="24"/>
          <w:szCs w:val="24"/>
        </w:rPr>
        <w:t>al final del inciso tercero del artículo 66 del Código del Trabajo el siguiente párrafo:</w:t>
      </w:r>
    </w:p>
    <w:p w14:paraId="2C1633E8" w14:textId="77777777" w:rsidR="00384649" w:rsidRDefault="00384649">
      <w:pPr>
        <w:pBdr>
          <w:top w:val="nil"/>
          <w:left w:val="nil"/>
          <w:bottom w:val="nil"/>
          <w:right w:val="nil"/>
          <w:between w:val="nil"/>
        </w:pBdr>
        <w:tabs>
          <w:tab w:val="left" w:pos="820"/>
        </w:tabs>
        <w:spacing w:line="360" w:lineRule="auto"/>
        <w:ind w:right="115"/>
        <w:jc w:val="both"/>
        <w:rPr>
          <w:sz w:val="24"/>
          <w:szCs w:val="24"/>
        </w:rPr>
      </w:pPr>
    </w:p>
    <w:p w14:paraId="6AD220C6" w14:textId="77777777" w:rsidR="00384649" w:rsidRDefault="00000000">
      <w:pPr>
        <w:pBdr>
          <w:top w:val="nil"/>
          <w:left w:val="nil"/>
          <w:bottom w:val="nil"/>
          <w:right w:val="nil"/>
          <w:between w:val="nil"/>
        </w:pBdr>
        <w:spacing w:line="360" w:lineRule="auto"/>
        <w:ind w:left="100" w:right="114" w:firstLine="720"/>
        <w:jc w:val="both"/>
        <w:rPr>
          <w:rFonts w:ascii="Arial" w:eastAsia="Arial" w:hAnsi="Arial" w:cs="Arial"/>
          <w:color w:val="000000"/>
          <w:sz w:val="24"/>
          <w:szCs w:val="24"/>
        </w:rPr>
      </w:pPr>
      <w:r>
        <w:rPr>
          <w:rFonts w:ascii="Arial" w:eastAsia="Arial" w:hAnsi="Arial" w:cs="Arial"/>
          <w:color w:val="000000"/>
          <w:sz w:val="24"/>
          <w:szCs w:val="24"/>
        </w:rPr>
        <w:t>‘’Sin perjuicio de lo anterior, si las fechas de las ceremonias funerarias no coinciden con los días de permiso otorgados por este artículo el trabajador podrá hacer uso de dicho permiso con posterioridad a la fecha de fallecimiento de su familiar o dividirlo en dos periodos.</w:t>
      </w:r>
    </w:p>
    <w:p w14:paraId="1A402F70" w14:textId="77777777" w:rsidR="00384649" w:rsidRDefault="00384649">
      <w:pPr>
        <w:pBdr>
          <w:top w:val="nil"/>
          <w:left w:val="nil"/>
          <w:bottom w:val="nil"/>
          <w:right w:val="nil"/>
          <w:between w:val="nil"/>
        </w:pBdr>
        <w:rPr>
          <w:rFonts w:ascii="Arial" w:eastAsia="Arial" w:hAnsi="Arial" w:cs="Arial"/>
          <w:color w:val="000000"/>
          <w:sz w:val="20"/>
          <w:szCs w:val="20"/>
        </w:rPr>
      </w:pPr>
    </w:p>
    <w:p w14:paraId="2B68978F" w14:textId="77777777" w:rsidR="00384649" w:rsidRDefault="00384649">
      <w:pPr>
        <w:pBdr>
          <w:top w:val="nil"/>
          <w:left w:val="nil"/>
          <w:bottom w:val="nil"/>
          <w:right w:val="nil"/>
          <w:between w:val="nil"/>
        </w:pBdr>
        <w:rPr>
          <w:rFonts w:ascii="Arial" w:eastAsia="Arial" w:hAnsi="Arial" w:cs="Arial"/>
          <w:color w:val="000000"/>
          <w:sz w:val="20"/>
          <w:szCs w:val="20"/>
        </w:rPr>
      </w:pPr>
    </w:p>
    <w:p w14:paraId="668B0171" w14:textId="77777777" w:rsidR="00384649" w:rsidRDefault="00384649">
      <w:pPr>
        <w:pBdr>
          <w:top w:val="nil"/>
          <w:left w:val="nil"/>
          <w:bottom w:val="nil"/>
          <w:right w:val="nil"/>
          <w:between w:val="nil"/>
        </w:pBdr>
        <w:rPr>
          <w:rFonts w:ascii="Arial" w:eastAsia="Arial" w:hAnsi="Arial" w:cs="Arial"/>
          <w:color w:val="000000"/>
          <w:sz w:val="20"/>
          <w:szCs w:val="20"/>
        </w:rPr>
      </w:pPr>
    </w:p>
    <w:p w14:paraId="7DC34A9A" w14:textId="77777777" w:rsidR="00384649" w:rsidRDefault="00384649">
      <w:pPr>
        <w:pBdr>
          <w:top w:val="nil"/>
          <w:left w:val="nil"/>
          <w:bottom w:val="nil"/>
          <w:right w:val="nil"/>
          <w:between w:val="nil"/>
        </w:pBdr>
        <w:rPr>
          <w:rFonts w:ascii="Arial" w:eastAsia="Arial" w:hAnsi="Arial" w:cs="Arial"/>
          <w:color w:val="000000"/>
          <w:sz w:val="20"/>
          <w:szCs w:val="20"/>
        </w:rPr>
      </w:pPr>
    </w:p>
    <w:p w14:paraId="4811EE21" w14:textId="77777777" w:rsidR="00384649" w:rsidRDefault="00384649">
      <w:pPr>
        <w:pBdr>
          <w:top w:val="nil"/>
          <w:left w:val="nil"/>
          <w:bottom w:val="nil"/>
          <w:right w:val="nil"/>
          <w:between w:val="nil"/>
        </w:pBdr>
        <w:rPr>
          <w:rFonts w:ascii="Arial" w:eastAsia="Arial" w:hAnsi="Arial" w:cs="Arial"/>
          <w:color w:val="000000"/>
          <w:sz w:val="20"/>
          <w:szCs w:val="20"/>
        </w:rPr>
      </w:pPr>
    </w:p>
    <w:p w14:paraId="72E94F50" w14:textId="77777777" w:rsidR="00384649" w:rsidRDefault="00384649">
      <w:pPr>
        <w:pBdr>
          <w:top w:val="nil"/>
          <w:left w:val="nil"/>
          <w:bottom w:val="nil"/>
          <w:right w:val="nil"/>
          <w:between w:val="nil"/>
        </w:pBdr>
        <w:rPr>
          <w:rFonts w:ascii="Arial" w:eastAsia="Arial" w:hAnsi="Arial" w:cs="Arial"/>
          <w:color w:val="000000"/>
          <w:sz w:val="20"/>
          <w:szCs w:val="20"/>
        </w:rPr>
      </w:pPr>
    </w:p>
    <w:p w14:paraId="7B949C68" w14:textId="77777777" w:rsidR="00384649" w:rsidRDefault="00384649">
      <w:pPr>
        <w:pBdr>
          <w:top w:val="nil"/>
          <w:left w:val="nil"/>
          <w:bottom w:val="nil"/>
          <w:right w:val="nil"/>
          <w:between w:val="nil"/>
        </w:pBdr>
        <w:rPr>
          <w:rFonts w:ascii="Arial" w:eastAsia="Arial" w:hAnsi="Arial" w:cs="Arial"/>
          <w:color w:val="000000"/>
          <w:sz w:val="20"/>
          <w:szCs w:val="20"/>
        </w:rPr>
      </w:pPr>
    </w:p>
    <w:p w14:paraId="0F4134CD" w14:textId="77777777" w:rsidR="00384649" w:rsidRDefault="00384649">
      <w:pPr>
        <w:pBdr>
          <w:top w:val="nil"/>
          <w:left w:val="nil"/>
          <w:bottom w:val="nil"/>
          <w:right w:val="nil"/>
          <w:between w:val="nil"/>
        </w:pBdr>
        <w:rPr>
          <w:rFonts w:ascii="Arial" w:eastAsia="Arial" w:hAnsi="Arial" w:cs="Arial"/>
          <w:color w:val="000000"/>
          <w:sz w:val="20"/>
          <w:szCs w:val="20"/>
        </w:rPr>
      </w:pPr>
    </w:p>
    <w:p w14:paraId="5393490E" w14:textId="77777777" w:rsidR="00384649" w:rsidRDefault="00384649">
      <w:pPr>
        <w:pBdr>
          <w:top w:val="nil"/>
          <w:left w:val="nil"/>
          <w:bottom w:val="nil"/>
          <w:right w:val="nil"/>
          <w:between w:val="nil"/>
        </w:pBdr>
        <w:rPr>
          <w:rFonts w:ascii="Arial" w:eastAsia="Arial" w:hAnsi="Arial" w:cs="Arial"/>
          <w:color w:val="000000"/>
          <w:sz w:val="20"/>
          <w:szCs w:val="20"/>
        </w:rPr>
      </w:pPr>
    </w:p>
    <w:p w14:paraId="54667AD9" w14:textId="77777777" w:rsidR="00384649" w:rsidRDefault="00384649">
      <w:pPr>
        <w:pBdr>
          <w:top w:val="nil"/>
          <w:left w:val="nil"/>
          <w:bottom w:val="nil"/>
          <w:right w:val="nil"/>
          <w:between w:val="nil"/>
        </w:pBdr>
        <w:rPr>
          <w:rFonts w:ascii="Arial" w:eastAsia="Arial" w:hAnsi="Arial" w:cs="Arial"/>
          <w:color w:val="000000"/>
          <w:sz w:val="20"/>
          <w:szCs w:val="20"/>
        </w:rPr>
      </w:pPr>
    </w:p>
    <w:p w14:paraId="7A83ABB9" w14:textId="77777777" w:rsidR="00384649" w:rsidRDefault="00000000">
      <w:pPr>
        <w:pBdr>
          <w:top w:val="nil"/>
          <w:left w:val="nil"/>
          <w:bottom w:val="nil"/>
          <w:right w:val="nil"/>
          <w:between w:val="nil"/>
        </w:pBdr>
        <w:spacing w:before="3"/>
        <w:rPr>
          <w:rFonts w:ascii="Arial" w:eastAsia="Arial" w:hAnsi="Arial" w:cs="Arial"/>
          <w:color w:val="000000"/>
          <w:sz w:val="15"/>
          <w:szCs w:val="15"/>
        </w:rPr>
      </w:pPr>
      <w:r>
        <w:rPr>
          <w:noProof/>
        </w:rPr>
        <w:drawing>
          <wp:anchor distT="0" distB="0" distL="0" distR="0" simplePos="0" relativeHeight="251658240" behindDoc="0" locked="0" layoutInCell="1" hidden="0" allowOverlap="1" wp14:anchorId="70DD6193" wp14:editId="77F538EA">
            <wp:simplePos x="0" y="0"/>
            <wp:positionH relativeFrom="column">
              <wp:posOffset>2248062</wp:posOffset>
            </wp:positionH>
            <wp:positionV relativeFrom="paragraph">
              <wp:posOffset>136239</wp:posOffset>
            </wp:positionV>
            <wp:extent cx="1358811" cy="912209"/>
            <wp:effectExtent l="0" t="0" r="0" b="0"/>
            <wp:wrapTopAndBottom distT="0" dist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358811" cy="912209"/>
                    </a:xfrm>
                    <a:prstGeom prst="rect">
                      <a:avLst/>
                    </a:prstGeom>
                    <a:ln/>
                  </pic:spPr>
                </pic:pic>
              </a:graphicData>
            </a:graphic>
          </wp:anchor>
        </w:drawing>
      </w:r>
    </w:p>
    <w:p w14:paraId="285FD0B2" w14:textId="77777777" w:rsidR="00384649" w:rsidRDefault="00000000">
      <w:pPr>
        <w:pStyle w:val="Ttulo1"/>
        <w:spacing w:before="163"/>
        <w:ind w:right="589" w:firstLine="577"/>
      </w:pPr>
      <w:r>
        <w:t>FELIX BUGUEÑO SOTELO</w:t>
      </w:r>
    </w:p>
    <w:p w14:paraId="7ED5F322" w14:textId="77777777" w:rsidR="00384649" w:rsidRDefault="00000000">
      <w:pPr>
        <w:spacing w:before="138" w:line="360" w:lineRule="auto"/>
        <w:ind w:left="3179" w:right="3191"/>
        <w:jc w:val="center"/>
        <w:rPr>
          <w:rFonts w:ascii="Arial" w:eastAsia="Arial" w:hAnsi="Arial" w:cs="Arial"/>
          <w:b/>
          <w:sz w:val="24"/>
          <w:szCs w:val="24"/>
        </w:rPr>
      </w:pPr>
      <w:r>
        <w:rPr>
          <w:rFonts w:ascii="Arial" w:eastAsia="Arial" w:hAnsi="Arial" w:cs="Arial"/>
          <w:b/>
          <w:sz w:val="24"/>
          <w:szCs w:val="24"/>
        </w:rPr>
        <w:t>Diputado de la República Distrito 16</w:t>
      </w:r>
    </w:p>
    <w:sectPr w:rsidR="00384649">
      <w:pgSz w:w="11920" w:h="16840"/>
      <w:pgMar w:top="2380" w:right="1340" w:bottom="280" w:left="1340" w:header="7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C0965" w14:textId="77777777" w:rsidR="00634BFD" w:rsidRDefault="00634BFD">
      <w:r>
        <w:separator/>
      </w:r>
    </w:p>
  </w:endnote>
  <w:endnote w:type="continuationSeparator" w:id="0">
    <w:p w14:paraId="12BA6559" w14:textId="77777777" w:rsidR="00634BFD" w:rsidRDefault="0063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AA6EE" w14:textId="77777777" w:rsidR="00634BFD" w:rsidRDefault="00634BFD">
      <w:r>
        <w:separator/>
      </w:r>
    </w:p>
  </w:footnote>
  <w:footnote w:type="continuationSeparator" w:id="0">
    <w:p w14:paraId="6CC018EA" w14:textId="77777777" w:rsidR="00634BFD" w:rsidRDefault="00634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E54EE" w14:textId="77777777" w:rsidR="00384649" w:rsidRDefault="00000000">
    <w:pPr>
      <w:pBdr>
        <w:top w:val="nil"/>
        <w:left w:val="nil"/>
        <w:bottom w:val="nil"/>
        <w:right w:val="nil"/>
        <w:between w:val="nil"/>
      </w:pBdr>
      <w:spacing w:line="14" w:lineRule="auto"/>
      <w:rPr>
        <w:rFonts w:ascii="Arial" w:eastAsia="Arial" w:hAnsi="Arial" w:cs="Arial"/>
        <w:color w:val="000000"/>
        <w:sz w:val="20"/>
        <w:szCs w:val="20"/>
      </w:rPr>
    </w:pPr>
    <w:r>
      <w:rPr>
        <w:rFonts w:ascii="Arial" w:eastAsia="Arial" w:hAnsi="Arial" w:cs="Arial"/>
        <w:noProof/>
        <w:color w:val="000000"/>
        <w:sz w:val="24"/>
        <w:szCs w:val="24"/>
      </w:rPr>
      <w:drawing>
        <wp:anchor distT="0" distB="0" distL="0" distR="0" simplePos="0" relativeHeight="251658240" behindDoc="1" locked="0" layoutInCell="1" hidden="0" allowOverlap="1" wp14:anchorId="6B5BA933" wp14:editId="3676F187">
          <wp:simplePos x="0" y="0"/>
          <wp:positionH relativeFrom="page">
            <wp:posOffset>3218024</wp:posOffset>
          </wp:positionH>
          <wp:positionV relativeFrom="page">
            <wp:posOffset>476250</wp:posOffset>
          </wp:positionV>
          <wp:extent cx="1123949" cy="1038225"/>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23949" cy="103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923BF"/>
    <w:multiLevelType w:val="multilevel"/>
    <w:tmpl w:val="0EE82156"/>
    <w:lvl w:ilvl="0">
      <w:start w:val="1"/>
      <w:numFmt w:val="upperRoman"/>
      <w:lvlText w:val="%1."/>
      <w:lvlJc w:val="left"/>
      <w:pPr>
        <w:ind w:left="820" w:hanging="494"/>
      </w:pPr>
      <w:rPr>
        <w:rFonts w:ascii="Arial" w:eastAsia="Arial" w:hAnsi="Arial" w:cs="Arial"/>
        <w:b/>
        <w:sz w:val="24"/>
        <w:szCs w:val="24"/>
      </w:rPr>
    </w:lvl>
    <w:lvl w:ilvl="1">
      <w:start w:val="1"/>
      <w:numFmt w:val="decimal"/>
      <w:lvlText w:val="%2."/>
      <w:lvlJc w:val="left"/>
      <w:pPr>
        <w:ind w:left="820" w:hanging="360"/>
      </w:pPr>
      <w:rPr>
        <w:rFonts w:ascii="Arial" w:eastAsia="Arial" w:hAnsi="Arial" w:cs="Arial"/>
        <w:sz w:val="24"/>
        <w:szCs w:val="24"/>
      </w:rPr>
    </w:lvl>
    <w:lvl w:ilvl="2">
      <w:numFmt w:val="bullet"/>
      <w:lvlText w:val="•"/>
      <w:lvlJc w:val="left"/>
      <w:pPr>
        <w:ind w:left="2504" w:hanging="360"/>
      </w:pPr>
    </w:lvl>
    <w:lvl w:ilvl="3">
      <w:numFmt w:val="bullet"/>
      <w:lvlText w:val="•"/>
      <w:lvlJc w:val="left"/>
      <w:pPr>
        <w:ind w:left="3346" w:hanging="360"/>
      </w:pPr>
    </w:lvl>
    <w:lvl w:ilvl="4">
      <w:numFmt w:val="bullet"/>
      <w:lvlText w:val="•"/>
      <w:lvlJc w:val="left"/>
      <w:pPr>
        <w:ind w:left="4188" w:hanging="360"/>
      </w:pPr>
    </w:lvl>
    <w:lvl w:ilvl="5">
      <w:numFmt w:val="bullet"/>
      <w:lvlText w:val="•"/>
      <w:lvlJc w:val="left"/>
      <w:pPr>
        <w:ind w:left="5030" w:hanging="360"/>
      </w:pPr>
    </w:lvl>
    <w:lvl w:ilvl="6">
      <w:numFmt w:val="bullet"/>
      <w:lvlText w:val="•"/>
      <w:lvlJc w:val="left"/>
      <w:pPr>
        <w:ind w:left="5872" w:hanging="360"/>
      </w:pPr>
    </w:lvl>
    <w:lvl w:ilvl="7">
      <w:numFmt w:val="bullet"/>
      <w:lvlText w:val="•"/>
      <w:lvlJc w:val="left"/>
      <w:pPr>
        <w:ind w:left="6714" w:hanging="360"/>
      </w:pPr>
    </w:lvl>
    <w:lvl w:ilvl="8">
      <w:numFmt w:val="bullet"/>
      <w:lvlText w:val="•"/>
      <w:lvlJc w:val="left"/>
      <w:pPr>
        <w:ind w:left="7556" w:hanging="360"/>
      </w:pPr>
    </w:lvl>
  </w:abstractNum>
  <w:num w:numId="1" w16cid:durableId="62246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649"/>
    <w:rsid w:val="001F001A"/>
    <w:rsid w:val="00233A8D"/>
    <w:rsid w:val="00384649"/>
    <w:rsid w:val="00634BFD"/>
    <w:rsid w:val="006D68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A504"/>
  <w15:docId w15:val="{841BA063-2036-4DA3-B40D-8171EFDB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C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ind w:left="577"/>
      <w:jc w:val="center"/>
      <w:outlineLvl w:val="0"/>
    </w:pPr>
    <w:rPr>
      <w:rFonts w:ascii="Arial" w:eastAsia="Arial" w:hAnsi="Arial" w:cs="Arial"/>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2un7sSzBdhIoyXVx/N42ikadzQ==">CgMxLjAyCGguZ2pkZ3hzOAByITFIMTkzUXJGVlI4NTZTY2MzTGh4NThHSUlaUjlKZW01aA==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913</Words>
  <Characters>5024</Characters>
  <Application>Microsoft Office Word</Application>
  <DocSecurity>0</DocSecurity>
  <Lines>41</Lines>
  <Paragraphs>11</Paragraphs>
  <ScaleCrop>false</ScaleCrop>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Urrutia Bonilla</dc:creator>
  <cp:lastModifiedBy>Guillermo Diaz Vallejos</cp:lastModifiedBy>
  <cp:revision>2</cp:revision>
  <dcterms:created xsi:type="dcterms:W3CDTF">2024-12-02T21:11:00Z</dcterms:created>
  <dcterms:modified xsi:type="dcterms:W3CDTF">2024-12-02T21:11:00Z</dcterms:modified>
</cp:coreProperties>
</file>