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60DB3" w:rsidRDefault="00060DB3">
      <w:pPr>
        <w:pStyle w:val="Textoindependiente"/>
        <w:spacing w:before="107"/>
        <w:rPr>
          <w:rFonts w:ascii="Times New Roman"/>
        </w:rPr>
      </w:pPr>
    </w:p>
    <w:p w:rsidR="00060DB3" w:rsidRDefault="00000000">
      <w:pPr>
        <w:pStyle w:val="Ttulo1"/>
        <w:ind w:right="100"/>
        <w:jc w:val="both"/>
      </w:pPr>
      <w:r>
        <w:t>PROYECTO DE LEY QUE MODIFICA LA LEY N°21674, CORTA DE ISAPRES,</w:t>
      </w:r>
      <w:r>
        <w:rPr>
          <w:spacing w:val="-16"/>
        </w:rPr>
        <w:t xml:space="preserve"> </w:t>
      </w:r>
      <w:r>
        <w:t>CON</w:t>
      </w:r>
      <w:r>
        <w:rPr>
          <w:spacing w:val="-15"/>
        </w:rPr>
        <w:t xml:space="preserve"> </w:t>
      </w:r>
      <w:r>
        <w:t>EL</w:t>
      </w:r>
      <w:r>
        <w:rPr>
          <w:spacing w:val="-15"/>
        </w:rPr>
        <w:t xml:space="preserve"> </w:t>
      </w:r>
      <w:r>
        <w:t>OBJETO</w:t>
      </w:r>
      <w:r>
        <w:rPr>
          <w:spacing w:val="-15"/>
        </w:rPr>
        <w:t xml:space="preserve"> </w:t>
      </w:r>
      <w:r>
        <w:t>DE</w:t>
      </w:r>
      <w:r>
        <w:rPr>
          <w:spacing w:val="-15"/>
        </w:rPr>
        <w:t xml:space="preserve"> </w:t>
      </w:r>
      <w:r>
        <w:t>REGULAR</w:t>
      </w:r>
      <w:r>
        <w:rPr>
          <w:spacing w:val="-14"/>
        </w:rPr>
        <w:t xml:space="preserve"> </w:t>
      </w:r>
      <w:r>
        <w:t>LOS</w:t>
      </w:r>
      <w:r>
        <w:rPr>
          <w:spacing w:val="-15"/>
        </w:rPr>
        <w:t xml:space="preserve"> </w:t>
      </w:r>
      <w:r>
        <w:t>VALORES</w:t>
      </w:r>
      <w:r>
        <w:rPr>
          <w:spacing w:val="-15"/>
        </w:rPr>
        <w:t xml:space="preserve"> </w:t>
      </w:r>
      <w:r>
        <w:t>MÍNIMOS</w:t>
      </w:r>
      <w:r>
        <w:rPr>
          <w:spacing w:val="-15"/>
        </w:rPr>
        <w:t xml:space="preserve"> </w:t>
      </w:r>
      <w:r>
        <w:t>DE LAS CUOTAS QUE DEBEN SER PAGADAS POR LAS INSTITUCIONES DE SALUD PRIVADA DE LAS OBLIGACIONES DETERMINADAS EN EL ARTÍCULO 3 DE DICHO CUERPO LEGAL</w:t>
      </w:r>
    </w:p>
    <w:p w:rsidR="00060DB3" w:rsidRDefault="00060DB3">
      <w:pPr>
        <w:pStyle w:val="Textoindependiente"/>
        <w:rPr>
          <w:b/>
        </w:rPr>
      </w:pPr>
    </w:p>
    <w:p w:rsidR="00060DB3" w:rsidRDefault="00060DB3">
      <w:pPr>
        <w:pStyle w:val="Textoindependiente"/>
        <w:spacing w:before="2"/>
        <w:rPr>
          <w:b/>
        </w:rPr>
      </w:pPr>
    </w:p>
    <w:p w:rsidR="00060DB3" w:rsidRDefault="00000000">
      <w:pPr>
        <w:ind w:left="119"/>
        <w:rPr>
          <w:b/>
          <w:sz w:val="26"/>
        </w:rPr>
      </w:pPr>
      <w:r>
        <w:rPr>
          <w:b/>
          <w:spacing w:val="-2"/>
          <w:sz w:val="26"/>
        </w:rPr>
        <w:t>FUNDAMENTOS.</w:t>
      </w:r>
    </w:p>
    <w:p w:rsidR="00060DB3" w:rsidRDefault="00000000">
      <w:pPr>
        <w:pStyle w:val="Textoindependiente"/>
        <w:spacing w:before="350"/>
        <w:ind w:left="119" w:right="99"/>
        <w:jc w:val="both"/>
      </w:pPr>
      <w:r>
        <w:t>El</w:t>
      </w:r>
      <w:r>
        <w:rPr>
          <w:spacing w:val="-8"/>
        </w:rPr>
        <w:t xml:space="preserve"> </w:t>
      </w:r>
      <w:r>
        <w:t>24</w:t>
      </w:r>
      <w:r>
        <w:rPr>
          <w:spacing w:val="-8"/>
        </w:rPr>
        <w:t xml:space="preserve"> </w:t>
      </w:r>
      <w:r>
        <w:t>de</w:t>
      </w:r>
      <w:r>
        <w:rPr>
          <w:spacing w:val="-8"/>
        </w:rPr>
        <w:t xml:space="preserve"> </w:t>
      </w:r>
      <w:r>
        <w:t>mayo</w:t>
      </w:r>
      <w:r>
        <w:rPr>
          <w:spacing w:val="-8"/>
        </w:rPr>
        <w:t xml:space="preserve"> </w:t>
      </w:r>
      <w:r>
        <w:t>de</w:t>
      </w:r>
      <w:r>
        <w:rPr>
          <w:spacing w:val="-8"/>
        </w:rPr>
        <w:t xml:space="preserve"> </w:t>
      </w:r>
      <w:r>
        <w:t>2024</w:t>
      </w:r>
      <w:r>
        <w:rPr>
          <w:spacing w:val="-8"/>
        </w:rPr>
        <w:t xml:space="preserve"> </w:t>
      </w:r>
      <w:r>
        <w:t>se</w:t>
      </w:r>
      <w:r>
        <w:rPr>
          <w:spacing w:val="-8"/>
        </w:rPr>
        <w:t xml:space="preserve"> </w:t>
      </w:r>
      <w:r>
        <w:t>publicó</w:t>
      </w:r>
      <w:r>
        <w:rPr>
          <w:spacing w:val="-8"/>
        </w:rPr>
        <w:t xml:space="preserve"> </w:t>
      </w:r>
      <w:r>
        <w:t>la</w:t>
      </w:r>
      <w:r>
        <w:rPr>
          <w:spacing w:val="-8"/>
        </w:rPr>
        <w:t xml:space="preserve"> </w:t>
      </w:r>
      <w:r>
        <w:t>Ley</w:t>
      </w:r>
      <w:r>
        <w:rPr>
          <w:spacing w:val="-8"/>
        </w:rPr>
        <w:t xml:space="preserve"> </w:t>
      </w:r>
      <w:r>
        <w:t>21.674,</w:t>
      </w:r>
      <w:r>
        <w:rPr>
          <w:spacing w:val="-8"/>
        </w:rPr>
        <w:t xml:space="preserve"> </w:t>
      </w:r>
      <w:r>
        <w:t>conocida</w:t>
      </w:r>
      <w:r>
        <w:rPr>
          <w:spacing w:val="-8"/>
        </w:rPr>
        <w:t xml:space="preserve"> </w:t>
      </w:r>
      <w:r>
        <w:t>como</w:t>
      </w:r>
      <w:r>
        <w:rPr>
          <w:spacing w:val="-8"/>
        </w:rPr>
        <w:t xml:space="preserve"> </w:t>
      </w:r>
      <w:r>
        <w:t>la</w:t>
      </w:r>
      <w:r>
        <w:rPr>
          <w:spacing w:val="-8"/>
        </w:rPr>
        <w:t xml:space="preserve"> </w:t>
      </w:r>
      <w:r>
        <w:t>"Ley</w:t>
      </w:r>
      <w:r>
        <w:rPr>
          <w:spacing w:val="-8"/>
        </w:rPr>
        <w:t xml:space="preserve"> </w:t>
      </w:r>
      <w:r>
        <w:t>Corta", impulsada por el actual gobierno para modernizar Fonasa, regular a las ISAPRES y fortalecer la Superintendencia de Salud. Esta ley busca proporcionar tranquilidad y seguridad a las personas respecto a la continuidad de sus atenciones y coberturas de salud. Las fechas establecidas en la normativa indicaban que el 31 de agosto de 2024 era el plazo máximo para que las ISAPRES informaran los costos de los planes de salud para sus aﬁliados. Luego, el 30 de septiembre de 2024 se ﬁjó como el último día para comunicar a los aﬁliados estos costos, y ﬁnalmente, el 30 de noviembre de 2024 fue el plazo máximo para informar de manera oﬁcial las devoluciones.</w:t>
      </w:r>
    </w:p>
    <w:p w:rsidR="00060DB3" w:rsidRDefault="00060DB3">
      <w:pPr>
        <w:pStyle w:val="Textoindependiente"/>
        <w:spacing w:before="1"/>
      </w:pPr>
    </w:p>
    <w:p w:rsidR="00060DB3" w:rsidRDefault="00000000">
      <w:pPr>
        <w:pStyle w:val="Textoindependiente"/>
        <w:ind w:left="119" w:right="100"/>
        <w:jc w:val="both"/>
      </w:pPr>
      <w:r>
        <w:t>La</w:t>
      </w:r>
      <w:r>
        <w:rPr>
          <w:spacing w:val="-6"/>
        </w:rPr>
        <w:t xml:space="preserve"> </w:t>
      </w:r>
      <w:r>
        <w:t>"Ley</w:t>
      </w:r>
      <w:r>
        <w:rPr>
          <w:spacing w:val="-6"/>
        </w:rPr>
        <w:t xml:space="preserve"> </w:t>
      </w:r>
      <w:r>
        <w:t>Corta"</w:t>
      </w:r>
      <w:r>
        <w:rPr>
          <w:spacing w:val="-6"/>
        </w:rPr>
        <w:t xml:space="preserve"> </w:t>
      </w:r>
      <w:r>
        <w:t>se</w:t>
      </w:r>
      <w:r>
        <w:rPr>
          <w:spacing w:val="-6"/>
        </w:rPr>
        <w:t xml:space="preserve"> </w:t>
      </w:r>
      <w:r>
        <w:t>propuso</w:t>
      </w:r>
      <w:r>
        <w:rPr>
          <w:spacing w:val="-6"/>
        </w:rPr>
        <w:t xml:space="preserve"> </w:t>
      </w:r>
      <w:r>
        <w:t>para</w:t>
      </w:r>
      <w:r>
        <w:rPr>
          <w:spacing w:val="-6"/>
        </w:rPr>
        <w:t xml:space="preserve"> </w:t>
      </w:r>
      <w:r>
        <w:t>abordar</w:t>
      </w:r>
      <w:r>
        <w:rPr>
          <w:spacing w:val="-6"/>
        </w:rPr>
        <w:t xml:space="preserve"> </w:t>
      </w:r>
      <w:r>
        <w:t>la</w:t>
      </w:r>
      <w:r>
        <w:rPr>
          <w:spacing w:val="-6"/>
        </w:rPr>
        <w:t xml:space="preserve"> </w:t>
      </w:r>
      <w:r>
        <w:t>crisis</w:t>
      </w:r>
      <w:r>
        <w:rPr>
          <w:spacing w:val="-6"/>
        </w:rPr>
        <w:t xml:space="preserve"> </w:t>
      </w:r>
      <w:r>
        <w:t>del</w:t>
      </w:r>
      <w:r>
        <w:rPr>
          <w:spacing w:val="-6"/>
        </w:rPr>
        <w:t xml:space="preserve"> </w:t>
      </w:r>
      <w:r>
        <w:t>sistema</w:t>
      </w:r>
      <w:r>
        <w:rPr>
          <w:spacing w:val="-6"/>
        </w:rPr>
        <w:t xml:space="preserve"> </w:t>
      </w:r>
      <w:r>
        <w:t>de</w:t>
      </w:r>
      <w:r>
        <w:rPr>
          <w:spacing w:val="-4"/>
        </w:rPr>
        <w:t xml:space="preserve"> </w:t>
      </w:r>
      <w:r>
        <w:t>ISAPRES,</w:t>
      </w:r>
      <w:r>
        <w:rPr>
          <w:spacing w:val="-6"/>
        </w:rPr>
        <w:t xml:space="preserve"> </w:t>
      </w:r>
      <w:r>
        <w:t>que enfrentó graves problemas ﬁnancieros y legales tras un fallo de la Corte Suprema</w:t>
      </w:r>
      <w:r>
        <w:rPr>
          <w:spacing w:val="-17"/>
        </w:rPr>
        <w:t xml:space="preserve"> </w:t>
      </w:r>
      <w:r>
        <w:t>relacionado</w:t>
      </w:r>
      <w:r>
        <w:rPr>
          <w:spacing w:val="-16"/>
        </w:rPr>
        <w:t xml:space="preserve"> </w:t>
      </w:r>
      <w:r>
        <w:t>con</w:t>
      </w:r>
      <w:r>
        <w:rPr>
          <w:spacing w:val="-16"/>
        </w:rPr>
        <w:t xml:space="preserve"> </w:t>
      </w:r>
      <w:r>
        <w:t>irregularidades</w:t>
      </w:r>
      <w:r>
        <w:rPr>
          <w:spacing w:val="-16"/>
        </w:rPr>
        <w:t xml:space="preserve"> </w:t>
      </w:r>
      <w:r>
        <w:t>en</w:t>
      </w:r>
      <w:r>
        <w:rPr>
          <w:spacing w:val="-17"/>
        </w:rPr>
        <w:t xml:space="preserve"> </w:t>
      </w:r>
      <w:r>
        <w:t>los</w:t>
      </w:r>
      <w:r>
        <w:rPr>
          <w:spacing w:val="-16"/>
        </w:rPr>
        <w:t xml:space="preserve"> </w:t>
      </w:r>
      <w:r>
        <w:t>cobros</w:t>
      </w:r>
      <w:r>
        <w:rPr>
          <w:spacing w:val="-16"/>
        </w:rPr>
        <w:t xml:space="preserve"> </w:t>
      </w:r>
      <w:r>
        <w:t>de</w:t>
      </w:r>
      <w:r>
        <w:rPr>
          <w:spacing w:val="-16"/>
        </w:rPr>
        <w:t xml:space="preserve"> </w:t>
      </w:r>
      <w:r>
        <w:t>los</w:t>
      </w:r>
      <w:r>
        <w:rPr>
          <w:spacing w:val="-17"/>
        </w:rPr>
        <w:t xml:space="preserve"> </w:t>
      </w:r>
      <w:r>
        <w:t>planes</w:t>
      </w:r>
      <w:r>
        <w:rPr>
          <w:spacing w:val="-16"/>
        </w:rPr>
        <w:t xml:space="preserve"> </w:t>
      </w:r>
      <w:r>
        <w:t>de</w:t>
      </w:r>
      <w:r>
        <w:rPr>
          <w:spacing w:val="-16"/>
        </w:rPr>
        <w:t xml:space="preserve"> </w:t>
      </w:r>
      <w:r>
        <w:t>salud, estimándose</w:t>
      </w:r>
      <w:r>
        <w:rPr>
          <w:spacing w:val="-11"/>
        </w:rPr>
        <w:t xml:space="preserve"> </w:t>
      </w:r>
      <w:r>
        <w:t>un</w:t>
      </w:r>
      <w:r>
        <w:rPr>
          <w:spacing w:val="-11"/>
        </w:rPr>
        <w:t xml:space="preserve"> </w:t>
      </w:r>
      <w:r>
        <w:t>perjuicio</w:t>
      </w:r>
      <w:r>
        <w:rPr>
          <w:spacing w:val="-11"/>
        </w:rPr>
        <w:t xml:space="preserve"> </w:t>
      </w:r>
      <w:r>
        <w:t>superior</w:t>
      </w:r>
      <w:r>
        <w:rPr>
          <w:spacing w:val="-11"/>
        </w:rPr>
        <w:t xml:space="preserve"> </w:t>
      </w:r>
      <w:r>
        <w:t>a</w:t>
      </w:r>
      <w:r>
        <w:rPr>
          <w:spacing w:val="-11"/>
        </w:rPr>
        <w:t xml:space="preserve"> </w:t>
      </w:r>
      <w:r>
        <w:t>los</w:t>
      </w:r>
      <w:r>
        <w:rPr>
          <w:spacing w:val="-11"/>
        </w:rPr>
        <w:t xml:space="preserve"> </w:t>
      </w:r>
      <w:r>
        <w:t>1.200</w:t>
      </w:r>
      <w:r>
        <w:rPr>
          <w:spacing w:val="-11"/>
        </w:rPr>
        <w:t xml:space="preserve"> </w:t>
      </w:r>
      <w:r>
        <w:t>millones</w:t>
      </w:r>
      <w:r>
        <w:rPr>
          <w:spacing w:val="-11"/>
        </w:rPr>
        <w:t xml:space="preserve"> </w:t>
      </w:r>
      <w:r>
        <w:t>de</w:t>
      </w:r>
      <w:r>
        <w:rPr>
          <w:spacing w:val="-11"/>
        </w:rPr>
        <w:t xml:space="preserve"> </w:t>
      </w:r>
      <w:r>
        <w:t>pesos.</w:t>
      </w:r>
      <w:r>
        <w:rPr>
          <w:spacing w:val="-12"/>
        </w:rPr>
        <w:t xml:space="preserve"> </w:t>
      </w:r>
      <w:r>
        <w:t>Se</w:t>
      </w:r>
      <w:r>
        <w:rPr>
          <w:spacing w:val="-11"/>
        </w:rPr>
        <w:t xml:space="preserve"> </w:t>
      </w:r>
      <w:r>
        <w:t>determinó que las ISAPRES deberían devolver los cobros indebidos a sus aﬁliados y ajustar los planes de salud de acuerdo con la Tabla Única de Factores (TUF), la</w:t>
      </w:r>
      <w:r>
        <w:rPr>
          <w:spacing w:val="-13"/>
        </w:rPr>
        <w:t xml:space="preserve"> </w:t>
      </w:r>
      <w:r>
        <w:t>cual</w:t>
      </w:r>
      <w:r>
        <w:rPr>
          <w:spacing w:val="-13"/>
        </w:rPr>
        <w:t xml:space="preserve"> </w:t>
      </w:r>
      <w:r>
        <w:t>regula</w:t>
      </w:r>
      <w:r>
        <w:rPr>
          <w:spacing w:val="-13"/>
        </w:rPr>
        <w:t xml:space="preserve"> </w:t>
      </w:r>
      <w:r>
        <w:t>el</w:t>
      </w:r>
      <w:r>
        <w:rPr>
          <w:spacing w:val="-13"/>
        </w:rPr>
        <w:t xml:space="preserve"> </w:t>
      </w:r>
      <w:r>
        <w:t>cálculo</w:t>
      </w:r>
      <w:r>
        <w:rPr>
          <w:spacing w:val="-13"/>
        </w:rPr>
        <w:t xml:space="preserve"> </w:t>
      </w:r>
      <w:r>
        <w:t>de</w:t>
      </w:r>
      <w:r>
        <w:rPr>
          <w:spacing w:val="-13"/>
        </w:rPr>
        <w:t xml:space="preserve"> </w:t>
      </w:r>
      <w:r>
        <w:t>precios</w:t>
      </w:r>
      <w:r>
        <w:rPr>
          <w:spacing w:val="-13"/>
        </w:rPr>
        <w:t xml:space="preserve"> </w:t>
      </w:r>
      <w:r>
        <w:t>de</w:t>
      </w:r>
      <w:r>
        <w:rPr>
          <w:spacing w:val="-13"/>
        </w:rPr>
        <w:t xml:space="preserve"> </w:t>
      </w:r>
      <w:r>
        <w:t>los</w:t>
      </w:r>
      <w:r>
        <w:rPr>
          <w:spacing w:val="-13"/>
        </w:rPr>
        <w:t xml:space="preserve"> </w:t>
      </w:r>
      <w:r>
        <w:t>planes,</w:t>
      </w:r>
      <w:r>
        <w:rPr>
          <w:spacing w:val="-13"/>
        </w:rPr>
        <w:t xml:space="preserve"> </w:t>
      </w:r>
      <w:r>
        <w:t>eliminando</w:t>
      </w:r>
      <w:r>
        <w:rPr>
          <w:spacing w:val="-13"/>
        </w:rPr>
        <w:t xml:space="preserve"> </w:t>
      </w:r>
      <w:r>
        <w:t>discriminaciones arbitrarias basadas en edad o sexo. Esta tabla, establecida por la Superintendencia de Salud, se aplica a todos los planes contratados desde abril de 2020 para garantizar mayor equidad.</w:t>
      </w:r>
    </w:p>
    <w:p w:rsidR="00060DB3" w:rsidRDefault="00000000">
      <w:pPr>
        <w:pStyle w:val="Textoindependiente"/>
        <w:spacing w:before="347" w:line="242" w:lineRule="auto"/>
        <w:ind w:left="119" w:right="98"/>
        <w:jc w:val="both"/>
      </w:pPr>
      <w:r>
        <w:t>Tienen derecho a esta devolución los cotizantes que estaban aﬁliados a una Isapre</w:t>
      </w:r>
      <w:r>
        <w:rPr>
          <w:spacing w:val="-8"/>
        </w:rPr>
        <w:t xml:space="preserve"> </w:t>
      </w:r>
      <w:r>
        <w:t>al</w:t>
      </w:r>
      <w:r>
        <w:rPr>
          <w:spacing w:val="-8"/>
        </w:rPr>
        <w:t xml:space="preserve"> </w:t>
      </w:r>
      <w:r>
        <w:t>1</w:t>
      </w:r>
      <w:r>
        <w:rPr>
          <w:spacing w:val="-8"/>
        </w:rPr>
        <w:t xml:space="preserve"> </w:t>
      </w:r>
      <w:r>
        <w:t>de</w:t>
      </w:r>
      <w:r>
        <w:rPr>
          <w:spacing w:val="-8"/>
        </w:rPr>
        <w:t xml:space="preserve"> </w:t>
      </w:r>
      <w:r>
        <w:t>diciembre</w:t>
      </w:r>
      <w:r>
        <w:rPr>
          <w:spacing w:val="-7"/>
        </w:rPr>
        <w:t xml:space="preserve"> </w:t>
      </w:r>
      <w:r>
        <w:t>de</w:t>
      </w:r>
      <w:r>
        <w:rPr>
          <w:spacing w:val="-8"/>
        </w:rPr>
        <w:t xml:space="preserve"> </w:t>
      </w:r>
      <w:r>
        <w:t>2022</w:t>
      </w:r>
      <w:r>
        <w:rPr>
          <w:spacing w:val="-7"/>
        </w:rPr>
        <w:t xml:space="preserve"> </w:t>
      </w:r>
      <w:r>
        <w:t>y</w:t>
      </w:r>
      <w:r>
        <w:rPr>
          <w:spacing w:val="-8"/>
        </w:rPr>
        <w:t xml:space="preserve"> </w:t>
      </w:r>
      <w:r>
        <w:t>que,</w:t>
      </w:r>
      <w:r>
        <w:rPr>
          <w:spacing w:val="-8"/>
        </w:rPr>
        <w:t xml:space="preserve"> </w:t>
      </w:r>
      <w:r>
        <w:t>tras</w:t>
      </w:r>
      <w:r>
        <w:rPr>
          <w:spacing w:val="-8"/>
        </w:rPr>
        <w:t xml:space="preserve"> </w:t>
      </w:r>
      <w:r>
        <w:t>el</w:t>
      </w:r>
      <w:r>
        <w:rPr>
          <w:spacing w:val="-8"/>
        </w:rPr>
        <w:t xml:space="preserve"> </w:t>
      </w:r>
      <w:r>
        <w:t>ajuste</w:t>
      </w:r>
      <w:r>
        <w:rPr>
          <w:spacing w:val="-8"/>
        </w:rPr>
        <w:t xml:space="preserve"> </w:t>
      </w:r>
      <w:r>
        <w:t>a</w:t>
      </w:r>
      <w:r>
        <w:rPr>
          <w:spacing w:val="-7"/>
        </w:rPr>
        <w:t xml:space="preserve"> </w:t>
      </w:r>
      <w:r>
        <w:t>la</w:t>
      </w:r>
      <w:r>
        <w:rPr>
          <w:spacing w:val="-8"/>
        </w:rPr>
        <w:t xml:space="preserve"> </w:t>
      </w:r>
      <w:r>
        <w:t>TUF,</w:t>
      </w:r>
      <w:r>
        <w:rPr>
          <w:spacing w:val="-8"/>
        </w:rPr>
        <w:t xml:space="preserve"> </w:t>
      </w:r>
      <w:r>
        <w:t>poseen</w:t>
      </w:r>
      <w:r>
        <w:rPr>
          <w:spacing w:val="-8"/>
        </w:rPr>
        <w:t xml:space="preserve"> </w:t>
      </w:r>
      <w:r>
        <w:t>saldos</w:t>
      </w:r>
      <w:r>
        <w:rPr>
          <w:spacing w:val="-7"/>
        </w:rPr>
        <w:t xml:space="preserve"> </w:t>
      </w:r>
      <w:r>
        <w:rPr>
          <w:spacing w:val="-10"/>
        </w:rPr>
        <w:t>a</w:t>
      </w:r>
    </w:p>
    <w:p w:rsidR="00060DB3" w:rsidRDefault="00060DB3">
      <w:pPr>
        <w:spacing w:line="242" w:lineRule="auto"/>
        <w:jc w:val="both"/>
        <w:sectPr w:rsidR="00060DB3">
          <w:headerReference w:type="default" r:id="rId7"/>
          <w:type w:val="continuous"/>
          <w:pgSz w:w="12240" w:h="15840"/>
          <w:pgMar w:top="2260" w:right="1600" w:bottom="280" w:left="1580" w:header="786" w:footer="0" w:gutter="0"/>
          <w:pgNumType w:start="1"/>
          <w:cols w:space="720"/>
        </w:sectPr>
      </w:pPr>
    </w:p>
    <w:p w:rsidR="00060DB3" w:rsidRDefault="00060DB3">
      <w:pPr>
        <w:pStyle w:val="Textoindependiente"/>
        <w:spacing w:before="55"/>
      </w:pPr>
    </w:p>
    <w:p w:rsidR="00060DB3" w:rsidRDefault="00000000">
      <w:pPr>
        <w:pStyle w:val="Textoindependiente"/>
        <w:ind w:left="119" w:right="98"/>
        <w:jc w:val="both"/>
      </w:pPr>
      <w:r>
        <w:t>favor entre el 1 de abril de 2020 y el 31 de agosto de 2024. Las ISAPRES deberán notiﬁcar a los beneﬁciarios los montos correspondientes y los pasos a</w:t>
      </w:r>
      <w:r>
        <w:rPr>
          <w:spacing w:val="-14"/>
        </w:rPr>
        <w:t xml:space="preserve"> </w:t>
      </w:r>
      <w:r>
        <w:t>seguir</w:t>
      </w:r>
      <w:r>
        <w:rPr>
          <w:spacing w:val="-14"/>
        </w:rPr>
        <w:t xml:space="preserve"> </w:t>
      </w:r>
      <w:r>
        <w:t>antes</w:t>
      </w:r>
      <w:r>
        <w:rPr>
          <w:spacing w:val="-13"/>
        </w:rPr>
        <w:t xml:space="preserve"> </w:t>
      </w:r>
      <w:r>
        <w:t>del</w:t>
      </w:r>
      <w:r>
        <w:rPr>
          <w:spacing w:val="-14"/>
        </w:rPr>
        <w:t xml:space="preserve"> </w:t>
      </w:r>
      <w:r>
        <w:t>30</w:t>
      </w:r>
      <w:r>
        <w:rPr>
          <w:spacing w:val="-14"/>
        </w:rPr>
        <w:t xml:space="preserve"> </w:t>
      </w:r>
      <w:r>
        <w:t>de</w:t>
      </w:r>
      <w:r>
        <w:rPr>
          <w:spacing w:val="-14"/>
        </w:rPr>
        <w:t xml:space="preserve"> </w:t>
      </w:r>
      <w:r>
        <w:t>noviembre</w:t>
      </w:r>
      <w:r>
        <w:rPr>
          <w:spacing w:val="-14"/>
        </w:rPr>
        <w:t xml:space="preserve"> </w:t>
      </w:r>
      <w:r>
        <w:t>de</w:t>
      </w:r>
      <w:r>
        <w:rPr>
          <w:spacing w:val="-14"/>
        </w:rPr>
        <w:t xml:space="preserve"> </w:t>
      </w:r>
      <w:r>
        <w:t>2024.</w:t>
      </w:r>
      <w:r>
        <w:rPr>
          <w:spacing w:val="-14"/>
        </w:rPr>
        <w:t xml:space="preserve"> </w:t>
      </w:r>
      <w:r>
        <w:t>Esta</w:t>
      </w:r>
      <w:r>
        <w:rPr>
          <w:spacing w:val="-14"/>
        </w:rPr>
        <w:t xml:space="preserve"> </w:t>
      </w:r>
      <w:r>
        <w:t>información</w:t>
      </w:r>
      <w:r>
        <w:rPr>
          <w:spacing w:val="-14"/>
        </w:rPr>
        <w:t xml:space="preserve"> </w:t>
      </w:r>
      <w:r>
        <w:t>será</w:t>
      </w:r>
      <w:r>
        <w:rPr>
          <w:spacing w:val="-14"/>
        </w:rPr>
        <w:t xml:space="preserve"> </w:t>
      </w:r>
      <w:r>
        <w:t>enviada</w:t>
      </w:r>
      <w:r>
        <w:rPr>
          <w:spacing w:val="-14"/>
        </w:rPr>
        <w:t xml:space="preserve"> </w:t>
      </w:r>
      <w:r>
        <w:t xml:space="preserve">por correo electrónico o carta certiﬁcada, según lo dispuesto por el Superintendente Torres. A partir de diciembre de ese año, comenzarán los pagos directos de estas devoluciones. Además, las aseguradoras deberán habilitar un banner informativo en sus sitios web y oﬁcinas de atención, </w:t>
      </w:r>
      <w:r>
        <w:rPr>
          <w:spacing w:val="-2"/>
        </w:rPr>
        <w:t>donde</w:t>
      </w:r>
      <w:r>
        <w:rPr>
          <w:spacing w:val="-8"/>
        </w:rPr>
        <w:t xml:space="preserve"> </w:t>
      </w:r>
      <w:r>
        <w:rPr>
          <w:spacing w:val="-2"/>
        </w:rPr>
        <w:t>los</w:t>
      </w:r>
      <w:r>
        <w:rPr>
          <w:spacing w:val="-8"/>
        </w:rPr>
        <w:t xml:space="preserve"> </w:t>
      </w:r>
      <w:r>
        <w:rPr>
          <w:spacing w:val="-2"/>
        </w:rPr>
        <w:t>cotizantes</w:t>
      </w:r>
      <w:r>
        <w:rPr>
          <w:spacing w:val="-8"/>
        </w:rPr>
        <w:t xml:space="preserve"> </w:t>
      </w:r>
      <w:r>
        <w:rPr>
          <w:spacing w:val="-2"/>
        </w:rPr>
        <w:t>y</w:t>
      </w:r>
      <w:r>
        <w:rPr>
          <w:spacing w:val="-8"/>
        </w:rPr>
        <w:t xml:space="preserve"> </w:t>
      </w:r>
      <w:r>
        <w:rPr>
          <w:spacing w:val="-2"/>
        </w:rPr>
        <w:t>ex</w:t>
      </w:r>
      <w:r>
        <w:rPr>
          <w:spacing w:val="-8"/>
        </w:rPr>
        <w:t xml:space="preserve"> </w:t>
      </w:r>
      <w:r>
        <w:rPr>
          <w:spacing w:val="-2"/>
        </w:rPr>
        <w:t>cotizantes</w:t>
      </w:r>
      <w:r>
        <w:rPr>
          <w:spacing w:val="-8"/>
        </w:rPr>
        <w:t xml:space="preserve"> </w:t>
      </w:r>
      <w:r>
        <w:rPr>
          <w:spacing w:val="-2"/>
        </w:rPr>
        <w:t>podrán</w:t>
      </w:r>
      <w:r>
        <w:rPr>
          <w:spacing w:val="-8"/>
        </w:rPr>
        <w:t xml:space="preserve"> </w:t>
      </w:r>
      <w:r>
        <w:rPr>
          <w:spacing w:val="-2"/>
        </w:rPr>
        <w:t>veriﬁcar</w:t>
      </w:r>
      <w:r>
        <w:rPr>
          <w:spacing w:val="-8"/>
        </w:rPr>
        <w:t xml:space="preserve"> </w:t>
      </w:r>
      <w:r>
        <w:rPr>
          <w:spacing w:val="-2"/>
        </w:rPr>
        <w:t>si</w:t>
      </w:r>
      <w:r>
        <w:rPr>
          <w:spacing w:val="-8"/>
        </w:rPr>
        <w:t xml:space="preserve"> </w:t>
      </w:r>
      <w:r>
        <w:rPr>
          <w:spacing w:val="-2"/>
        </w:rPr>
        <w:t>tienen</w:t>
      </w:r>
      <w:r>
        <w:rPr>
          <w:spacing w:val="-8"/>
        </w:rPr>
        <w:t xml:space="preserve"> </w:t>
      </w:r>
      <w:r>
        <w:rPr>
          <w:spacing w:val="-2"/>
        </w:rPr>
        <w:t>derecho</w:t>
      </w:r>
      <w:r>
        <w:rPr>
          <w:spacing w:val="-4"/>
        </w:rPr>
        <w:t xml:space="preserve"> </w:t>
      </w:r>
      <w:r>
        <w:rPr>
          <w:spacing w:val="-2"/>
        </w:rPr>
        <w:t>a</w:t>
      </w:r>
      <w:r>
        <w:rPr>
          <w:spacing w:val="-7"/>
        </w:rPr>
        <w:t xml:space="preserve"> </w:t>
      </w:r>
      <w:r>
        <w:rPr>
          <w:spacing w:val="-2"/>
        </w:rPr>
        <w:t xml:space="preserve">recibir </w:t>
      </w:r>
      <w:r>
        <w:t>el dinero.</w:t>
      </w:r>
    </w:p>
    <w:p w:rsidR="00060DB3" w:rsidRDefault="00060DB3">
      <w:pPr>
        <w:pStyle w:val="Textoindependiente"/>
        <w:spacing w:before="1"/>
      </w:pPr>
    </w:p>
    <w:p w:rsidR="00060DB3" w:rsidRDefault="00000000">
      <w:pPr>
        <w:pStyle w:val="Textoindependiente"/>
        <w:ind w:left="119" w:right="100"/>
        <w:jc w:val="both"/>
      </w:pPr>
      <w:r>
        <w:t>La ley establece un plazo de hasta 13 años para que las ISAPRES efectúen la devolución ordenada por la Corte Suprema, especialmente para los aﬁliados menores de 65 años. En cambio, contempla plazos más cortos para adultos mayores:</w:t>
      </w:r>
      <w:r>
        <w:rPr>
          <w:spacing w:val="-9"/>
        </w:rPr>
        <w:t xml:space="preserve"> </w:t>
      </w:r>
      <w:r>
        <w:t>cinco</w:t>
      </w:r>
      <w:r>
        <w:rPr>
          <w:spacing w:val="-9"/>
        </w:rPr>
        <w:t xml:space="preserve"> </w:t>
      </w:r>
      <w:r>
        <w:t>años</w:t>
      </w:r>
      <w:r>
        <w:rPr>
          <w:spacing w:val="-9"/>
        </w:rPr>
        <w:t xml:space="preserve"> </w:t>
      </w:r>
      <w:r>
        <w:t>para</w:t>
      </w:r>
      <w:r>
        <w:rPr>
          <w:spacing w:val="-9"/>
        </w:rPr>
        <w:t xml:space="preserve"> </w:t>
      </w:r>
      <w:r>
        <w:t>los</w:t>
      </w:r>
      <w:r>
        <w:rPr>
          <w:spacing w:val="-9"/>
        </w:rPr>
        <w:t xml:space="preserve"> </w:t>
      </w:r>
      <w:r>
        <w:t>mayores</w:t>
      </w:r>
      <w:r>
        <w:rPr>
          <w:spacing w:val="-9"/>
        </w:rPr>
        <w:t xml:space="preserve"> </w:t>
      </w:r>
      <w:r>
        <w:t>de</w:t>
      </w:r>
      <w:r>
        <w:rPr>
          <w:spacing w:val="-9"/>
        </w:rPr>
        <w:t xml:space="preserve"> </w:t>
      </w:r>
      <w:r>
        <w:t>65</w:t>
      </w:r>
      <w:r>
        <w:rPr>
          <w:spacing w:val="-9"/>
        </w:rPr>
        <w:t xml:space="preserve"> </w:t>
      </w:r>
      <w:r>
        <w:t>años</w:t>
      </w:r>
      <w:r>
        <w:rPr>
          <w:spacing w:val="-9"/>
        </w:rPr>
        <w:t xml:space="preserve"> </w:t>
      </w:r>
      <w:r>
        <w:t>y</w:t>
      </w:r>
      <w:r>
        <w:rPr>
          <w:spacing w:val="-9"/>
        </w:rPr>
        <w:t xml:space="preserve"> </w:t>
      </w:r>
      <w:r>
        <w:t>dos</w:t>
      </w:r>
      <w:r>
        <w:rPr>
          <w:spacing w:val="-9"/>
        </w:rPr>
        <w:t xml:space="preserve"> </w:t>
      </w:r>
      <w:r>
        <w:t>años</w:t>
      </w:r>
      <w:r>
        <w:rPr>
          <w:spacing w:val="-9"/>
        </w:rPr>
        <w:t xml:space="preserve"> </w:t>
      </w:r>
      <w:r>
        <w:t>para</w:t>
      </w:r>
      <w:r>
        <w:rPr>
          <w:spacing w:val="-9"/>
        </w:rPr>
        <w:t xml:space="preserve"> </w:t>
      </w:r>
      <w:r>
        <w:t>los</w:t>
      </w:r>
      <w:r>
        <w:rPr>
          <w:spacing w:val="-9"/>
        </w:rPr>
        <w:t xml:space="preserve"> </w:t>
      </w:r>
      <w:r>
        <w:t>mayores de 80. Para facilitar la devolución, se ofrecen tres mecanismos:</w:t>
      </w:r>
    </w:p>
    <w:p w:rsidR="00060DB3" w:rsidRDefault="00000000">
      <w:pPr>
        <w:pStyle w:val="Prrafodelista"/>
        <w:numPr>
          <w:ilvl w:val="0"/>
          <w:numId w:val="2"/>
        </w:numPr>
        <w:tabs>
          <w:tab w:val="left" w:pos="839"/>
        </w:tabs>
        <w:spacing w:before="349"/>
        <w:ind w:right="99"/>
        <w:jc w:val="both"/>
        <w:rPr>
          <w:sz w:val="26"/>
        </w:rPr>
      </w:pPr>
      <w:r>
        <w:rPr>
          <w:b/>
          <w:sz w:val="26"/>
        </w:rPr>
        <w:t>Pronto</w:t>
      </w:r>
      <w:r>
        <w:rPr>
          <w:b/>
          <w:spacing w:val="-6"/>
          <w:sz w:val="26"/>
        </w:rPr>
        <w:t xml:space="preserve"> </w:t>
      </w:r>
      <w:r>
        <w:rPr>
          <w:b/>
          <w:sz w:val="26"/>
        </w:rPr>
        <w:t>pago:</w:t>
      </w:r>
      <w:r>
        <w:rPr>
          <w:b/>
          <w:spacing w:val="-6"/>
          <w:sz w:val="26"/>
        </w:rPr>
        <w:t xml:space="preserve"> </w:t>
      </w:r>
      <w:r>
        <w:rPr>
          <w:sz w:val="26"/>
        </w:rPr>
        <w:t>los</w:t>
      </w:r>
      <w:r>
        <w:rPr>
          <w:spacing w:val="-6"/>
          <w:sz w:val="26"/>
        </w:rPr>
        <w:t xml:space="preserve"> </w:t>
      </w:r>
      <w:r>
        <w:rPr>
          <w:sz w:val="26"/>
        </w:rPr>
        <w:t>aﬁliados</w:t>
      </w:r>
      <w:r>
        <w:rPr>
          <w:spacing w:val="-6"/>
          <w:sz w:val="26"/>
        </w:rPr>
        <w:t xml:space="preserve"> </w:t>
      </w:r>
      <w:r>
        <w:rPr>
          <w:sz w:val="26"/>
        </w:rPr>
        <w:t>pueden</w:t>
      </w:r>
      <w:r>
        <w:rPr>
          <w:spacing w:val="-6"/>
          <w:sz w:val="26"/>
        </w:rPr>
        <w:t xml:space="preserve"> </w:t>
      </w:r>
      <w:r>
        <w:rPr>
          <w:sz w:val="26"/>
        </w:rPr>
        <w:t>optar</w:t>
      </w:r>
      <w:r>
        <w:rPr>
          <w:spacing w:val="-6"/>
          <w:sz w:val="26"/>
        </w:rPr>
        <w:t xml:space="preserve"> </w:t>
      </w:r>
      <w:r>
        <w:rPr>
          <w:sz w:val="26"/>
        </w:rPr>
        <w:t>por</w:t>
      </w:r>
      <w:r>
        <w:rPr>
          <w:spacing w:val="-6"/>
          <w:sz w:val="26"/>
        </w:rPr>
        <w:t xml:space="preserve"> </w:t>
      </w:r>
      <w:r>
        <w:rPr>
          <w:sz w:val="26"/>
        </w:rPr>
        <w:t>recibir</w:t>
      </w:r>
      <w:r>
        <w:rPr>
          <w:spacing w:val="-6"/>
          <w:sz w:val="26"/>
        </w:rPr>
        <w:t xml:space="preserve"> </w:t>
      </w:r>
      <w:r>
        <w:rPr>
          <w:sz w:val="26"/>
        </w:rPr>
        <w:t>el</w:t>
      </w:r>
      <w:r>
        <w:rPr>
          <w:spacing w:val="-6"/>
          <w:sz w:val="26"/>
        </w:rPr>
        <w:t xml:space="preserve"> </w:t>
      </w:r>
      <w:r>
        <w:rPr>
          <w:sz w:val="26"/>
        </w:rPr>
        <w:t>monto</w:t>
      </w:r>
      <w:r>
        <w:rPr>
          <w:spacing w:val="-5"/>
          <w:sz w:val="26"/>
        </w:rPr>
        <w:t xml:space="preserve"> </w:t>
      </w:r>
      <w:r>
        <w:rPr>
          <w:sz w:val="26"/>
        </w:rPr>
        <w:t>adeudado en una sola transferencia, con un descuento de hasta el 35%, acordado directamente con ellos.</w:t>
      </w:r>
    </w:p>
    <w:p w:rsidR="00060DB3" w:rsidRDefault="00060DB3">
      <w:pPr>
        <w:pStyle w:val="Textoindependiente"/>
        <w:spacing w:before="3"/>
      </w:pPr>
    </w:p>
    <w:p w:rsidR="00060DB3" w:rsidRDefault="00000000">
      <w:pPr>
        <w:pStyle w:val="Prrafodelista"/>
        <w:numPr>
          <w:ilvl w:val="0"/>
          <w:numId w:val="2"/>
        </w:numPr>
        <w:tabs>
          <w:tab w:val="left" w:pos="839"/>
        </w:tabs>
        <w:ind w:right="101"/>
        <w:jc w:val="both"/>
        <w:rPr>
          <w:sz w:val="26"/>
        </w:rPr>
      </w:pPr>
      <w:r>
        <w:rPr>
          <w:b/>
          <w:sz w:val="26"/>
        </w:rPr>
        <w:t>Excedentes mensuales</w:t>
      </w:r>
      <w:r>
        <w:rPr>
          <w:sz w:val="26"/>
        </w:rPr>
        <w:t>: pagos en cuotas que pueden extenderse hasta 13 años.</w:t>
      </w:r>
    </w:p>
    <w:p w:rsidR="00060DB3" w:rsidRDefault="00000000">
      <w:pPr>
        <w:pStyle w:val="Prrafodelista"/>
        <w:numPr>
          <w:ilvl w:val="0"/>
          <w:numId w:val="2"/>
        </w:numPr>
        <w:tabs>
          <w:tab w:val="left" w:pos="837"/>
        </w:tabs>
        <w:spacing w:before="350"/>
        <w:ind w:left="837" w:hanging="358"/>
        <w:rPr>
          <w:sz w:val="26"/>
        </w:rPr>
      </w:pPr>
      <w:r>
        <w:rPr>
          <w:b/>
          <w:sz w:val="26"/>
        </w:rPr>
        <w:t>Bono</w:t>
      </w:r>
      <w:r>
        <w:rPr>
          <w:b/>
          <w:spacing w:val="-7"/>
          <w:sz w:val="26"/>
        </w:rPr>
        <w:t xml:space="preserve"> </w:t>
      </w:r>
      <w:r>
        <w:rPr>
          <w:b/>
          <w:sz w:val="26"/>
        </w:rPr>
        <w:t>de</w:t>
      </w:r>
      <w:r>
        <w:rPr>
          <w:b/>
          <w:spacing w:val="-7"/>
          <w:sz w:val="26"/>
        </w:rPr>
        <w:t xml:space="preserve"> </w:t>
      </w:r>
      <w:r>
        <w:rPr>
          <w:b/>
          <w:sz w:val="26"/>
        </w:rPr>
        <w:t>deuda</w:t>
      </w:r>
      <w:r>
        <w:rPr>
          <w:sz w:val="26"/>
        </w:rPr>
        <w:t>:</w:t>
      </w:r>
      <w:r>
        <w:rPr>
          <w:spacing w:val="-6"/>
          <w:sz w:val="26"/>
        </w:rPr>
        <w:t xml:space="preserve"> </w:t>
      </w:r>
      <w:r>
        <w:rPr>
          <w:sz w:val="26"/>
        </w:rPr>
        <w:t>un</w:t>
      </w:r>
      <w:r>
        <w:rPr>
          <w:spacing w:val="-7"/>
          <w:sz w:val="26"/>
        </w:rPr>
        <w:t xml:space="preserve"> </w:t>
      </w:r>
      <w:r>
        <w:rPr>
          <w:sz w:val="26"/>
        </w:rPr>
        <w:t>documento</w:t>
      </w:r>
      <w:r>
        <w:rPr>
          <w:spacing w:val="-6"/>
          <w:sz w:val="26"/>
        </w:rPr>
        <w:t xml:space="preserve"> </w:t>
      </w:r>
      <w:r>
        <w:rPr>
          <w:sz w:val="26"/>
        </w:rPr>
        <w:t>transable</w:t>
      </w:r>
      <w:r>
        <w:rPr>
          <w:spacing w:val="-7"/>
          <w:sz w:val="26"/>
        </w:rPr>
        <w:t xml:space="preserve"> </w:t>
      </w:r>
      <w:r>
        <w:rPr>
          <w:sz w:val="26"/>
        </w:rPr>
        <w:t>en</w:t>
      </w:r>
      <w:r>
        <w:rPr>
          <w:spacing w:val="-6"/>
          <w:sz w:val="26"/>
        </w:rPr>
        <w:t xml:space="preserve"> </w:t>
      </w:r>
      <w:r>
        <w:rPr>
          <w:sz w:val="26"/>
        </w:rPr>
        <w:t>el</w:t>
      </w:r>
      <w:r>
        <w:rPr>
          <w:spacing w:val="-7"/>
          <w:sz w:val="26"/>
        </w:rPr>
        <w:t xml:space="preserve"> </w:t>
      </w:r>
      <w:r>
        <w:rPr>
          <w:sz w:val="26"/>
        </w:rPr>
        <w:t>mercado</w:t>
      </w:r>
      <w:r>
        <w:rPr>
          <w:spacing w:val="-6"/>
          <w:sz w:val="26"/>
        </w:rPr>
        <w:t xml:space="preserve"> </w:t>
      </w:r>
      <w:r>
        <w:rPr>
          <w:spacing w:val="-2"/>
          <w:sz w:val="26"/>
        </w:rPr>
        <w:t>ﬁnanciero.</w:t>
      </w:r>
    </w:p>
    <w:p w:rsidR="00060DB3" w:rsidRDefault="00000000">
      <w:pPr>
        <w:pStyle w:val="Textoindependiente"/>
        <w:spacing w:before="350"/>
        <w:ind w:left="119" w:right="101"/>
        <w:jc w:val="both"/>
      </w:pPr>
      <w:r>
        <w:t>Para</w:t>
      </w:r>
      <w:r>
        <w:rPr>
          <w:spacing w:val="-13"/>
        </w:rPr>
        <w:t xml:space="preserve"> </w:t>
      </w:r>
      <w:r>
        <w:t>lo</w:t>
      </w:r>
      <w:r>
        <w:rPr>
          <w:spacing w:val="-13"/>
        </w:rPr>
        <w:t xml:space="preserve"> </w:t>
      </w:r>
      <w:r>
        <w:t>anterior,</w:t>
      </w:r>
      <w:r>
        <w:rPr>
          <w:spacing w:val="-13"/>
        </w:rPr>
        <w:t xml:space="preserve"> </w:t>
      </w:r>
      <w:r>
        <w:t>la</w:t>
      </w:r>
      <w:r>
        <w:rPr>
          <w:spacing w:val="-13"/>
        </w:rPr>
        <w:t xml:space="preserve"> </w:t>
      </w:r>
      <w:r>
        <w:t>Superintendencia</w:t>
      </w:r>
      <w:r>
        <w:rPr>
          <w:spacing w:val="-13"/>
        </w:rPr>
        <w:t xml:space="preserve"> </w:t>
      </w:r>
      <w:r>
        <w:t>de</w:t>
      </w:r>
      <w:r>
        <w:rPr>
          <w:spacing w:val="-13"/>
        </w:rPr>
        <w:t xml:space="preserve"> </w:t>
      </w:r>
      <w:r>
        <w:t>Salud</w:t>
      </w:r>
      <w:r>
        <w:rPr>
          <w:spacing w:val="-13"/>
        </w:rPr>
        <w:t xml:space="preserve"> </w:t>
      </w:r>
      <w:r>
        <w:t>supervisará</w:t>
      </w:r>
      <w:r>
        <w:rPr>
          <w:spacing w:val="-13"/>
        </w:rPr>
        <w:t xml:space="preserve"> </w:t>
      </w:r>
      <w:r>
        <w:t>los</w:t>
      </w:r>
      <w:r>
        <w:rPr>
          <w:spacing w:val="-13"/>
        </w:rPr>
        <w:t xml:space="preserve"> </w:t>
      </w:r>
      <w:r>
        <w:t>planes</w:t>
      </w:r>
      <w:r>
        <w:rPr>
          <w:spacing w:val="-13"/>
        </w:rPr>
        <w:t xml:space="preserve"> </w:t>
      </w:r>
      <w:r>
        <w:t>de</w:t>
      </w:r>
      <w:r>
        <w:rPr>
          <w:spacing w:val="-13"/>
        </w:rPr>
        <w:t xml:space="preserve"> </w:t>
      </w:r>
      <w:r>
        <w:t>pago, y</w:t>
      </w:r>
      <w:r>
        <w:rPr>
          <w:spacing w:val="-15"/>
        </w:rPr>
        <w:t xml:space="preserve"> </w:t>
      </w:r>
      <w:r>
        <w:t>las</w:t>
      </w:r>
      <w:r>
        <w:rPr>
          <w:spacing w:val="-16"/>
        </w:rPr>
        <w:t xml:space="preserve"> </w:t>
      </w:r>
      <w:r>
        <w:t>ISAPRES</w:t>
      </w:r>
      <w:r>
        <w:rPr>
          <w:spacing w:val="-15"/>
        </w:rPr>
        <w:t xml:space="preserve"> </w:t>
      </w:r>
      <w:r>
        <w:t>no</w:t>
      </w:r>
      <w:r>
        <w:rPr>
          <w:spacing w:val="-16"/>
        </w:rPr>
        <w:t xml:space="preserve"> </w:t>
      </w:r>
      <w:r>
        <w:t>podrán</w:t>
      </w:r>
      <w:r>
        <w:rPr>
          <w:spacing w:val="-15"/>
        </w:rPr>
        <w:t xml:space="preserve"> </w:t>
      </w:r>
      <w:r>
        <w:t>retirar</w:t>
      </w:r>
      <w:r>
        <w:rPr>
          <w:spacing w:val="-16"/>
        </w:rPr>
        <w:t xml:space="preserve"> </w:t>
      </w:r>
      <w:r>
        <w:t>utilidades</w:t>
      </w:r>
      <w:r>
        <w:rPr>
          <w:spacing w:val="-15"/>
        </w:rPr>
        <w:t xml:space="preserve"> </w:t>
      </w:r>
      <w:r>
        <w:t>mientras</w:t>
      </w:r>
      <w:r>
        <w:rPr>
          <w:spacing w:val="-16"/>
        </w:rPr>
        <w:t xml:space="preserve"> </w:t>
      </w:r>
      <w:r>
        <w:t>dure</w:t>
      </w:r>
      <w:r>
        <w:rPr>
          <w:spacing w:val="-15"/>
        </w:rPr>
        <w:t xml:space="preserve"> </w:t>
      </w:r>
      <w:r>
        <w:t>la</w:t>
      </w:r>
      <w:r>
        <w:rPr>
          <w:spacing w:val="-16"/>
        </w:rPr>
        <w:t xml:space="preserve"> </w:t>
      </w:r>
      <w:r>
        <w:t>ejecución</w:t>
      </w:r>
      <w:r>
        <w:rPr>
          <w:spacing w:val="-15"/>
        </w:rPr>
        <w:t xml:space="preserve"> </w:t>
      </w:r>
      <w:r>
        <w:t>de</w:t>
      </w:r>
      <w:r>
        <w:rPr>
          <w:spacing w:val="-16"/>
        </w:rPr>
        <w:t xml:space="preserve"> </w:t>
      </w:r>
      <w:r>
        <w:t xml:space="preserve">estos </w:t>
      </w:r>
      <w:r>
        <w:rPr>
          <w:spacing w:val="-2"/>
        </w:rPr>
        <w:t>compromisos.</w:t>
      </w:r>
    </w:p>
    <w:p w:rsidR="00060DB3" w:rsidRDefault="00000000">
      <w:pPr>
        <w:pStyle w:val="Ttulo2"/>
        <w:spacing w:before="349"/>
        <w:ind w:left="119" w:firstLine="0"/>
        <w:jc w:val="both"/>
      </w:pPr>
      <w:r>
        <w:t>Cuestionamientos</w:t>
      </w:r>
      <w:r>
        <w:rPr>
          <w:spacing w:val="-7"/>
        </w:rPr>
        <w:t xml:space="preserve"> </w:t>
      </w:r>
      <w:r>
        <w:t>a</w:t>
      </w:r>
      <w:r>
        <w:rPr>
          <w:spacing w:val="-6"/>
        </w:rPr>
        <w:t xml:space="preserve"> </w:t>
      </w:r>
      <w:r>
        <w:t>la</w:t>
      </w:r>
      <w:r>
        <w:rPr>
          <w:spacing w:val="-7"/>
        </w:rPr>
        <w:t xml:space="preserve"> </w:t>
      </w:r>
      <w:r>
        <w:t>Ley</w:t>
      </w:r>
      <w:r>
        <w:rPr>
          <w:spacing w:val="-6"/>
        </w:rPr>
        <w:t xml:space="preserve"> </w:t>
      </w:r>
      <w:r>
        <w:t>Corta</w:t>
      </w:r>
      <w:r>
        <w:rPr>
          <w:spacing w:val="-7"/>
        </w:rPr>
        <w:t xml:space="preserve"> </w:t>
      </w:r>
      <w:r>
        <w:t>de</w:t>
      </w:r>
      <w:r>
        <w:rPr>
          <w:spacing w:val="-5"/>
        </w:rPr>
        <w:t xml:space="preserve"> </w:t>
      </w:r>
      <w:r>
        <w:rPr>
          <w:spacing w:val="-2"/>
        </w:rPr>
        <w:t>ISAPRES</w:t>
      </w:r>
    </w:p>
    <w:p w:rsidR="00060DB3" w:rsidRDefault="00000000">
      <w:pPr>
        <w:pStyle w:val="Textoindependiente"/>
        <w:spacing w:before="350" w:line="242" w:lineRule="auto"/>
        <w:ind w:left="119" w:right="99"/>
        <w:jc w:val="both"/>
      </w:pPr>
      <w:r>
        <w:t>Pero lo anterior generó diferente problemas a la hora de implementar la ley, lo</w:t>
      </w:r>
      <w:r>
        <w:rPr>
          <w:spacing w:val="21"/>
        </w:rPr>
        <w:t xml:space="preserve"> </w:t>
      </w:r>
      <w:r>
        <w:t>que</w:t>
      </w:r>
      <w:r>
        <w:rPr>
          <w:spacing w:val="22"/>
        </w:rPr>
        <w:t xml:space="preserve"> </w:t>
      </w:r>
      <w:r>
        <w:t>generó</w:t>
      </w:r>
      <w:r>
        <w:rPr>
          <w:spacing w:val="22"/>
        </w:rPr>
        <w:t xml:space="preserve"> </w:t>
      </w:r>
      <w:r>
        <w:t>diferentes</w:t>
      </w:r>
      <w:r>
        <w:rPr>
          <w:spacing w:val="22"/>
        </w:rPr>
        <w:t xml:space="preserve"> </w:t>
      </w:r>
      <w:r>
        <w:t>cuestionamientos.</w:t>
      </w:r>
      <w:r>
        <w:rPr>
          <w:spacing w:val="22"/>
        </w:rPr>
        <w:t xml:space="preserve"> </w:t>
      </w:r>
      <w:r>
        <w:t>Siendo</w:t>
      </w:r>
      <w:r>
        <w:rPr>
          <w:spacing w:val="21"/>
        </w:rPr>
        <w:t xml:space="preserve"> </w:t>
      </w:r>
      <w:r>
        <w:t>los</w:t>
      </w:r>
      <w:r>
        <w:rPr>
          <w:spacing w:val="22"/>
        </w:rPr>
        <w:t xml:space="preserve"> </w:t>
      </w:r>
      <w:r>
        <w:t>principales,</w:t>
      </w:r>
      <w:r>
        <w:rPr>
          <w:spacing w:val="22"/>
        </w:rPr>
        <w:t xml:space="preserve"> </w:t>
      </w:r>
      <w:r>
        <w:rPr>
          <w:spacing w:val="-2"/>
        </w:rPr>
        <w:t>aquellos</w:t>
      </w:r>
    </w:p>
    <w:p w:rsidR="00060DB3" w:rsidRDefault="00060DB3">
      <w:pPr>
        <w:spacing w:line="242" w:lineRule="auto"/>
        <w:jc w:val="both"/>
        <w:sectPr w:rsidR="00060DB3">
          <w:pgSz w:w="12240" w:h="15840"/>
          <w:pgMar w:top="2260" w:right="1600" w:bottom="280" w:left="1580" w:header="786" w:footer="0" w:gutter="0"/>
          <w:cols w:space="720"/>
        </w:sectPr>
      </w:pPr>
    </w:p>
    <w:p w:rsidR="00060DB3" w:rsidRDefault="00060DB3">
      <w:pPr>
        <w:pStyle w:val="Textoindependiente"/>
        <w:spacing w:before="55"/>
      </w:pPr>
    </w:p>
    <w:p w:rsidR="00060DB3" w:rsidRDefault="00000000">
      <w:pPr>
        <w:pStyle w:val="Textoindependiente"/>
        <w:ind w:left="119" w:right="101"/>
        <w:jc w:val="both"/>
      </w:pPr>
      <w:r>
        <w:t>que</w:t>
      </w:r>
      <w:r>
        <w:rPr>
          <w:spacing w:val="-3"/>
        </w:rPr>
        <w:t xml:space="preserve"> </w:t>
      </w:r>
      <w:r>
        <w:t>se</w:t>
      </w:r>
      <w:r>
        <w:rPr>
          <w:spacing w:val="-3"/>
        </w:rPr>
        <w:t xml:space="preserve"> </w:t>
      </w:r>
      <w:r>
        <w:t>centran</w:t>
      </w:r>
      <w:r>
        <w:rPr>
          <w:spacing w:val="-3"/>
        </w:rPr>
        <w:t xml:space="preserve"> </w:t>
      </w:r>
      <w:r>
        <w:t>en</w:t>
      </w:r>
      <w:r>
        <w:rPr>
          <w:spacing w:val="-3"/>
        </w:rPr>
        <w:t xml:space="preserve"> </w:t>
      </w:r>
      <w:r>
        <w:t>la</w:t>
      </w:r>
      <w:r>
        <w:rPr>
          <w:spacing w:val="-3"/>
        </w:rPr>
        <w:t xml:space="preserve"> </w:t>
      </w:r>
      <w:r>
        <w:t>falta</w:t>
      </w:r>
      <w:r>
        <w:rPr>
          <w:spacing w:val="-3"/>
        </w:rPr>
        <w:t xml:space="preserve"> </w:t>
      </w:r>
      <w:r>
        <w:t>de</w:t>
      </w:r>
      <w:r>
        <w:rPr>
          <w:spacing w:val="-3"/>
        </w:rPr>
        <w:t xml:space="preserve"> </w:t>
      </w:r>
      <w:r>
        <w:t>claridad</w:t>
      </w:r>
      <w:r>
        <w:rPr>
          <w:spacing w:val="-3"/>
        </w:rPr>
        <w:t xml:space="preserve"> </w:t>
      </w:r>
      <w:r>
        <w:t>en</w:t>
      </w:r>
      <w:r>
        <w:rPr>
          <w:spacing w:val="-3"/>
        </w:rPr>
        <w:t xml:space="preserve"> </w:t>
      </w:r>
      <w:r>
        <w:t>su</w:t>
      </w:r>
      <w:r>
        <w:rPr>
          <w:spacing w:val="-3"/>
        </w:rPr>
        <w:t xml:space="preserve"> </w:t>
      </w:r>
      <w:r>
        <w:t>implementación,</w:t>
      </w:r>
      <w:r>
        <w:rPr>
          <w:spacing w:val="-3"/>
        </w:rPr>
        <w:t xml:space="preserve"> </w:t>
      </w:r>
      <w:r>
        <w:t>los</w:t>
      </w:r>
      <w:r>
        <w:rPr>
          <w:spacing w:val="-3"/>
        </w:rPr>
        <w:t xml:space="preserve"> </w:t>
      </w:r>
      <w:r>
        <w:t>largos</w:t>
      </w:r>
      <w:r>
        <w:rPr>
          <w:spacing w:val="-3"/>
        </w:rPr>
        <w:t xml:space="preserve"> </w:t>
      </w:r>
      <w:r>
        <w:t>plazos de devolución y su impacto en la sostenibilidad del sistema.</w:t>
      </w:r>
    </w:p>
    <w:p w:rsidR="00060DB3" w:rsidRDefault="00000000">
      <w:pPr>
        <w:pStyle w:val="Ttulo2"/>
        <w:numPr>
          <w:ilvl w:val="0"/>
          <w:numId w:val="1"/>
        </w:numPr>
        <w:tabs>
          <w:tab w:val="left" w:pos="838"/>
        </w:tabs>
        <w:spacing w:before="350"/>
        <w:ind w:left="838" w:hanging="359"/>
      </w:pPr>
      <w:r>
        <w:t>Plazos</w:t>
      </w:r>
      <w:r>
        <w:rPr>
          <w:spacing w:val="-11"/>
        </w:rPr>
        <w:t xml:space="preserve"> </w:t>
      </w:r>
      <w:r>
        <w:t>excesivamente</w:t>
      </w:r>
      <w:r>
        <w:rPr>
          <w:spacing w:val="-11"/>
        </w:rPr>
        <w:t xml:space="preserve"> </w:t>
      </w:r>
      <w:r>
        <w:t>largos</w:t>
      </w:r>
      <w:r>
        <w:rPr>
          <w:spacing w:val="-11"/>
        </w:rPr>
        <w:t xml:space="preserve"> </w:t>
      </w:r>
      <w:r>
        <w:t>para</w:t>
      </w:r>
      <w:r>
        <w:rPr>
          <w:spacing w:val="-11"/>
        </w:rPr>
        <w:t xml:space="preserve"> </w:t>
      </w:r>
      <w:r>
        <w:t>la</w:t>
      </w:r>
      <w:r>
        <w:rPr>
          <w:spacing w:val="-11"/>
        </w:rPr>
        <w:t xml:space="preserve"> </w:t>
      </w:r>
      <w:r>
        <w:rPr>
          <w:spacing w:val="-2"/>
        </w:rPr>
        <w:t>devolución</w:t>
      </w:r>
    </w:p>
    <w:p w:rsidR="00060DB3" w:rsidRDefault="00000000">
      <w:pPr>
        <w:pStyle w:val="Textoindependiente"/>
        <w:spacing w:before="350"/>
        <w:ind w:left="119" w:right="98"/>
        <w:jc w:val="both"/>
      </w:pPr>
      <w:r>
        <w:t>La</w:t>
      </w:r>
      <w:r>
        <w:rPr>
          <w:spacing w:val="-10"/>
        </w:rPr>
        <w:t xml:space="preserve"> </w:t>
      </w:r>
      <w:r>
        <w:t>ley</w:t>
      </w:r>
      <w:r>
        <w:rPr>
          <w:spacing w:val="-10"/>
        </w:rPr>
        <w:t xml:space="preserve"> </w:t>
      </w:r>
      <w:r>
        <w:t>permite</w:t>
      </w:r>
      <w:r>
        <w:rPr>
          <w:spacing w:val="-10"/>
        </w:rPr>
        <w:t xml:space="preserve"> </w:t>
      </w:r>
      <w:r>
        <w:t>que</w:t>
      </w:r>
      <w:r>
        <w:rPr>
          <w:spacing w:val="-10"/>
        </w:rPr>
        <w:t xml:space="preserve"> </w:t>
      </w:r>
      <w:r>
        <w:t>las</w:t>
      </w:r>
      <w:r>
        <w:rPr>
          <w:spacing w:val="-9"/>
        </w:rPr>
        <w:t xml:space="preserve"> </w:t>
      </w:r>
      <w:r>
        <w:t>ISAPRES</w:t>
      </w:r>
      <w:r>
        <w:rPr>
          <w:spacing w:val="-10"/>
        </w:rPr>
        <w:t xml:space="preserve"> </w:t>
      </w:r>
      <w:r>
        <w:t>tomen</w:t>
      </w:r>
      <w:r>
        <w:rPr>
          <w:spacing w:val="-10"/>
        </w:rPr>
        <w:t xml:space="preserve"> </w:t>
      </w:r>
      <w:r>
        <w:t>hasta</w:t>
      </w:r>
      <w:r>
        <w:rPr>
          <w:spacing w:val="-10"/>
        </w:rPr>
        <w:t xml:space="preserve"> </w:t>
      </w:r>
      <w:r>
        <w:t>13</w:t>
      </w:r>
      <w:r>
        <w:rPr>
          <w:spacing w:val="-10"/>
        </w:rPr>
        <w:t xml:space="preserve"> </w:t>
      </w:r>
      <w:r>
        <w:t>años</w:t>
      </w:r>
      <w:r>
        <w:rPr>
          <w:spacing w:val="-10"/>
        </w:rPr>
        <w:t xml:space="preserve"> </w:t>
      </w:r>
      <w:r>
        <w:t>para</w:t>
      </w:r>
      <w:r>
        <w:rPr>
          <w:spacing w:val="-10"/>
        </w:rPr>
        <w:t xml:space="preserve"> </w:t>
      </w:r>
      <w:r>
        <w:t>devolver</w:t>
      </w:r>
      <w:r>
        <w:rPr>
          <w:spacing w:val="-10"/>
        </w:rPr>
        <w:t xml:space="preserve"> </w:t>
      </w:r>
      <w:r>
        <w:t>los</w:t>
      </w:r>
      <w:r>
        <w:rPr>
          <w:spacing w:val="-10"/>
        </w:rPr>
        <w:t xml:space="preserve"> </w:t>
      </w:r>
      <w:r>
        <w:t>cobros indebidos a los aﬁliados menores de 65 años, lo cual es considerado demasiado extenso, especialmente para quienes requieren soluciones inmediatas. Aunque los plazos se reducen para mayores de 65 (5 años) y mayores de 80 (2 años), sigue siendo visto como insuﬁciente.</w:t>
      </w:r>
    </w:p>
    <w:p w:rsidR="00060DB3" w:rsidRDefault="00060DB3">
      <w:pPr>
        <w:pStyle w:val="Textoindependiente"/>
        <w:spacing w:before="2"/>
      </w:pPr>
    </w:p>
    <w:p w:rsidR="00060DB3" w:rsidRDefault="00000000">
      <w:pPr>
        <w:pStyle w:val="Ttulo2"/>
        <w:numPr>
          <w:ilvl w:val="0"/>
          <w:numId w:val="1"/>
        </w:numPr>
        <w:tabs>
          <w:tab w:val="left" w:pos="838"/>
        </w:tabs>
        <w:ind w:left="838" w:hanging="359"/>
      </w:pPr>
      <w:r>
        <w:t>Falta</w:t>
      </w:r>
      <w:r>
        <w:rPr>
          <w:spacing w:val="-7"/>
        </w:rPr>
        <w:t xml:space="preserve"> </w:t>
      </w:r>
      <w:r>
        <w:t>de</w:t>
      </w:r>
      <w:r>
        <w:rPr>
          <w:spacing w:val="-6"/>
        </w:rPr>
        <w:t xml:space="preserve"> </w:t>
      </w:r>
      <w:r>
        <w:t>equidad</w:t>
      </w:r>
      <w:r>
        <w:rPr>
          <w:spacing w:val="-6"/>
        </w:rPr>
        <w:t xml:space="preserve"> </w:t>
      </w:r>
      <w:r>
        <w:t>en</w:t>
      </w:r>
      <w:r>
        <w:rPr>
          <w:spacing w:val="-6"/>
        </w:rPr>
        <w:t xml:space="preserve"> </w:t>
      </w:r>
      <w:r>
        <w:t>los</w:t>
      </w:r>
      <w:r>
        <w:rPr>
          <w:spacing w:val="-6"/>
        </w:rPr>
        <w:t xml:space="preserve"> </w:t>
      </w:r>
      <w:r>
        <w:t>mecanismos</w:t>
      </w:r>
      <w:r>
        <w:rPr>
          <w:spacing w:val="-6"/>
        </w:rPr>
        <w:t xml:space="preserve"> </w:t>
      </w:r>
      <w:r>
        <w:t>de</w:t>
      </w:r>
      <w:r>
        <w:rPr>
          <w:spacing w:val="-6"/>
        </w:rPr>
        <w:t xml:space="preserve"> </w:t>
      </w:r>
      <w:r>
        <w:rPr>
          <w:spacing w:val="-4"/>
        </w:rPr>
        <w:t>pago</w:t>
      </w:r>
    </w:p>
    <w:p w:rsidR="00060DB3" w:rsidRDefault="00060DB3">
      <w:pPr>
        <w:pStyle w:val="Textoindependiente"/>
        <w:rPr>
          <w:b/>
        </w:rPr>
      </w:pPr>
    </w:p>
    <w:p w:rsidR="00060DB3" w:rsidRDefault="00000000">
      <w:pPr>
        <w:pStyle w:val="Textoindependiente"/>
        <w:ind w:left="119" w:right="100"/>
        <w:jc w:val="both"/>
      </w:pPr>
      <w:r>
        <w:t xml:space="preserve">El sistema de "pronto pago" propone descuentos de hasta el 35% si los aﬁliados aceptan recibir su deuda de forma anticipada. Sin embargo, esto ha sido criticado como una estrategia que favorece más a las ISAPRES que a los afectados, ya que reduce signiﬁcativamente el monto real que deberían </w:t>
      </w:r>
      <w:r>
        <w:rPr>
          <w:spacing w:val="-2"/>
        </w:rPr>
        <w:t>devolver.</w:t>
      </w:r>
    </w:p>
    <w:p w:rsidR="00060DB3" w:rsidRDefault="00060DB3">
      <w:pPr>
        <w:pStyle w:val="Textoindependiente"/>
        <w:spacing w:before="2"/>
      </w:pPr>
    </w:p>
    <w:p w:rsidR="00060DB3" w:rsidRDefault="00000000">
      <w:pPr>
        <w:pStyle w:val="Textoindependiente"/>
        <w:ind w:left="119" w:right="100"/>
        <w:jc w:val="both"/>
      </w:pPr>
      <w:r>
        <w:t>Por lo mismo, es que se hace necesario establecer la búsqueda de una iniciativa que reconozca estas problemáticas y establezca un mecanismo que regule el monto mínimo de las cuotas que sean pagadas por las instituciones de</w:t>
      </w:r>
      <w:r>
        <w:rPr>
          <w:spacing w:val="-8"/>
        </w:rPr>
        <w:t xml:space="preserve"> </w:t>
      </w:r>
      <w:r>
        <w:t>salud</w:t>
      </w:r>
      <w:r>
        <w:rPr>
          <w:spacing w:val="-8"/>
        </w:rPr>
        <w:t xml:space="preserve"> </w:t>
      </w:r>
      <w:r>
        <w:t>privada</w:t>
      </w:r>
      <w:r>
        <w:rPr>
          <w:spacing w:val="-8"/>
        </w:rPr>
        <w:t xml:space="preserve"> </w:t>
      </w:r>
      <w:r>
        <w:t>a</w:t>
      </w:r>
      <w:r>
        <w:rPr>
          <w:spacing w:val="-8"/>
        </w:rPr>
        <w:t xml:space="preserve"> </w:t>
      </w:r>
      <w:r>
        <w:t>los</w:t>
      </w:r>
      <w:r>
        <w:rPr>
          <w:spacing w:val="-8"/>
        </w:rPr>
        <w:t xml:space="preserve"> </w:t>
      </w:r>
      <w:r>
        <w:t>usuarios</w:t>
      </w:r>
      <w:r>
        <w:rPr>
          <w:spacing w:val="-8"/>
        </w:rPr>
        <w:t xml:space="preserve"> </w:t>
      </w:r>
      <w:r>
        <w:t>con</w:t>
      </w:r>
      <w:r>
        <w:rPr>
          <w:spacing w:val="-8"/>
        </w:rPr>
        <w:t xml:space="preserve"> </w:t>
      </w:r>
      <w:r>
        <w:t>el</w:t>
      </w:r>
      <w:r>
        <w:rPr>
          <w:spacing w:val="-8"/>
        </w:rPr>
        <w:t xml:space="preserve"> </w:t>
      </w:r>
      <w:r>
        <w:t>objeto</w:t>
      </w:r>
      <w:r>
        <w:rPr>
          <w:spacing w:val="-8"/>
        </w:rPr>
        <w:t xml:space="preserve"> </w:t>
      </w:r>
      <w:r>
        <w:t>de</w:t>
      </w:r>
      <w:r>
        <w:rPr>
          <w:spacing w:val="-8"/>
        </w:rPr>
        <w:t xml:space="preserve"> </w:t>
      </w:r>
      <w:r>
        <w:t>no</w:t>
      </w:r>
      <w:r>
        <w:rPr>
          <w:spacing w:val="-7"/>
        </w:rPr>
        <w:t xml:space="preserve"> </w:t>
      </w:r>
      <w:r>
        <w:t>generar</w:t>
      </w:r>
      <w:r>
        <w:rPr>
          <w:spacing w:val="-8"/>
        </w:rPr>
        <w:t xml:space="preserve"> </w:t>
      </w:r>
      <w:r>
        <w:t>situaciones</w:t>
      </w:r>
      <w:r>
        <w:rPr>
          <w:spacing w:val="-8"/>
        </w:rPr>
        <w:t xml:space="preserve"> </w:t>
      </w:r>
      <w:r>
        <w:t>en</w:t>
      </w:r>
      <w:r>
        <w:rPr>
          <w:spacing w:val="-8"/>
        </w:rPr>
        <w:t xml:space="preserve"> </w:t>
      </w:r>
      <w:r>
        <w:t>que la cuota sea ínﬁma.</w:t>
      </w:r>
    </w:p>
    <w:p w:rsidR="00060DB3" w:rsidRDefault="00060DB3">
      <w:pPr>
        <w:pStyle w:val="Textoindependiente"/>
        <w:spacing w:before="348"/>
      </w:pPr>
    </w:p>
    <w:p w:rsidR="00060DB3" w:rsidRDefault="00000000">
      <w:pPr>
        <w:pStyle w:val="Ttulo1"/>
        <w:jc w:val="both"/>
      </w:pPr>
      <w:r>
        <w:t>IDEA</w:t>
      </w:r>
      <w:r>
        <w:rPr>
          <w:spacing w:val="-7"/>
        </w:rPr>
        <w:t xml:space="preserve"> </w:t>
      </w:r>
      <w:r>
        <w:rPr>
          <w:spacing w:val="-2"/>
        </w:rPr>
        <w:t>MATRIZ.</w:t>
      </w:r>
    </w:p>
    <w:p w:rsidR="00060DB3" w:rsidRDefault="00060DB3">
      <w:pPr>
        <w:pStyle w:val="Textoindependiente"/>
        <w:rPr>
          <w:b/>
        </w:rPr>
      </w:pPr>
    </w:p>
    <w:p w:rsidR="00060DB3" w:rsidRDefault="00000000">
      <w:pPr>
        <w:pStyle w:val="Textoindependiente"/>
        <w:ind w:left="119" w:right="100"/>
        <w:jc w:val="both"/>
      </w:pPr>
      <w:r>
        <w:t>Regular el valor mínimo que deben tener las cuotas de devolución de las obligaciones originadas por las instituciones de salud privada por concepto de devolución de excedentes cobrados de forma irregular.</w:t>
      </w:r>
    </w:p>
    <w:p w:rsidR="00060DB3" w:rsidRDefault="00060DB3">
      <w:pPr>
        <w:jc w:val="both"/>
        <w:sectPr w:rsidR="00060DB3">
          <w:pgSz w:w="12240" w:h="15840"/>
          <w:pgMar w:top="2260" w:right="1600" w:bottom="280" w:left="1580" w:header="786" w:footer="0" w:gutter="0"/>
          <w:cols w:space="720"/>
        </w:sectPr>
      </w:pPr>
    </w:p>
    <w:p w:rsidR="00060DB3" w:rsidRDefault="00060DB3">
      <w:pPr>
        <w:pStyle w:val="Textoindependiente"/>
      </w:pPr>
    </w:p>
    <w:p w:rsidR="00060DB3" w:rsidRDefault="00060DB3">
      <w:pPr>
        <w:pStyle w:val="Textoindependiente"/>
        <w:spacing w:before="55"/>
      </w:pPr>
    </w:p>
    <w:p w:rsidR="00060DB3" w:rsidRDefault="00000000">
      <w:pPr>
        <w:ind w:left="16"/>
        <w:jc w:val="center"/>
        <w:rPr>
          <w:b/>
          <w:sz w:val="26"/>
        </w:rPr>
      </w:pPr>
      <w:r>
        <w:rPr>
          <w:b/>
          <w:sz w:val="26"/>
          <w:u w:val="single"/>
        </w:rPr>
        <w:t>PROYECTO</w:t>
      </w:r>
      <w:r>
        <w:rPr>
          <w:b/>
          <w:spacing w:val="-10"/>
          <w:sz w:val="26"/>
          <w:u w:val="single"/>
        </w:rPr>
        <w:t xml:space="preserve"> </w:t>
      </w:r>
      <w:r>
        <w:rPr>
          <w:b/>
          <w:sz w:val="26"/>
          <w:u w:val="single"/>
        </w:rPr>
        <w:t>DE</w:t>
      </w:r>
      <w:r>
        <w:rPr>
          <w:b/>
          <w:spacing w:val="-9"/>
          <w:sz w:val="26"/>
          <w:u w:val="single"/>
        </w:rPr>
        <w:t xml:space="preserve"> </w:t>
      </w:r>
      <w:r>
        <w:rPr>
          <w:b/>
          <w:spacing w:val="-5"/>
          <w:sz w:val="26"/>
          <w:u w:val="single"/>
        </w:rPr>
        <w:t>LEY</w:t>
      </w:r>
    </w:p>
    <w:p w:rsidR="00060DB3" w:rsidRDefault="00060DB3">
      <w:pPr>
        <w:pStyle w:val="Textoindependiente"/>
        <w:rPr>
          <w:b/>
        </w:rPr>
      </w:pPr>
    </w:p>
    <w:p w:rsidR="00060DB3" w:rsidRDefault="00060DB3">
      <w:pPr>
        <w:pStyle w:val="Textoindependiente"/>
        <w:spacing w:before="349"/>
        <w:rPr>
          <w:b/>
        </w:rPr>
      </w:pPr>
    </w:p>
    <w:p w:rsidR="00060DB3" w:rsidRDefault="00000000">
      <w:pPr>
        <w:pStyle w:val="Textoindependiente"/>
        <w:spacing w:line="242" w:lineRule="auto"/>
        <w:ind w:left="119" w:right="100"/>
        <w:jc w:val="both"/>
      </w:pPr>
      <w:r>
        <w:rPr>
          <w:b/>
        </w:rPr>
        <w:t xml:space="preserve">ARTÍCULO ÚNICO.- </w:t>
      </w:r>
      <w:r>
        <w:t>Incorpórese el inciso segundo del artículo 3 de la ley N°21.674,</w:t>
      </w:r>
      <w:r>
        <w:rPr>
          <w:spacing w:val="-12"/>
        </w:rPr>
        <w:t xml:space="preserve"> </w:t>
      </w:r>
      <w:r>
        <w:t>Corta</w:t>
      </w:r>
      <w:r>
        <w:rPr>
          <w:spacing w:val="-12"/>
        </w:rPr>
        <w:t xml:space="preserve"> </w:t>
      </w:r>
      <w:r>
        <w:t>de</w:t>
      </w:r>
      <w:r>
        <w:rPr>
          <w:spacing w:val="-12"/>
        </w:rPr>
        <w:t xml:space="preserve"> </w:t>
      </w:r>
      <w:r>
        <w:t>ISAPRES,</w:t>
      </w:r>
      <w:r>
        <w:rPr>
          <w:spacing w:val="-12"/>
        </w:rPr>
        <w:t xml:space="preserve"> </w:t>
      </w:r>
      <w:r>
        <w:t>luego</w:t>
      </w:r>
      <w:r>
        <w:rPr>
          <w:spacing w:val="-12"/>
        </w:rPr>
        <w:t xml:space="preserve"> </w:t>
      </w:r>
      <w:r>
        <w:t>del</w:t>
      </w:r>
      <w:r>
        <w:rPr>
          <w:spacing w:val="-12"/>
        </w:rPr>
        <w:t xml:space="preserve"> </w:t>
      </w:r>
      <w:r>
        <w:t>punto</w:t>
      </w:r>
      <w:r>
        <w:rPr>
          <w:spacing w:val="-12"/>
        </w:rPr>
        <w:t xml:space="preserve"> </w:t>
      </w:r>
      <w:r>
        <w:t>y</w:t>
      </w:r>
      <w:r>
        <w:rPr>
          <w:spacing w:val="-12"/>
        </w:rPr>
        <w:t xml:space="preserve"> </w:t>
      </w:r>
      <w:r>
        <w:t>aparte</w:t>
      </w:r>
      <w:r>
        <w:rPr>
          <w:spacing w:val="-12"/>
        </w:rPr>
        <w:t xml:space="preserve"> </w:t>
      </w:r>
      <w:r>
        <w:t>que</w:t>
      </w:r>
      <w:r>
        <w:rPr>
          <w:spacing w:val="-12"/>
        </w:rPr>
        <w:t xml:space="preserve"> </w:t>
      </w:r>
      <w:r>
        <w:t>pasa</w:t>
      </w:r>
      <w:r>
        <w:rPr>
          <w:spacing w:val="-12"/>
        </w:rPr>
        <w:t xml:space="preserve"> </w:t>
      </w:r>
      <w:r>
        <w:t>a</w:t>
      </w:r>
      <w:r>
        <w:rPr>
          <w:spacing w:val="-12"/>
        </w:rPr>
        <w:t xml:space="preserve"> </w:t>
      </w:r>
      <w:r>
        <w:t>ser</w:t>
      </w:r>
      <w:r>
        <w:rPr>
          <w:spacing w:val="-12"/>
        </w:rPr>
        <w:t xml:space="preserve"> </w:t>
      </w:r>
      <w:r>
        <w:t>seguido, una oración ﬁnal nueva del siguiente tenor:</w:t>
      </w:r>
    </w:p>
    <w:p w:rsidR="00060DB3" w:rsidRDefault="00000000">
      <w:pPr>
        <w:pStyle w:val="Textoindependiente"/>
        <w:spacing w:before="344"/>
        <w:ind w:left="119" w:right="100"/>
        <w:jc w:val="both"/>
      </w:pPr>
      <w:r>
        <w:t>“Cada una de las cuotas indicadas anteriormente en ningún caso podrán resultar inferiores a 0,8 unidades de fomento, salvo que el monto de la devolución que deba realizarse por la institución sea menor a esta cantidad, debiendo pagarse la deuda en una única cuota en tal caso.”.</w:t>
      </w:r>
    </w:p>
    <w:p w:rsidR="00060DB3" w:rsidRDefault="00000000">
      <w:pPr>
        <w:pStyle w:val="Textoindependiente"/>
        <w:spacing w:before="349"/>
        <w:ind w:left="119" w:right="100"/>
        <w:jc w:val="both"/>
      </w:pPr>
      <w:r>
        <w:rPr>
          <w:b/>
        </w:rPr>
        <w:t xml:space="preserve">ARTÍCULO TRANSITORIO.- </w:t>
      </w:r>
      <w:r>
        <w:t>En aquellos casos en que las instituciones de salud privada ya hubieren dado inicio al convenio de pago, este deberá reajustarse</w:t>
      </w:r>
      <w:r>
        <w:rPr>
          <w:spacing w:val="-2"/>
        </w:rPr>
        <w:t xml:space="preserve"> </w:t>
      </w:r>
      <w:r>
        <w:t>a</w:t>
      </w:r>
      <w:r>
        <w:rPr>
          <w:spacing w:val="-2"/>
        </w:rPr>
        <w:t xml:space="preserve"> </w:t>
      </w:r>
      <w:r>
        <w:t>lo</w:t>
      </w:r>
      <w:r>
        <w:rPr>
          <w:spacing w:val="-2"/>
        </w:rPr>
        <w:t xml:space="preserve"> </w:t>
      </w:r>
      <w:r>
        <w:t>expresado</w:t>
      </w:r>
      <w:r>
        <w:rPr>
          <w:spacing w:val="-2"/>
        </w:rPr>
        <w:t xml:space="preserve"> </w:t>
      </w:r>
      <w:r>
        <w:t>en</w:t>
      </w:r>
      <w:r>
        <w:rPr>
          <w:spacing w:val="-2"/>
        </w:rPr>
        <w:t xml:space="preserve"> </w:t>
      </w:r>
      <w:r>
        <w:t>el</w:t>
      </w:r>
      <w:r>
        <w:rPr>
          <w:spacing w:val="-2"/>
        </w:rPr>
        <w:t xml:space="preserve"> </w:t>
      </w:r>
      <w:r>
        <w:t>artículo</w:t>
      </w:r>
      <w:r>
        <w:rPr>
          <w:spacing w:val="-2"/>
        </w:rPr>
        <w:t xml:space="preserve"> </w:t>
      </w:r>
      <w:r>
        <w:t>único</w:t>
      </w:r>
      <w:r>
        <w:rPr>
          <w:spacing w:val="-2"/>
        </w:rPr>
        <w:t xml:space="preserve"> </w:t>
      </w:r>
      <w:r>
        <w:t>en</w:t>
      </w:r>
      <w:r>
        <w:rPr>
          <w:spacing w:val="-2"/>
        </w:rPr>
        <w:t xml:space="preserve"> </w:t>
      </w:r>
      <w:r>
        <w:t>un</w:t>
      </w:r>
      <w:r>
        <w:rPr>
          <w:spacing w:val="-2"/>
        </w:rPr>
        <w:t xml:space="preserve"> </w:t>
      </w:r>
      <w:r>
        <w:t>plazo</w:t>
      </w:r>
      <w:r>
        <w:rPr>
          <w:spacing w:val="-2"/>
        </w:rPr>
        <w:t xml:space="preserve"> </w:t>
      </w:r>
      <w:r>
        <w:t>no</w:t>
      </w:r>
      <w:r>
        <w:rPr>
          <w:spacing w:val="-2"/>
        </w:rPr>
        <w:t xml:space="preserve"> </w:t>
      </w:r>
      <w:r>
        <w:t>mayor</w:t>
      </w:r>
      <w:r>
        <w:rPr>
          <w:spacing w:val="-2"/>
        </w:rPr>
        <w:t xml:space="preserve"> </w:t>
      </w:r>
      <w:r>
        <w:t>a</w:t>
      </w:r>
      <w:r>
        <w:rPr>
          <w:spacing w:val="-2"/>
        </w:rPr>
        <w:t xml:space="preserve"> </w:t>
      </w:r>
      <w:r>
        <w:t>treinta días desde la publicación de la presente ley, aplicándose los descuentos que correspondan por los pagos ya realizados a los usuarios.</w:t>
      </w:r>
    </w:p>
    <w:p w:rsidR="00060DB3" w:rsidRDefault="00060DB3">
      <w:pPr>
        <w:pStyle w:val="Textoindependiente"/>
        <w:rPr>
          <w:sz w:val="20"/>
        </w:rPr>
      </w:pPr>
    </w:p>
    <w:p w:rsidR="00060DB3" w:rsidRDefault="00060DB3">
      <w:pPr>
        <w:pStyle w:val="Textoindependiente"/>
        <w:rPr>
          <w:sz w:val="20"/>
        </w:rPr>
      </w:pPr>
    </w:p>
    <w:p w:rsidR="00060DB3" w:rsidRDefault="00060DB3">
      <w:pPr>
        <w:pStyle w:val="Textoindependiente"/>
        <w:rPr>
          <w:sz w:val="20"/>
        </w:rPr>
      </w:pPr>
    </w:p>
    <w:p w:rsidR="00060DB3" w:rsidRDefault="00060DB3">
      <w:pPr>
        <w:pStyle w:val="Textoindependiente"/>
        <w:rPr>
          <w:sz w:val="20"/>
        </w:rPr>
      </w:pPr>
    </w:p>
    <w:p w:rsidR="00060DB3" w:rsidRDefault="00060DB3">
      <w:pPr>
        <w:pStyle w:val="Textoindependiente"/>
        <w:rPr>
          <w:sz w:val="20"/>
        </w:rPr>
      </w:pPr>
    </w:p>
    <w:p w:rsidR="00060DB3" w:rsidRDefault="00060DB3">
      <w:pPr>
        <w:pStyle w:val="Textoindependiente"/>
        <w:rPr>
          <w:sz w:val="20"/>
        </w:rPr>
      </w:pPr>
    </w:p>
    <w:p w:rsidR="00060DB3" w:rsidRDefault="00060DB3">
      <w:pPr>
        <w:pStyle w:val="Textoindependiente"/>
        <w:spacing w:before="117"/>
        <w:rPr>
          <w:sz w:val="20"/>
        </w:rPr>
      </w:pPr>
    </w:p>
    <w:p w:rsidR="00060DB3" w:rsidRDefault="00060DB3">
      <w:pPr>
        <w:rPr>
          <w:sz w:val="20"/>
        </w:rPr>
        <w:sectPr w:rsidR="00060DB3">
          <w:pgSz w:w="12240" w:h="15840"/>
          <w:pgMar w:top="2260" w:right="1600" w:bottom="280" w:left="1580" w:header="786" w:footer="0" w:gutter="0"/>
          <w:cols w:space="720"/>
        </w:sectPr>
      </w:pPr>
    </w:p>
    <w:p w:rsidR="00060DB3" w:rsidRDefault="00000000">
      <w:pPr>
        <w:pStyle w:val="Ttulo1"/>
        <w:spacing w:before="99" w:line="351" w:lineRule="exact"/>
        <w:ind w:left="902"/>
      </w:pPr>
      <w:r>
        <w:t>JOANNA</w:t>
      </w:r>
      <w:r>
        <w:rPr>
          <w:spacing w:val="-10"/>
        </w:rPr>
        <w:t xml:space="preserve"> </w:t>
      </w:r>
      <w:r>
        <w:t>PÉREZ</w:t>
      </w:r>
      <w:r>
        <w:rPr>
          <w:spacing w:val="-10"/>
        </w:rPr>
        <w:t xml:space="preserve"> </w:t>
      </w:r>
      <w:r>
        <w:rPr>
          <w:spacing w:val="-4"/>
        </w:rPr>
        <w:t>OLEA</w:t>
      </w:r>
    </w:p>
    <w:p w:rsidR="00060DB3" w:rsidRDefault="00000000">
      <w:pPr>
        <w:pStyle w:val="Textoindependiente"/>
        <w:ind w:left="863"/>
      </w:pPr>
      <w:r>
        <w:t>Diputada</w:t>
      </w:r>
      <w:r>
        <w:rPr>
          <w:spacing w:val="-6"/>
        </w:rPr>
        <w:t xml:space="preserve"> </w:t>
      </w:r>
      <w:r>
        <w:t>de</w:t>
      </w:r>
      <w:r>
        <w:rPr>
          <w:spacing w:val="-5"/>
        </w:rPr>
        <w:t xml:space="preserve"> </w:t>
      </w:r>
      <w:r>
        <w:t>la</w:t>
      </w:r>
      <w:r>
        <w:rPr>
          <w:spacing w:val="-5"/>
        </w:rPr>
        <w:t xml:space="preserve"> </w:t>
      </w:r>
      <w:r>
        <w:rPr>
          <w:spacing w:val="-2"/>
        </w:rPr>
        <w:t>República</w:t>
      </w:r>
    </w:p>
    <w:p w:rsidR="00060DB3" w:rsidRDefault="00000000">
      <w:pPr>
        <w:pStyle w:val="Ttulo1"/>
        <w:spacing w:before="99" w:line="351" w:lineRule="exact"/>
        <w:ind w:left="366"/>
        <w:jc w:val="center"/>
      </w:pPr>
      <w:r>
        <w:rPr>
          <w:b w:val="0"/>
        </w:rPr>
        <w:br w:type="column"/>
      </w:r>
      <w:r>
        <w:t>JORGE</w:t>
      </w:r>
      <w:r>
        <w:rPr>
          <w:spacing w:val="-11"/>
        </w:rPr>
        <w:t xml:space="preserve"> </w:t>
      </w:r>
      <w:r>
        <w:t>SAFFIRIO</w:t>
      </w:r>
      <w:r>
        <w:rPr>
          <w:spacing w:val="-11"/>
        </w:rPr>
        <w:t xml:space="preserve"> </w:t>
      </w:r>
      <w:r>
        <w:rPr>
          <w:spacing w:val="-2"/>
        </w:rPr>
        <w:t>ESPINOZA</w:t>
      </w:r>
    </w:p>
    <w:p w:rsidR="00060DB3" w:rsidRDefault="00000000">
      <w:pPr>
        <w:pStyle w:val="Textoindependiente"/>
        <w:ind w:left="367"/>
        <w:jc w:val="center"/>
      </w:pPr>
      <w:r>
        <w:t>Diputado</w:t>
      </w:r>
      <w:r>
        <w:rPr>
          <w:spacing w:val="-6"/>
        </w:rPr>
        <w:t xml:space="preserve"> </w:t>
      </w:r>
      <w:r>
        <w:t>de</w:t>
      </w:r>
      <w:r>
        <w:rPr>
          <w:spacing w:val="-5"/>
        </w:rPr>
        <w:t xml:space="preserve"> </w:t>
      </w:r>
      <w:r>
        <w:t>la</w:t>
      </w:r>
      <w:r>
        <w:rPr>
          <w:spacing w:val="-5"/>
        </w:rPr>
        <w:t xml:space="preserve"> </w:t>
      </w:r>
      <w:r>
        <w:rPr>
          <w:spacing w:val="-2"/>
        </w:rPr>
        <w:t>República</w:t>
      </w:r>
    </w:p>
    <w:sectPr w:rsidR="00060DB3">
      <w:type w:val="continuous"/>
      <w:pgSz w:w="12240" w:h="15840"/>
      <w:pgMar w:top="2260" w:right="1600" w:bottom="280" w:left="1580" w:header="786" w:footer="0" w:gutter="0"/>
      <w:cols w:num="2" w:space="720" w:equalWidth="0">
        <w:col w:w="3833" w:space="218"/>
        <w:col w:w="500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C1F17" w:rsidRDefault="005C1F17">
      <w:r>
        <w:separator/>
      </w:r>
    </w:p>
  </w:endnote>
  <w:endnote w:type="continuationSeparator" w:id="0">
    <w:p w:rsidR="005C1F17" w:rsidRDefault="005C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C1F17" w:rsidRDefault="005C1F17">
      <w:r>
        <w:separator/>
      </w:r>
    </w:p>
  </w:footnote>
  <w:footnote w:type="continuationSeparator" w:id="0">
    <w:p w:rsidR="005C1F17" w:rsidRDefault="005C1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60DB3" w:rsidRDefault="00000000">
    <w:pPr>
      <w:pStyle w:val="Textoindependiente"/>
      <w:spacing w:line="14" w:lineRule="auto"/>
      <w:rPr>
        <w:sz w:val="20"/>
      </w:rPr>
    </w:pPr>
    <w:r>
      <w:rPr>
        <w:noProof/>
      </w:rPr>
      <w:drawing>
        <wp:anchor distT="0" distB="0" distL="0" distR="0" simplePos="0" relativeHeight="487539200" behindDoc="1" locked="0" layoutInCell="1" allowOverlap="1">
          <wp:simplePos x="0" y="0"/>
          <wp:positionH relativeFrom="page">
            <wp:posOffset>3401476</wp:posOffset>
          </wp:positionH>
          <wp:positionV relativeFrom="page">
            <wp:posOffset>499334</wp:posOffset>
          </wp:positionV>
          <wp:extent cx="971159" cy="94083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71159" cy="94083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E68FD"/>
    <w:multiLevelType w:val="hybridMultilevel"/>
    <w:tmpl w:val="D9701D76"/>
    <w:lvl w:ilvl="0" w:tplc="A6A0EDAC">
      <w:start w:val="1"/>
      <w:numFmt w:val="lowerLetter"/>
      <w:lvlText w:val="%1."/>
      <w:lvlJc w:val="left"/>
      <w:pPr>
        <w:ind w:left="839" w:hanging="360"/>
        <w:jc w:val="left"/>
      </w:pPr>
      <w:rPr>
        <w:rFonts w:ascii="Palatino Linotype" w:eastAsia="Palatino Linotype" w:hAnsi="Palatino Linotype" w:cs="Palatino Linotype" w:hint="default"/>
        <w:b w:val="0"/>
        <w:bCs w:val="0"/>
        <w:i w:val="0"/>
        <w:iCs w:val="0"/>
        <w:spacing w:val="0"/>
        <w:w w:val="99"/>
        <w:sz w:val="26"/>
        <w:szCs w:val="26"/>
        <w:lang w:val="es-ES" w:eastAsia="en-US" w:bidi="ar-SA"/>
      </w:rPr>
    </w:lvl>
    <w:lvl w:ilvl="1" w:tplc="5D86640C">
      <w:numFmt w:val="bullet"/>
      <w:lvlText w:val="•"/>
      <w:lvlJc w:val="left"/>
      <w:pPr>
        <w:ind w:left="1662" w:hanging="360"/>
      </w:pPr>
      <w:rPr>
        <w:rFonts w:hint="default"/>
        <w:lang w:val="es-ES" w:eastAsia="en-US" w:bidi="ar-SA"/>
      </w:rPr>
    </w:lvl>
    <w:lvl w:ilvl="2" w:tplc="BD74AE2E">
      <w:numFmt w:val="bullet"/>
      <w:lvlText w:val="•"/>
      <w:lvlJc w:val="left"/>
      <w:pPr>
        <w:ind w:left="2484" w:hanging="360"/>
      </w:pPr>
      <w:rPr>
        <w:rFonts w:hint="default"/>
        <w:lang w:val="es-ES" w:eastAsia="en-US" w:bidi="ar-SA"/>
      </w:rPr>
    </w:lvl>
    <w:lvl w:ilvl="3" w:tplc="9CD41088">
      <w:numFmt w:val="bullet"/>
      <w:lvlText w:val="•"/>
      <w:lvlJc w:val="left"/>
      <w:pPr>
        <w:ind w:left="3306" w:hanging="360"/>
      </w:pPr>
      <w:rPr>
        <w:rFonts w:hint="default"/>
        <w:lang w:val="es-ES" w:eastAsia="en-US" w:bidi="ar-SA"/>
      </w:rPr>
    </w:lvl>
    <w:lvl w:ilvl="4" w:tplc="9BD49D0C">
      <w:numFmt w:val="bullet"/>
      <w:lvlText w:val="•"/>
      <w:lvlJc w:val="left"/>
      <w:pPr>
        <w:ind w:left="4128" w:hanging="360"/>
      </w:pPr>
      <w:rPr>
        <w:rFonts w:hint="default"/>
        <w:lang w:val="es-ES" w:eastAsia="en-US" w:bidi="ar-SA"/>
      </w:rPr>
    </w:lvl>
    <w:lvl w:ilvl="5" w:tplc="4F18C6F2">
      <w:numFmt w:val="bullet"/>
      <w:lvlText w:val="•"/>
      <w:lvlJc w:val="left"/>
      <w:pPr>
        <w:ind w:left="4950" w:hanging="360"/>
      </w:pPr>
      <w:rPr>
        <w:rFonts w:hint="default"/>
        <w:lang w:val="es-ES" w:eastAsia="en-US" w:bidi="ar-SA"/>
      </w:rPr>
    </w:lvl>
    <w:lvl w:ilvl="6" w:tplc="B410634C">
      <w:numFmt w:val="bullet"/>
      <w:lvlText w:val="•"/>
      <w:lvlJc w:val="left"/>
      <w:pPr>
        <w:ind w:left="5772" w:hanging="360"/>
      </w:pPr>
      <w:rPr>
        <w:rFonts w:hint="default"/>
        <w:lang w:val="es-ES" w:eastAsia="en-US" w:bidi="ar-SA"/>
      </w:rPr>
    </w:lvl>
    <w:lvl w:ilvl="7" w:tplc="E9FCE8EA">
      <w:numFmt w:val="bullet"/>
      <w:lvlText w:val="•"/>
      <w:lvlJc w:val="left"/>
      <w:pPr>
        <w:ind w:left="6594" w:hanging="360"/>
      </w:pPr>
      <w:rPr>
        <w:rFonts w:hint="default"/>
        <w:lang w:val="es-ES" w:eastAsia="en-US" w:bidi="ar-SA"/>
      </w:rPr>
    </w:lvl>
    <w:lvl w:ilvl="8" w:tplc="F81AA1FE">
      <w:numFmt w:val="bullet"/>
      <w:lvlText w:val="•"/>
      <w:lvlJc w:val="left"/>
      <w:pPr>
        <w:ind w:left="7416" w:hanging="360"/>
      </w:pPr>
      <w:rPr>
        <w:rFonts w:hint="default"/>
        <w:lang w:val="es-ES" w:eastAsia="en-US" w:bidi="ar-SA"/>
      </w:rPr>
    </w:lvl>
  </w:abstractNum>
  <w:abstractNum w:abstractNumId="1" w15:restartNumberingAfterBreak="0">
    <w:nsid w:val="508713CB"/>
    <w:multiLevelType w:val="hybridMultilevel"/>
    <w:tmpl w:val="043E13A2"/>
    <w:lvl w:ilvl="0" w:tplc="A236A35E">
      <w:start w:val="1"/>
      <w:numFmt w:val="decimal"/>
      <w:lvlText w:val="%1."/>
      <w:lvlJc w:val="left"/>
      <w:pPr>
        <w:ind w:left="839" w:hanging="360"/>
        <w:jc w:val="left"/>
      </w:pPr>
      <w:rPr>
        <w:rFonts w:ascii="Palatino Linotype" w:eastAsia="Palatino Linotype" w:hAnsi="Palatino Linotype" w:cs="Palatino Linotype" w:hint="default"/>
        <w:b/>
        <w:bCs/>
        <w:i w:val="0"/>
        <w:iCs w:val="0"/>
        <w:spacing w:val="0"/>
        <w:w w:val="99"/>
        <w:sz w:val="26"/>
        <w:szCs w:val="26"/>
        <w:lang w:val="es-ES" w:eastAsia="en-US" w:bidi="ar-SA"/>
      </w:rPr>
    </w:lvl>
    <w:lvl w:ilvl="1" w:tplc="F396760C">
      <w:numFmt w:val="bullet"/>
      <w:lvlText w:val="•"/>
      <w:lvlJc w:val="left"/>
      <w:pPr>
        <w:ind w:left="1662" w:hanging="360"/>
      </w:pPr>
      <w:rPr>
        <w:rFonts w:hint="default"/>
        <w:lang w:val="es-ES" w:eastAsia="en-US" w:bidi="ar-SA"/>
      </w:rPr>
    </w:lvl>
    <w:lvl w:ilvl="2" w:tplc="3184E454">
      <w:numFmt w:val="bullet"/>
      <w:lvlText w:val="•"/>
      <w:lvlJc w:val="left"/>
      <w:pPr>
        <w:ind w:left="2484" w:hanging="360"/>
      </w:pPr>
      <w:rPr>
        <w:rFonts w:hint="default"/>
        <w:lang w:val="es-ES" w:eastAsia="en-US" w:bidi="ar-SA"/>
      </w:rPr>
    </w:lvl>
    <w:lvl w:ilvl="3" w:tplc="2DFEC2DE">
      <w:numFmt w:val="bullet"/>
      <w:lvlText w:val="•"/>
      <w:lvlJc w:val="left"/>
      <w:pPr>
        <w:ind w:left="3306" w:hanging="360"/>
      </w:pPr>
      <w:rPr>
        <w:rFonts w:hint="default"/>
        <w:lang w:val="es-ES" w:eastAsia="en-US" w:bidi="ar-SA"/>
      </w:rPr>
    </w:lvl>
    <w:lvl w:ilvl="4" w:tplc="3DE4D83C">
      <w:numFmt w:val="bullet"/>
      <w:lvlText w:val="•"/>
      <w:lvlJc w:val="left"/>
      <w:pPr>
        <w:ind w:left="4128" w:hanging="360"/>
      </w:pPr>
      <w:rPr>
        <w:rFonts w:hint="default"/>
        <w:lang w:val="es-ES" w:eastAsia="en-US" w:bidi="ar-SA"/>
      </w:rPr>
    </w:lvl>
    <w:lvl w:ilvl="5" w:tplc="F566E484">
      <w:numFmt w:val="bullet"/>
      <w:lvlText w:val="•"/>
      <w:lvlJc w:val="left"/>
      <w:pPr>
        <w:ind w:left="4950" w:hanging="360"/>
      </w:pPr>
      <w:rPr>
        <w:rFonts w:hint="default"/>
        <w:lang w:val="es-ES" w:eastAsia="en-US" w:bidi="ar-SA"/>
      </w:rPr>
    </w:lvl>
    <w:lvl w:ilvl="6" w:tplc="5D6EBBA6">
      <w:numFmt w:val="bullet"/>
      <w:lvlText w:val="•"/>
      <w:lvlJc w:val="left"/>
      <w:pPr>
        <w:ind w:left="5772" w:hanging="360"/>
      </w:pPr>
      <w:rPr>
        <w:rFonts w:hint="default"/>
        <w:lang w:val="es-ES" w:eastAsia="en-US" w:bidi="ar-SA"/>
      </w:rPr>
    </w:lvl>
    <w:lvl w:ilvl="7" w:tplc="71181FDE">
      <w:numFmt w:val="bullet"/>
      <w:lvlText w:val="•"/>
      <w:lvlJc w:val="left"/>
      <w:pPr>
        <w:ind w:left="6594" w:hanging="360"/>
      </w:pPr>
      <w:rPr>
        <w:rFonts w:hint="default"/>
        <w:lang w:val="es-ES" w:eastAsia="en-US" w:bidi="ar-SA"/>
      </w:rPr>
    </w:lvl>
    <w:lvl w:ilvl="8" w:tplc="1130C002">
      <w:numFmt w:val="bullet"/>
      <w:lvlText w:val="•"/>
      <w:lvlJc w:val="left"/>
      <w:pPr>
        <w:ind w:left="7416" w:hanging="360"/>
      </w:pPr>
      <w:rPr>
        <w:rFonts w:hint="default"/>
        <w:lang w:val="es-ES" w:eastAsia="en-US" w:bidi="ar-SA"/>
      </w:rPr>
    </w:lvl>
  </w:abstractNum>
  <w:num w:numId="1" w16cid:durableId="921571931">
    <w:abstractNumId w:val="1"/>
  </w:num>
  <w:num w:numId="2" w16cid:durableId="1499466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DB3"/>
    <w:rsid w:val="00060DB3"/>
    <w:rsid w:val="005C1F17"/>
    <w:rsid w:val="00BA2CEC"/>
    <w:rsid w:val="00BD168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CD6DCF-F4B3-4A94-AC74-082D7F20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ind w:left="119"/>
      <w:outlineLvl w:val="0"/>
    </w:pPr>
    <w:rPr>
      <w:b/>
      <w:bCs/>
      <w:sz w:val="26"/>
      <w:szCs w:val="26"/>
    </w:rPr>
  </w:style>
  <w:style w:type="paragraph" w:styleId="Ttulo2">
    <w:name w:val="heading 2"/>
    <w:basedOn w:val="Normal"/>
    <w:uiPriority w:val="9"/>
    <w:unhideWhenUsed/>
    <w:qFormat/>
    <w:pPr>
      <w:ind w:left="838" w:hanging="359"/>
      <w:outlineLvl w:val="1"/>
    </w:pPr>
    <w:rPr>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6"/>
      <w:szCs w:val="26"/>
    </w:rPr>
  </w:style>
  <w:style w:type="paragraph" w:styleId="Prrafodelista">
    <w:name w:val="List Paragraph"/>
    <w:basedOn w:val="Normal"/>
    <w:uiPriority w:val="1"/>
    <w:qFormat/>
    <w:pPr>
      <w:ind w:left="83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4978</Characters>
  <Application>Microsoft Office Word</Application>
  <DocSecurity>0</DocSecurity>
  <Lines>41</Lines>
  <Paragraphs>11</Paragraphs>
  <ScaleCrop>false</ScaleCrop>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2024-12-03T21:28:00Z</dcterms:created>
  <dcterms:modified xsi:type="dcterms:W3CDTF">2024-12-04T16:44:00Z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2024-12-03T00:00:00Z</vt:filetime>
  </property>
  <property fmtid="{D5CDD505-2E9C-101B-9397-08002B2CF9AE}" pid="3" name="LastSaved">
    <vt:filetime>2024-12-03T00:00:00Z</vt:filetime>
  </property>
  <property fmtid="{D5CDD505-2E9C-101B-9397-08002B2CF9AE}" pid="4" name="Producer">
    <vt:lpwstr>macOS Versión 15.1.1 (Compilación 24B91) Quartz PDFContext</vt:lpwstr>
  </property>
</Properties>
</file>