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DE4" w:rsidRDefault="00000000">
      <w:pPr>
        <w:pStyle w:val="Textoindependiente"/>
        <w:ind w:left="385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79048" cy="9464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048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DE4" w:rsidRDefault="006D2DE4">
      <w:pPr>
        <w:pStyle w:val="Textoindependiente"/>
      </w:pPr>
    </w:p>
    <w:p w:rsidR="006D2DE4" w:rsidRDefault="006D2DE4">
      <w:pPr>
        <w:pStyle w:val="Textoindependiente"/>
        <w:spacing w:before="244"/>
      </w:pPr>
    </w:p>
    <w:p w:rsidR="006D2DE4" w:rsidRDefault="00000000">
      <w:pPr>
        <w:pStyle w:val="Ttulo1"/>
        <w:spacing w:line="259" w:lineRule="auto"/>
        <w:ind w:left="95" w:right="108"/>
      </w:pPr>
      <w:r>
        <w:t>PROYECTO DE LEY QUE MODIFICA</w:t>
      </w:r>
      <w:r>
        <w:rPr>
          <w:spacing w:val="40"/>
        </w:rPr>
        <w:t xml:space="preserve"> </w:t>
      </w:r>
      <w:r>
        <w:t>EL DECRETO CON FUERZA DE LEY Nº 2, DE 2017,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PRESIDENCIA,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FIJA</w:t>
      </w:r>
      <w:r>
        <w:rPr>
          <w:spacing w:val="-4"/>
        </w:rPr>
        <w:t xml:space="preserve"> </w:t>
      </w:r>
      <w:r>
        <w:t>EL TEXTO REFUNDIDO, COORDINADO Y SISTEMATIZADO DE LA LEY Nº 18.700, ORGÁNICA</w:t>
      </w:r>
      <w:r>
        <w:rPr>
          <w:spacing w:val="-11"/>
        </w:rPr>
        <w:t xml:space="preserve"> </w:t>
      </w:r>
      <w:r>
        <w:t>CONSTITUCIONAL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VOTACIONES</w:t>
      </w:r>
      <w:r>
        <w:rPr>
          <w:spacing w:val="-11"/>
        </w:rPr>
        <w:t xml:space="preserve"> </w:t>
      </w:r>
      <w:r>
        <w:t>POPULARES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ESCRUTINIOS, PARA</w:t>
      </w:r>
      <w:r>
        <w:rPr>
          <w:spacing w:val="-6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MILITANCIA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PATROCINIO</w:t>
      </w:r>
      <w:r>
        <w:rPr>
          <w:spacing w:val="-6"/>
        </w:rPr>
        <w:t xml:space="preserve"> </w:t>
      </w:r>
      <w:r>
        <w:t>DEL PARTIDO POLÍTICO O PACTO ELECTORAL EN PROPAGANDA ELECTORAL Y EN LAS CÉDULAS DEL SUFRAGIO.</w:t>
      </w:r>
    </w:p>
    <w:p w:rsidR="006D2DE4" w:rsidRDefault="006D2DE4">
      <w:pPr>
        <w:pStyle w:val="Textoindependiente"/>
        <w:rPr>
          <w:b/>
        </w:rPr>
      </w:pPr>
    </w:p>
    <w:p w:rsidR="006D2DE4" w:rsidRDefault="006D2DE4">
      <w:pPr>
        <w:pStyle w:val="Textoindependiente"/>
        <w:spacing w:before="85"/>
        <w:rPr>
          <w:b/>
        </w:rPr>
      </w:pPr>
    </w:p>
    <w:p w:rsidR="006D2DE4" w:rsidRDefault="00000000">
      <w:pPr>
        <w:pStyle w:val="Prrafodelista"/>
        <w:numPr>
          <w:ilvl w:val="0"/>
          <w:numId w:val="2"/>
        </w:numPr>
        <w:tabs>
          <w:tab w:val="left" w:pos="819"/>
        </w:tabs>
        <w:ind w:left="819" w:hanging="359"/>
        <w:rPr>
          <w:b/>
        </w:rPr>
      </w:pPr>
      <w:r>
        <w:rPr>
          <w:b/>
          <w:spacing w:val="-2"/>
        </w:rPr>
        <w:t>FUNDAMENTOS</w:t>
      </w:r>
    </w:p>
    <w:p w:rsidR="006D2DE4" w:rsidRDefault="00000000">
      <w:pPr>
        <w:pStyle w:val="Textoindependiente"/>
        <w:spacing w:before="180" w:line="259" w:lineRule="auto"/>
        <w:ind w:left="100" w:right="120"/>
        <w:jc w:val="both"/>
      </w:pPr>
      <w:r>
        <w:t>Las elecciones de alcaldías, concejalías, consejos y gobiernos regionales del pasado 26 y 27 de</w:t>
      </w:r>
      <w:r>
        <w:rPr>
          <w:spacing w:val="40"/>
        </w:rPr>
        <w:t xml:space="preserve"> </w:t>
      </w:r>
      <w:r>
        <w:t>octubre en Chile dejaron para el análisis una cifra importante relativa a la supuesta independencia política de cada vez más candidaturas. Del total de candidaturas nacionales, el 54% se declararon como candidaturas independientes, sin embargo un 92% de ellas, cuentan con el patrocinio de un partido político o pacto electoral.</w:t>
      </w:r>
    </w:p>
    <w:p w:rsidR="006D2DE4" w:rsidRDefault="00000000">
      <w:pPr>
        <w:pStyle w:val="Textoindependiente"/>
        <w:spacing w:before="159" w:line="259" w:lineRule="auto"/>
        <w:ind w:left="100" w:right="121"/>
        <w:jc w:val="both"/>
      </w:pPr>
      <w:r>
        <w:t>A este fenómeno se suma la decisión cada vez más frecuente de omitir la afiliación política de la propaganda masiva de las y los candidatos, dificultando la identificación política de las candidaturas.</w:t>
      </w:r>
    </w:p>
    <w:p w:rsidR="006D2DE4" w:rsidRDefault="00000000">
      <w:pPr>
        <w:pStyle w:val="Textoindependiente"/>
        <w:spacing w:before="160" w:line="259" w:lineRule="auto"/>
        <w:ind w:left="100" w:right="113"/>
        <w:jc w:val="both"/>
      </w:pPr>
      <w:r>
        <w:t>El escenario político actual se caracteriza por una crisis de representatividad y de confianza en las instituciones políticas</w:t>
      </w:r>
      <w:r>
        <w:rPr>
          <w:vertAlign w:val="superscript"/>
        </w:rPr>
        <w:t>1</w:t>
      </w:r>
      <w:r>
        <w:t>, donde los partidos políticos, por ejemplo, cuentan con solo un 14% de aprobación por parte de la ciudadanía, teniendo por</w:t>
      </w:r>
      <w:r>
        <w:rPr>
          <w:spacing w:val="-3"/>
        </w:rPr>
        <w:t xml:space="preserve"> </w:t>
      </w:r>
      <w:r>
        <w:t>consecuencia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opacidad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afiliaciones políticas y promoción del discolaje, incluso por los partidos políticos.</w:t>
      </w:r>
    </w:p>
    <w:p w:rsidR="006D2DE4" w:rsidRDefault="00000000">
      <w:pPr>
        <w:pStyle w:val="Textoindependiente"/>
        <w:spacing w:before="159" w:line="259" w:lineRule="auto"/>
        <w:ind w:left="100" w:right="113"/>
        <w:jc w:val="both"/>
      </w:pPr>
      <w:r>
        <w:t>Un reciente artículo publicado en The Clinic</w:t>
      </w:r>
      <w:r>
        <w:rPr>
          <w:vertAlign w:val="superscript"/>
        </w:rPr>
        <w:t>2</w:t>
      </w:r>
      <w:r>
        <w:t xml:space="preserve"> profundiza sobre la importante</w:t>
      </w:r>
      <w:r>
        <w:rPr>
          <w:spacing w:val="-3"/>
        </w:rPr>
        <w:t xml:space="preserve"> </w:t>
      </w:r>
      <w:r>
        <w:t>laguna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 actual que permite a los partidos políticos o pactos electorales, desentenderse de sus candidaturas, a nivel de propaganda y en campañas electorales.</w:t>
      </w:r>
    </w:p>
    <w:p w:rsidR="006D2DE4" w:rsidRDefault="00000000">
      <w:pPr>
        <w:pStyle w:val="Textoindependiente"/>
        <w:spacing w:before="160" w:line="259" w:lineRule="auto"/>
        <w:ind w:left="100" w:right="118"/>
        <w:jc w:val="both"/>
      </w:pPr>
      <w:r>
        <w:t>La nota periodística señala que la ley solo establece las dimensiones de la propaganda electoral en espacios públicos y privados, pero no regula el contenido de la misma, permitiendo que las candidaturas omitan su afiliación partidaria. Como hemos señalado, esta omisión no solo</w:t>
      </w:r>
      <w:r>
        <w:rPr>
          <w:spacing w:val="-3"/>
        </w:rPr>
        <w:t xml:space="preserve"> </w:t>
      </w:r>
      <w:r>
        <w:t>perpetúa</w:t>
      </w:r>
      <w:r>
        <w:rPr>
          <w:spacing w:val="-3"/>
        </w:rPr>
        <w:t xml:space="preserve"> </w:t>
      </w:r>
      <w:r>
        <w:t>la crisis de confianza en las instituciones políticas, sino que también engaña a los votantes sobre la verdadera naturaleza de las candidaturas.</w:t>
      </w:r>
    </w:p>
    <w:p w:rsidR="006D2DE4" w:rsidRDefault="00000000">
      <w:pPr>
        <w:pStyle w:val="Textoindependiente"/>
        <w:spacing w:before="158" w:line="259" w:lineRule="auto"/>
        <w:ind w:left="100" w:right="119"/>
        <w:jc w:val="both"/>
      </w:pPr>
      <w:r>
        <w:t>Por ello, la figura de la</w:t>
      </w:r>
      <w:r>
        <w:rPr>
          <w:spacing w:val="-3"/>
        </w:rPr>
        <w:t xml:space="preserve"> </w:t>
      </w:r>
      <w:r>
        <w:t>independencia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patrocinio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partido</w:t>
      </w:r>
      <w:r>
        <w:rPr>
          <w:spacing w:val="-3"/>
        </w:rPr>
        <w:t xml:space="preserve"> </w:t>
      </w:r>
      <w:r>
        <w:t>político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pacto podría interpretarse como una táctica de manipulación política por parte de los partidos o pactos, especialmente en un contexto donde la aprobación de los partidos políticos es crítica. Al evitar asociarse visiblemente 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partido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pacto,</w:t>
      </w:r>
      <w:r>
        <w:rPr>
          <w:spacing w:val="-3"/>
        </w:rPr>
        <w:t xml:space="preserve"> </w:t>
      </w:r>
      <w:r>
        <w:t>algunas</w:t>
      </w:r>
      <w:r>
        <w:rPr>
          <w:spacing w:val="-3"/>
        </w:rPr>
        <w:t xml:space="preserve"> </w:t>
      </w:r>
      <w:r>
        <w:t>candidaturas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categoría</w:t>
      </w:r>
    </w:p>
    <w:p w:rsidR="006D2DE4" w:rsidRDefault="00000000">
      <w:pPr>
        <w:pStyle w:val="Textoindependiente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189951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F1A3A" id="Graphic 2" o:spid="_x0000_s1026" style="position:absolute;margin-left:1in;margin-top:14.9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FT6&#10;fh7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D2DE4" w:rsidRDefault="00000000">
      <w:pPr>
        <w:spacing w:before="103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sentido,</w:t>
      </w:r>
      <w:r>
        <w:rPr>
          <w:spacing w:val="-5"/>
          <w:sz w:val="20"/>
        </w:rPr>
        <w:t xml:space="preserve"> </w:t>
      </w:r>
      <w:r>
        <w:rPr>
          <w:sz w:val="20"/>
        </w:rPr>
        <w:t>Véase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Encuesta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Cadem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N°562,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tercera</w:t>
      </w:r>
      <w:r>
        <w:rPr>
          <w:spacing w:val="-5"/>
          <w:sz w:val="20"/>
        </w:rPr>
        <w:t xml:space="preserve"> </w:t>
      </w:r>
      <w:r>
        <w:rPr>
          <w:sz w:val="20"/>
        </w:rPr>
        <w:t>semana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octubre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2024.</w:t>
      </w:r>
    </w:p>
    <w:p w:rsidR="006D2DE4" w:rsidRDefault="00000000">
      <w:pPr>
        <w:ind w:left="1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Nota</w:t>
      </w:r>
      <w:r>
        <w:rPr>
          <w:spacing w:val="-6"/>
          <w:sz w:val="20"/>
        </w:rPr>
        <w:t xml:space="preserve"> </w:t>
      </w:r>
      <w:r>
        <w:rPr>
          <w:sz w:val="20"/>
        </w:rPr>
        <w:t>completa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en:</w:t>
      </w:r>
    </w:p>
    <w:p w:rsidR="006D2DE4" w:rsidRDefault="00000000">
      <w:pPr>
        <w:ind w:left="100" w:right="136"/>
        <w:rPr>
          <w:sz w:val="20"/>
        </w:rPr>
      </w:pPr>
      <w:r>
        <w:rPr>
          <w:spacing w:val="-2"/>
          <w:sz w:val="20"/>
        </w:rPr>
        <w:t>https://</w:t>
      </w:r>
      <w:hyperlink r:id="rId6">
        <w:r>
          <w:rPr>
            <w:spacing w:val="-2"/>
            <w:sz w:val="20"/>
          </w:rPr>
          <w:t>www.theclinic.cl/2024/10/16/es-de-derecha-o-de-izquierda-el-vacio-legal-que-permite-a-los-candidatos-e</w:t>
        </w:r>
      </w:hyperlink>
      <w:r>
        <w:rPr>
          <w:spacing w:val="-2"/>
          <w:sz w:val="20"/>
        </w:rPr>
        <w:t xml:space="preserve"> sconder-sus-partidos-y-pactos-politicos-en-sus-propagandas/?utm_campaign=linkinbio&amp;utm_medium=referral &amp;utm_source=later-linkinbio</w:t>
      </w:r>
    </w:p>
    <w:p w:rsidR="006D2DE4" w:rsidRDefault="006D2DE4">
      <w:pPr>
        <w:rPr>
          <w:sz w:val="20"/>
        </w:rPr>
        <w:sectPr w:rsidR="006D2DE4">
          <w:type w:val="continuous"/>
          <w:pgSz w:w="11920" w:h="16840"/>
          <w:pgMar w:top="1580" w:right="1340" w:bottom="280" w:left="1340" w:header="720" w:footer="720" w:gutter="0"/>
          <w:cols w:space="720"/>
        </w:sectPr>
      </w:pPr>
    </w:p>
    <w:p w:rsidR="006D2DE4" w:rsidRDefault="00000000">
      <w:pPr>
        <w:pStyle w:val="Textoindependiente"/>
        <w:spacing w:before="80" w:line="259" w:lineRule="auto"/>
        <w:ind w:left="100" w:right="113"/>
        <w:jc w:val="both"/>
      </w:pPr>
      <w:r>
        <w:lastRenderedPageBreak/>
        <w:t>de “independiente”, aprovechando la crisis de confianza en las instituciones políticas, a fines de marcar una distancia de las mismas, pese a estar, en la mayoría de los casos, utilizando un cupo entregado por un partido político y/o pacto,</w:t>
      </w:r>
      <w:r>
        <w:rPr>
          <w:spacing w:val="-3"/>
        </w:rPr>
        <w:t xml:space="preserve"> </w:t>
      </w:r>
      <w:r>
        <w:t>incluso</w:t>
      </w:r>
      <w:r>
        <w:rPr>
          <w:spacing w:val="-3"/>
        </w:rPr>
        <w:t xml:space="preserve"> </w:t>
      </w:r>
      <w:r>
        <w:t>representando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ideas. Así, se consideraría una ventaja rentable el desmarcarse de una imagen negativa vinculada a cierto sector político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presentarse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independiente,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propios,</w:t>
      </w:r>
      <w:r>
        <w:rPr>
          <w:spacing w:val="-3"/>
        </w:rPr>
        <w:t xml:space="preserve"> </w:t>
      </w:r>
      <w:r>
        <w:t>afectando</w:t>
      </w:r>
      <w:r>
        <w:rPr>
          <w:spacing w:val="-3"/>
        </w:rPr>
        <w:t xml:space="preserve"> </w:t>
      </w:r>
      <w:r>
        <w:t>la veracidad del proceso electoral y dificultando a los votantes tomar decisiones informadas.</w:t>
      </w:r>
    </w:p>
    <w:p w:rsidR="006D2DE4" w:rsidRDefault="00000000">
      <w:pPr>
        <w:pStyle w:val="Textoindependiente"/>
        <w:spacing w:before="158" w:line="259" w:lineRule="auto"/>
        <w:ind w:left="100" w:right="119"/>
        <w:jc w:val="both"/>
      </w:pPr>
      <w:r>
        <w:t>Es esta situación la que no se encuentra regulada en el DFL n°2, que fija el texto refundido, coordinado y sistematizado de la Ley nº18.700, orgánica constitucional sobre votaciones</w:t>
      </w:r>
      <w:r>
        <w:rPr>
          <w:spacing w:val="-4"/>
        </w:rPr>
        <w:t xml:space="preserve"> </w:t>
      </w:r>
      <w:r>
        <w:t>populares</w:t>
      </w:r>
      <w:r>
        <w:rPr>
          <w:spacing w:val="-4"/>
        </w:rPr>
        <w:t xml:space="preserve"> </w:t>
      </w:r>
      <w:r>
        <w:t>y escrutinios, que es la norma que regula nuestros procesos electorales. Existe un vacío legal que permite a la candidatura no transparentar, e incluso, ocultar, el partido</w:t>
      </w:r>
      <w:r>
        <w:rPr>
          <w:spacing w:val="-4"/>
        </w:rPr>
        <w:t xml:space="preserve"> </w:t>
      </w:r>
      <w:r>
        <w:t>político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pacto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entregó su cupo y patrocinio, con el fin de captar los votos de la ciudadanía, de reflejar, mantener y</w:t>
      </w:r>
      <w:r>
        <w:rPr>
          <w:spacing w:val="-3"/>
        </w:rPr>
        <w:t xml:space="preserve"> </w:t>
      </w:r>
      <w:r>
        <w:t>persistir</w:t>
      </w:r>
      <w:r>
        <w:rPr>
          <w:spacing w:val="40"/>
        </w:rPr>
        <w:t xml:space="preserve"> </w:t>
      </w:r>
      <w:r>
        <w:t>en la crisis de confianza</w:t>
      </w:r>
      <w:r>
        <w:rPr>
          <w:spacing w:val="40"/>
        </w:rPr>
        <w:t xml:space="preserve"> </w:t>
      </w:r>
      <w:r>
        <w:t>que existe en Chile.</w:t>
      </w:r>
    </w:p>
    <w:p w:rsidR="006D2DE4" w:rsidRDefault="00000000">
      <w:pPr>
        <w:pStyle w:val="Textoindependiente"/>
        <w:spacing w:before="159" w:line="259" w:lineRule="auto"/>
        <w:ind w:left="100" w:right="116"/>
        <w:jc w:val="both"/>
      </w:pPr>
      <w:r>
        <w:t>Del mismo modo, nuestra legislación permite a las candidaturas</w:t>
      </w:r>
      <w:r>
        <w:rPr>
          <w:spacing w:val="-3"/>
        </w:rPr>
        <w:t xml:space="preserve"> </w:t>
      </w:r>
      <w:r>
        <w:t>independientes,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cédulas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comicios, proponer un símbolo, logotipo o figura, lo cual en las últimas elecciones se prestó para el uso de imágenes de carente representación de la candidatura, del pacto o partido que lo patrocina, o que incluso pudo prestar a la ciudadanía a confusión o a inducción del voto.</w:t>
      </w:r>
    </w:p>
    <w:p w:rsidR="006D2DE4" w:rsidRDefault="00000000">
      <w:pPr>
        <w:pStyle w:val="Textoindependiente"/>
        <w:spacing w:before="159" w:line="259" w:lineRule="auto"/>
        <w:ind w:left="100" w:right="118"/>
        <w:jc w:val="both"/>
      </w:pPr>
      <w:r>
        <w:t>Es por todo lo anterior, que surge este deber, de legislar en pos de la transparencia, en pos de la ciudadanía y del fortalecimiento de la democracia representativa. Es menester identificar los vacíos legales que permiten el aprovechamiento del discolaje y de la falta de confianza en las instituciones.</w:t>
      </w:r>
    </w:p>
    <w:p w:rsidR="006D2DE4" w:rsidRDefault="00000000">
      <w:pPr>
        <w:pStyle w:val="Textoindependiente"/>
        <w:spacing w:before="160" w:line="259" w:lineRule="auto"/>
        <w:ind w:left="100" w:right="113"/>
        <w:jc w:val="both"/>
      </w:pPr>
      <w:r>
        <w:t>En este sentido,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modificar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propaganda audiovisual, visual y acústica,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imponer</w:t>
      </w:r>
      <w:r>
        <w:rPr>
          <w:spacing w:val="-3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militancia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partido político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pacto</w:t>
      </w:r>
      <w:r>
        <w:rPr>
          <w:spacing w:val="40"/>
        </w:rPr>
        <w:t xml:space="preserve"> </w:t>
      </w:r>
      <w:r>
        <w:t>electoral, o transparentar el patrocinio o cupo entregado por un partido político o pacto electoral, para que la ciudadanía pueda conocer de forma íntegra las ideas detrás de una candidatura en concreto.</w:t>
      </w:r>
    </w:p>
    <w:p w:rsidR="006D2DE4" w:rsidRDefault="00000000">
      <w:pPr>
        <w:pStyle w:val="Textoindependiente"/>
        <w:spacing w:before="159" w:line="259" w:lineRule="auto"/>
        <w:ind w:left="100" w:right="113"/>
        <w:jc w:val="both"/>
      </w:pPr>
      <w:r>
        <w:t>Así mismo, se propone regular el uso de las imágenes, símbolos, logotipos o figuras en la cédula electoral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comicios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correspondan,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facilitar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militancia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partido político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pacto</w:t>
      </w:r>
      <w:r>
        <w:rPr>
          <w:spacing w:val="40"/>
        </w:rPr>
        <w:t xml:space="preserve"> </w:t>
      </w:r>
      <w:r>
        <w:t>electoral, o transparentar el patrocinio o cupo entregado por un partido político o pacto electoral.</w:t>
      </w:r>
    </w:p>
    <w:p w:rsidR="006D2DE4" w:rsidRDefault="006D2DE4">
      <w:pPr>
        <w:pStyle w:val="Textoindependiente"/>
      </w:pPr>
    </w:p>
    <w:p w:rsidR="006D2DE4" w:rsidRDefault="006D2DE4">
      <w:pPr>
        <w:pStyle w:val="Textoindependiente"/>
        <w:spacing w:before="86"/>
      </w:pPr>
    </w:p>
    <w:p w:rsidR="006D2DE4" w:rsidRDefault="00000000">
      <w:pPr>
        <w:pStyle w:val="Ttulo1"/>
        <w:ind w:left="100"/>
        <w:jc w:val="both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6D2DE4" w:rsidRDefault="00000000">
      <w:pPr>
        <w:pStyle w:val="Textoindependiente"/>
        <w:spacing w:before="180" w:line="259" w:lineRule="auto"/>
        <w:ind w:left="100" w:right="120"/>
        <w:jc w:val="both"/>
      </w:pPr>
      <w:r>
        <w:t>El presente proyecto de ley impone a la propaganda electoral identificar la militancia a un partido político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pacto</w:t>
      </w:r>
      <w:r>
        <w:rPr>
          <w:spacing w:val="40"/>
        </w:rPr>
        <w:t xml:space="preserve"> </w:t>
      </w:r>
      <w:r>
        <w:t>electoral, o transparentar el patrocinio o cupo entregado por un partido político o pacto electoral, cuando corresponda a propaganda visual, audiovisual o acústica.</w:t>
      </w:r>
    </w:p>
    <w:p w:rsidR="006D2DE4" w:rsidRDefault="00000000">
      <w:pPr>
        <w:pStyle w:val="Textoindependiente"/>
        <w:spacing w:before="159" w:line="259" w:lineRule="auto"/>
        <w:ind w:left="100" w:right="112"/>
        <w:jc w:val="both"/>
      </w:pPr>
      <w:r>
        <w:t>Del mismo modo, regula el uso de los símbolos, logotipos o figuras en las cédulas electorales, limitando su uso al relativo a transparentar la militancia a un partido político o pacto electoral, o transparentar el patrocinio o cupo entregado por un partido político o pacto electoral</w:t>
      </w:r>
    </w:p>
    <w:p w:rsidR="006D2DE4" w:rsidRDefault="006D2DE4">
      <w:pPr>
        <w:spacing w:line="259" w:lineRule="auto"/>
        <w:jc w:val="both"/>
        <w:sectPr w:rsidR="006D2DE4">
          <w:pgSz w:w="11920" w:h="16840"/>
          <w:pgMar w:top="1360" w:right="1340" w:bottom="280" w:left="1340" w:header="720" w:footer="720" w:gutter="0"/>
          <w:cols w:space="720"/>
        </w:sectPr>
      </w:pPr>
    </w:p>
    <w:p w:rsidR="006D2DE4" w:rsidRDefault="00000000">
      <w:pPr>
        <w:pStyle w:val="Ttulo1"/>
        <w:spacing w:before="80"/>
        <w:ind w:right="12"/>
      </w:pPr>
      <w:r>
        <w:lastRenderedPageBreak/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5"/>
        </w:rPr>
        <w:t>LEY</w:t>
      </w:r>
    </w:p>
    <w:p w:rsidR="006D2DE4" w:rsidRDefault="006D2DE4">
      <w:pPr>
        <w:pStyle w:val="Textoindependiente"/>
        <w:rPr>
          <w:b/>
        </w:rPr>
      </w:pPr>
    </w:p>
    <w:p w:rsidR="006D2DE4" w:rsidRDefault="006D2DE4">
      <w:pPr>
        <w:pStyle w:val="Textoindependiente"/>
        <w:spacing w:before="113"/>
        <w:rPr>
          <w:b/>
        </w:rPr>
      </w:pPr>
    </w:p>
    <w:p w:rsidR="006D2DE4" w:rsidRDefault="00000000">
      <w:pPr>
        <w:pStyle w:val="Textoindependiente"/>
        <w:spacing w:before="1" w:line="276" w:lineRule="auto"/>
        <w:ind w:left="100" w:right="115"/>
        <w:jc w:val="both"/>
      </w:pPr>
      <w:r>
        <w:rPr>
          <w:b/>
        </w:rPr>
        <w:t>ARTÍCULO ÚNICO</w:t>
      </w:r>
      <w:r>
        <w:t>.- Introdúcense las siguientes modificaciones en el DFL n°2, que fija el texto refundido, coordinado y sistematizado de la Ley nº18.700, orgánica constitucional sobre votaciones populares y escrutinios.</w:t>
      </w:r>
    </w:p>
    <w:p w:rsidR="006D2DE4" w:rsidRDefault="006D2DE4">
      <w:pPr>
        <w:pStyle w:val="Textoindependiente"/>
        <w:spacing w:before="37"/>
      </w:pPr>
    </w:p>
    <w:p w:rsidR="006D2DE4" w:rsidRDefault="00000000">
      <w:pPr>
        <w:pStyle w:val="Prrafodelista"/>
        <w:numPr>
          <w:ilvl w:val="0"/>
          <w:numId w:val="1"/>
        </w:numPr>
        <w:tabs>
          <w:tab w:val="left" w:pos="818"/>
        </w:tabs>
        <w:ind w:left="818" w:hanging="358"/>
        <w:jc w:val="left"/>
      </w:pPr>
      <w:r>
        <w:t>Agréguese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bis,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tenor:</w:t>
      </w:r>
    </w:p>
    <w:p w:rsidR="006D2DE4" w:rsidRDefault="006D2DE4">
      <w:pPr>
        <w:pStyle w:val="Textoindependiente"/>
        <w:spacing w:before="76"/>
      </w:pPr>
    </w:p>
    <w:p w:rsidR="006D2DE4" w:rsidRDefault="00000000">
      <w:pPr>
        <w:pStyle w:val="Textoindependiente"/>
        <w:spacing w:line="276" w:lineRule="auto"/>
        <w:ind w:left="100" w:right="117"/>
        <w:jc w:val="both"/>
      </w:pPr>
      <w:r>
        <w:t>“La</w:t>
      </w:r>
      <w:r>
        <w:rPr>
          <w:spacing w:val="27"/>
        </w:rPr>
        <w:t xml:space="preserve"> </w:t>
      </w:r>
      <w:r>
        <w:t>propaganda electoral,</w:t>
      </w:r>
      <w:r>
        <w:rPr>
          <w:spacing w:val="40"/>
        </w:rPr>
        <w:t xml:space="preserve"> </w:t>
      </w:r>
      <w:r>
        <w:t>respecto a la promoción de una o más personas con fines electorales a la que hace alusión el artículo 31 en su inciso primero, y los demás artículos precedentes, deberán exhibir en su contenido el partido político o pacto electoral</w:t>
      </w:r>
      <w:r>
        <w:rPr>
          <w:spacing w:val="40"/>
        </w:rPr>
        <w:t xml:space="preserve"> </w:t>
      </w:r>
      <w:r>
        <w:t>al que está o están afiliadas las candidaturas, o al partido político o pacto que patrocina las candidaturas independientes, de las siguientes formas:</w:t>
      </w:r>
    </w:p>
    <w:p w:rsidR="006D2DE4" w:rsidRDefault="006D2DE4">
      <w:pPr>
        <w:pStyle w:val="Textoindependiente"/>
        <w:spacing w:before="38"/>
      </w:pPr>
    </w:p>
    <w:p w:rsidR="006D2DE4" w:rsidRDefault="00000000">
      <w:pPr>
        <w:pStyle w:val="Prrafodelista"/>
        <w:numPr>
          <w:ilvl w:val="1"/>
          <w:numId w:val="1"/>
        </w:numPr>
        <w:tabs>
          <w:tab w:val="left" w:pos="1538"/>
          <w:tab w:val="left" w:pos="1540"/>
        </w:tabs>
        <w:spacing w:line="276" w:lineRule="auto"/>
        <w:ind w:right="113"/>
        <w:jc w:val="both"/>
      </w:pPr>
      <w:r>
        <w:t>La propaganda electoral que signifique manifestaciones gráficas, en imágenes, a través de plataformas audiovisuales, prensa, redes sociales, en cualquier formato de imagen digital, o en general cualquier propaganda que sea perceptible a través de la vista, deberá exhibirlo a través de la transcripción del nombre del Partido Político o Pacto, y del logotipo, símbolo o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corresponde.</w:t>
      </w:r>
      <w:r>
        <w:rPr>
          <w:spacing w:val="-4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información deberá presentarse de forma clara, visible y de fácil comprensión para las personas.</w:t>
      </w:r>
    </w:p>
    <w:p w:rsidR="006D2DE4" w:rsidRDefault="006D2DE4">
      <w:pPr>
        <w:pStyle w:val="Textoindependiente"/>
        <w:spacing w:before="38"/>
      </w:pPr>
    </w:p>
    <w:p w:rsidR="006D2DE4" w:rsidRDefault="00000000">
      <w:pPr>
        <w:pStyle w:val="Textoindependiente"/>
        <w:spacing w:line="276" w:lineRule="auto"/>
        <w:ind w:left="1540" w:right="120"/>
        <w:jc w:val="both"/>
      </w:pPr>
      <w:r>
        <w:t>Para el caso de las candidaturas independientes, tanto en militancia como en patrocinio, se deberá exhibir un logotipo, símbolo o figura, diseñado para estos efectos por el Servicio Electoral, que haga referencia a tal condición.</w:t>
      </w:r>
    </w:p>
    <w:p w:rsidR="006D2DE4" w:rsidRDefault="006D2DE4">
      <w:pPr>
        <w:pStyle w:val="Textoindependiente"/>
        <w:spacing w:before="38"/>
      </w:pPr>
    </w:p>
    <w:p w:rsidR="006D2DE4" w:rsidRDefault="00000000">
      <w:pPr>
        <w:pStyle w:val="Textoindependiente"/>
        <w:spacing w:line="276" w:lineRule="auto"/>
        <w:ind w:left="1540" w:right="113"/>
        <w:jc w:val="both"/>
      </w:pPr>
      <w:r>
        <w:t>Cuando la propaganda signifique una manifestación gráfica a través de registros de video en televisión y plataformas digitales, la obligación de exhibir el nombre y logotipo, símbolo o figura del partido político o pacto electoral deberá manifestarse durante la extensión completa del video, de forma clara, visible y de fácil comprensión para las personas.</w:t>
      </w:r>
    </w:p>
    <w:p w:rsidR="006D2DE4" w:rsidRDefault="006D2DE4">
      <w:pPr>
        <w:pStyle w:val="Textoindependiente"/>
        <w:spacing w:before="38"/>
      </w:pPr>
    </w:p>
    <w:p w:rsidR="006D2DE4" w:rsidRDefault="00000000">
      <w:pPr>
        <w:pStyle w:val="Textoindependiente"/>
        <w:spacing w:line="276" w:lineRule="auto"/>
        <w:ind w:left="1540" w:right="115"/>
        <w:jc w:val="both"/>
      </w:pPr>
      <w:r>
        <w:t>Para los casos anteriores, si el partido político o pacto electoral carece de logotipo, símbolo o figura, se deberá exhibir, al menos, el nombre del</w:t>
      </w:r>
      <w:r>
        <w:rPr>
          <w:spacing w:val="-3"/>
        </w:rPr>
        <w:t xml:space="preserve"> </w:t>
      </w:r>
      <w:r>
        <w:t>partido</w:t>
      </w:r>
      <w:r>
        <w:rPr>
          <w:spacing w:val="-3"/>
        </w:rPr>
        <w:t xml:space="preserve"> </w:t>
      </w:r>
      <w:r>
        <w:t>político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pacto, en letras, con manifiesta legibilidad y distinción respecto del resto del contenido gráfico mencionado en este artículo.</w:t>
      </w:r>
    </w:p>
    <w:p w:rsidR="006D2DE4" w:rsidRDefault="006D2DE4">
      <w:pPr>
        <w:pStyle w:val="Textoindependiente"/>
        <w:spacing w:before="38"/>
      </w:pPr>
    </w:p>
    <w:p w:rsidR="006D2DE4" w:rsidRDefault="00000000">
      <w:pPr>
        <w:pStyle w:val="Textoindependiente"/>
        <w:spacing w:line="276" w:lineRule="auto"/>
        <w:ind w:left="1540" w:right="121"/>
        <w:jc w:val="both"/>
      </w:pPr>
      <w:r>
        <w:t>El Director del Servicio Electoral podrá objetar y prohibir el uso de logotipos, símbolos o figuras que aludan a un partido político o pacto electoral en propaganda que utilice elementos gráficos o visuales, cuando éstos</w:t>
      </w:r>
      <w:r>
        <w:rPr>
          <w:spacing w:val="40"/>
        </w:rPr>
        <w:t xml:space="preserve"> </w:t>
      </w:r>
      <w:r>
        <w:t>se prestaren</w:t>
      </w:r>
      <w:r>
        <w:rPr>
          <w:spacing w:val="40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manifiesta confusión con el de otra lista o nómina parte del mismo proceso electoral.</w:t>
      </w:r>
    </w:p>
    <w:p w:rsidR="006D2DE4" w:rsidRDefault="006D2DE4">
      <w:pPr>
        <w:pStyle w:val="Textoindependiente"/>
        <w:spacing w:before="38"/>
      </w:pPr>
    </w:p>
    <w:p w:rsidR="006D2DE4" w:rsidRDefault="00000000">
      <w:pPr>
        <w:pStyle w:val="Prrafodelista"/>
        <w:numPr>
          <w:ilvl w:val="1"/>
          <w:numId w:val="1"/>
        </w:numPr>
        <w:tabs>
          <w:tab w:val="left" w:pos="1538"/>
          <w:tab w:val="left" w:pos="1540"/>
        </w:tabs>
        <w:spacing w:line="276" w:lineRule="auto"/>
        <w:ind w:right="114"/>
        <w:jc w:val="both"/>
      </w:pPr>
      <w:r>
        <w:t>La propaganda electoral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signifique</w:t>
      </w:r>
      <w:r>
        <w:rPr>
          <w:spacing w:val="-4"/>
        </w:rPr>
        <w:t xml:space="preserve"> </w:t>
      </w:r>
      <w:r>
        <w:t>registros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audio,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radioemisoras</w:t>
      </w:r>
      <w:r>
        <w:rPr>
          <w:spacing w:val="-4"/>
        </w:rPr>
        <w:t xml:space="preserve"> </w:t>
      </w:r>
      <w:r>
        <w:t>y plataformas digitales, o en</w:t>
      </w:r>
      <w:r>
        <w:rPr>
          <w:spacing w:val="-5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manifestación</w:t>
      </w:r>
      <w:r>
        <w:rPr>
          <w:spacing w:val="-5"/>
        </w:rPr>
        <w:t xml:space="preserve"> </w:t>
      </w:r>
      <w:r>
        <w:t>acústica,</w:t>
      </w:r>
      <w:r>
        <w:rPr>
          <w:spacing w:val="-5"/>
        </w:rPr>
        <w:t xml:space="preserve"> </w:t>
      </w:r>
      <w:r>
        <w:t>deberá expresar el</w:t>
      </w:r>
      <w:r>
        <w:rPr>
          <w:spacing w:val="40"/>
        </w:rPr>
        <w:t xml:space="preserve"> </w:t>
      </w:r>
      <w:r>
        <w:t>partido político o pacto electoral, en idioma castellano, de forma clara</w:t>
      </w:r>
      <w:r>
        <w:rPr>
          <w:spacing w:val="-3"/>
        </w:rPr>
        <w:t xml:space="preserve"> </w:t>
      </w:r>
      <w:r>
        <w:t>y de fácil comprensión para las personas.</w:t>
      </w:r>
    </w:p>
    <w:p w:rsidR="006D2DE4" w:rsidRDefault="006D2DE4">
      <w:pPr>
        <w:spacing w:line="276" w:lineRule="auto"/>
        <w:jc w:val="both"/>
        <w:sectPr w:rsidR="006D2DE4">
          <w:pgSz w:w="11920" w:h="16840"/>
          <w:pgMar w:top="1360" w:right="1340" w:bottom="280" w:left="1340" w:header="720" w:footer="720" w:gutter="0"/>
          <w:cols w:space="720"/>
        </w:sectPr>
      </w:pPr>
    </w:p>
    <w:p w:rsidR="006D2DE4" w:rsidRDefault="00000000">
      <w:pPr>
        <w:pStyle w:val="Textoindependiente"/>
        <w:spacing w:before="80" w:line="276" w:lineRule="auto"/>
        <w:ind w:left="100" w:right="114"/>
        <w:jc w:val="both"/>
      </w:pPr>
      <w:r>
        <w:lastRenderedPageBreak/>
        <w:t>El Consejo Directivo del Servicio Electoral determinará las formas en que se</w:t>
      </w:r>
      <w:r>
        <w:rPr>
          <w:spacing w:val="-2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lo establecido en las letras a) y b) del presente artículo, a través de una resolución dictada para estos </w:t>
      </w:r>
      <w:r>
        <w:rPr>
          <w:spacing w:val="-2"/>
        </w:rPr>
        <w:t>efectos.”</w:t>
      </w:r>
    </w:p>
    <w:p w:rsidR="006D2DE4" w:rsidRDefault="006D2DE4">
      <w:pPr>
        <w:pStyle w:val="Textoindependiente"/>
      </w:pPr>
    </w:p>
    <w:p w:rsidR="006D2DE4" w:rsidRDefault="006D2DE4">
      <w:pPr>
        <w:pStyle w:val="Textoindependiente"/>
        <w:spacing w:before="75"/>
      </w:pPr>
    </w:p>
    <w:p w:rsidR="006D2DE4" w:rsidRDefault="00000000">
      <w:pPr>
        <w:pStyle w:val="Prrafodelista"/>
        <w:numPr>
          <w:ilvl w:val="0"/>
          <w:numId w:val="1"/>
        </w:numPr>
        <w:tabs>
          <w:tab w:val="left" w:pos="366"/>
        </w:tabs>
        <w:spacing w:before="1" w:line="276" w:lineRule="auto"/>
        <w:ind w:left="100" w:right="125" w:firstLine="0"/>
        <w:jc w:val="left"/>
      </w:pPr>
      <w:r>
        <w:t xml:space="preserve">Modifíquese el inciso primero del artículo 25, reemplazando el inciso primero del artículo, por el </w:t>
      </w:r>
      <w:r>
        <w:rPr>
          <w:spacing w:val="-2"/>
        </w:rPr>
        <w:t>siguiente:</w:t>
      </w:r>
    </w:p>
    <w:p w:rsidR="006D2DE4" w:rsidRDefault="006D2DE4">
      <w:pPr>
        <w:pStyle w:val="Textoindependiente"/>
      </w:pPr>
    </w:p>
    <w:p w:rsidR="006D2DE4" w:rsidRDefault="006D2DE4">
      <w:pPr>
        <w:pStyle w:val="Textoindependiente"/>
        <w:spacing w:before="75"/>
      </w:pPr>
    </w:p>
    <w:p w:rsidR="006D2DE4" w:rsidRDefault="00000000">
      <w:pPr>
        <w:pStyle w:val="Textoindependiente"/>
        <w:spacing w:line="276" w:lineRule="auto"/>
        <w:ind w:left="100" w:right="112"/>
        <w:jc w:val="both"/>
      </w:pPr>
      <w:r>
        <w:t>“ Para los efectos de la emisión de los sufragios</w:t>
      </w:r>
      <w:r>
        <w:rPr>
          <w:spacing w:val="40"/>
        </w:rPr>
        <w:t xml:space="preserve"> </w:t>
      </w:r>
      <w:r>
        <w:t>que traten sobre la elección de un candidato o candidata,</w:t>
      </w:r>
      <w:r>
        <w:rPr>
          <w:spacing w:val="27"/>
        </w:rPr>
        <w:t xml:space="preserve"> </w:t>
      </w:r>
      <w:r>
        <w:t>a continuación de la palabra con que se encabece la cédula, se colocará la letra o número que</w:t>
      </w:r>
      <w:r>
        <w:rPr>
          <w:spacing w:val="12"/>
        </w:rPr>
        <w:t xml:space="preserve"> </w:t>
      </w:r>
      <w:r>
        <w:t>haya</w:t>
      </w:r>
      <w:r>
        <w:rPr>
          <w:spacing w:val="12"/>
        </w:rPr>
        <w:t xml:space="preserve"> </w:t>
      </w:r>
      <w:r>
        <w:t>correspondido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lista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nómina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sorteo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frente a esa letra o número el nombre del partido político o del pacto de partidos que la patrocine o las palabras "candidatura independiente", según corresponda. Sobre el nombre de la lista o nómina se colocará el símbolo o logotipo del partido, pacto o candidatura independiente,</w:t>
      </w:r>
      <w:r>
        <w:rPr>
          <w:spacing w:val="-3"/>
        </w:rPr>
        <w:t xml:space="preserve"> </w:t>
      </w:r>
      <w:r>
        <w:t>impreso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tinta</w:t>
      </w:r>
      <w:r>
        <w:rPr>
          <w:spacing w:val="-3"/>
        </w:rPr>
        <w:t xml:space="preserve"> </w:t>
      </w:r>
      <w:r>
        <w:t>negra</w:t>
      </w:r>
      <w:r>
        <w:rPr>
          <w:spacing w:val="80"/>
        </w:rPr>
        <w:t xml:space="preserve"> </w:t>
      </w:r>
      <w:r>
        <w:t>y en el tamaño que determine el Consejo Directivo del Servicio Electoral, a 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resolución dictada para dicho objetivo. Para estos efectos, cada partido o pacto electoral que corresponda a la militancia del candidato o candidata, o que patrocine la candidatura independiente de un</w:t>
      </w:r>
      <w:r>
        <w:rPr>
          <w:spacing w:val="-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o candidata, deberán señalar, en su</w:t>
      </w:r>
      <w:r>
        <w:rPr>
          <w:spacing w:val="-4"/>
        </w:rPr>
        <w:t xml:space="preserve"> </w:t>
      </w:r>
      <w:r>
        <w:t>declaración,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figura,</w:t>
      </w:r>
      <w:r>
        <w:rPr>
          <w:spacing w:val="-4"/>
        </w:rPr>
        <w:t xml:space="preserve"> </w:t>
      </w:r>
      <w:r>
        <w:t>símbolo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logotipo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corresponda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partido o pacto.</w:t>
      </w:r>
      <w:r>
        <w:rPr>
          <w:spacing w:val="40"/>
        </w:rPr>
        <w:t xml:space="preserve"> </w:t>
      </w:r>
      <w:r>
        <w:t>Si el partido político no tuviere símbolo; o si el pacto o la candidatura independiente no lo señalaren; o si el símbolo propuesto se prestare a confusión con el de otra lista o nómina; o si los partidos integrantes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pacto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hubieren</w:t>
      </w:r>
      <w:r>
        <w:rPr>
          <w:spacing w:val="-3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éste,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Electoral le</w:t>
      </w:r>
      <w:r>
        <w:rPr>
          <w:spacing w:val="40"/>
        </w:rPr>
        <w:t xml:space="preserve"> </w:t>
      </w:r>
      <w:r>
        <w:t>asignará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figura geométrica y el nombre que él determine, en su caso.</w:t>
      </w:r>
      <w:r>
        <w:rPr>
          <w:spacing w:val="80"/>
        </w:rPr>
        <w:t xml:space="preserve"> </w:t>
      </w:r>
      <w:r>
        <w:t>Para el caso de candidaturas independientes sin patrocinio de un partido político o pacto, el Director del Servicio Electoral, deberá asignar un logotipo, símbolo o figura que haga referencia a tal condición, el cual</w:t>
      </w:r>
      <w:r>
        <w:rPr>
          <w:spacing w:val="40"/>
        </w:rPr>
        <w:t xml:space="preserve"> </w:t>
      </w:r>
      <w:r>
        <w:t>será común para tales candidaturas. “</w:t>
      </w:r>
    </w:p>
    <w:p w:rsidR="006D2DE4" w:rsidRDefault="006D2DE4">
      <w:pPr>
        <w:pStyle w:val="Textoindependiente"/>
      </w:pPr>
    </w:p>
    <w:p w:rsidR="006D2DE4" w:rsidRDefault="006D2DE4">
      <w:pPr>
        <w:pStyle w:val="Textoindependiente"/>
      </w:pPr>
    </w:p>
    <w:p w:rsidR="006D2DE4" w:rsidRDefault="006D2DE4">
      <w:pPr>
        <w:pStyle w:val="Textoindependiente"/>
      </w:pPr>
    </w:p>
    <w:p w:rsidR="006D2DE4" w:rsidRDefault="006D2DE4">
      <w:pPr>
        <w:pStyle w:val="Textoindependiente"/>
      </w:pPr>
    </w:p>
    <w:p w:rsidR="006D2DE4" w:rsidRDefault="006D2DE4">
      <w:pPr>
        <w:pStyle w:val="Textoindependiente"/>
        <w:spacing w:before="190"/>
      </w:pPr>
    </w:p>
    <w:p w:rsidR="006D2DE4" w:rsidRDefault="00000000">
      <w:pPr>
        <w:pStyle w:val="Textoindependiente"/>
        <w:tabs>
          <w:tab w:val="left" w:pos="5684"/>
        </w:tabs>
        <w:ind w:left="805"/>
      </w:pPr>
      <w:r>
        <w:rPr>
          <w:spacing w:val="-4"/>
        </w:rPr>
        <w:t>CATALINA</w:t>
      </w:r>
      <w:r>
        <w:rPr>
          <w:spacing w:val="-1"/>
        </w:rPr>
        <w:t xml:space="preserve"> </w:t>
      </w:r>
      <w:r>
        <w:rPr>
          <w:spacing w:val="-4"/>
        </w:rPr>
        <w:t>PÉREZ</w:t>
      </w:r>
      <w:r>
        <w:rPr>
          <w:spacing w:val="-1"/>
        </w:rPr>
        <w:t xml:space="preserve"> </w:t>
      </w:r>
      <w:r>
        <w:rPr>
          <w:spacing w:val="-4"/>
        </w:rPr>
        <w:t>SALINAS</w:t>
      </w:r>
      <w:r>
        <w:tab/>
        <w:t>CLAUDIA</w:t>
      </w:r>
      <w:r>
        <w:rPr>
          <w:spacing w:val="-7"/>
        </w:rPr>
        <w:t xml:space="preserve"> </w:t>
      </w:r>
      <w:r>
        <w:t>MIX</w:t>
      </w:r>
      <w:r>
        <w:rPr>
          <w:spacing w:val="-5"/>
        </w:rPr>
        <w:t xml:space="preserve"> </w:t>
      </w:r>
      <w:r>
        <w:rPr>
          <w:spacing w:val="-2"/>
        </w:rPr>
        <w:t>JIMÉNEZ</w:t>
      </w:r>
    </w:p>
    <w:p w:rsidR="006D2DE4" w:rsidRDefault="00000000">
      <w:pPr>
        <w:pStyle w:val="Textoindependiente"/>
        <w:tabs>
          <w:tab w:val="left" w:pos="5845"/>
        </w:tabs>
        <w:spacing w:before="38"/>
        <w:ind w:left="979"/>
      </w:pPr>
      <w:r>
        <w:t>Diputada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  <w:r>
        <w:tab/>
        <w:t>Diputada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</w:p>
    <w:sectPr w:rsidR="006D2DE4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9218B"/>
    <w:multiLevelType w:val="hybridMultilevel"/>
    <w:tmpl w:val="0B145E36"/>
    <w:lvl w:ilvl="0" w:tplc="C0B20870">
      <w:start w:val="1"/>
      <w:numFmt w:val="decimal"/>
      <w:lvlText w:val="%1)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FC5D48">
      <w:start w:val="1"/>
      <w:numFmt w:val="lowerLetter"/>
      <w:lvlText w:val="%2)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19369CB6">
      <w:numFmt w:val="bullet"/>
      <w:lvlText w:val="•"/>
      <w:lvlJc w:val="left"/>
      <w:pPr>
        <w:ind w:left="2395" w:hanging="360"/>
      </w:pPr>
      <w:rPr>
        <w:rFonts w:hint="default"/>
        <w:lang w:val="es-ES" w:eastAsia="en-US" w:bidi="ar-SA"/>
      </w:rPr>
    </w:lvl>
    <w:lvl w:ilvl="3" w:tplc="72CC7EB0">
      <w:numFmt w:val="bullet"/>
      <w:lvlText w:val="•"/>
      <w:lvlJc w:val="left"/>
      <w:pPr>
        <w:ind w:left="3251" w:hanging="360"/>
      </w:pPr>
      <w:rPr>
        <w:rFonts w:hint="default"/>
        <w:lang w:val="es-ES" w:eastAsia="en-US" w:bidi="ar-SA"/>
      </w:rPr>
    </w:lvl>
    <w:lvl w:ilvl="4" w:tplc="98BAB594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5DECBA2A">
      <w:numFmt w:val="bullet"/>
      <w:lvlText w:val="•"/>
      <w:lvlJc w:val="left"/>
      <w:pPr>
        <w:ind w:left="4962" w:hanging="360"/>
      </w:pPr>
      <w:rPr>
        <w:rFonts w:hint="default"/>
        <w:lang w:val="es-ES" w:eastAsia="en-US" w:bidi="ar-SA"/>
      </w:rPr>
    </w:lvl>
    <w:lvl w:ilvl="6" w:tplc="7896930E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D2650B2">
      <w:numFmt w:val="bullet"/>
      <w:lvlText w:val="•"/>
      <w:lvlJc w:val="left"/>
      <w:pPr>
        <w:ind w:left="6673" w:hanging="360"/>
      </w:pPr>
      <w:rPr>
        <w:rFonts w:hint="default"/>
        <w:lang w:val="es-ES" w:eastAsia="en-US" w:bidi="ar-SA"/>
      </w:rPr>
    </w:lvl>
    <w:lvl w:ilvl="8" w:tplc="27C4F66A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BB72A19"/>
    <w:multiLevelType w:val="hybridMultilevel"/>
    <w:tmpl w:val="780CDE86"/>
    <w:lvl w:ilvl="0" w:tplc="7B527B9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A725FEA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6D4D8CC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B504FCEA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684EE440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2368ABA6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8FB82290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44E8E2CE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99E0BE90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 w16cid:durableId="1749843472">
    <w:abstractNumId w:val="0"/>
  </w:num>
  <w:num w:numId="2" w16cid:durableId="175708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DE4"/>
    <w:rsid w:val="006D2DE4"/>
    <w:rsid w:val="00B30139"/>
    <w:rsid w:val="00B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842C0-A0D9-4264-ACA4-6BB6323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clinic.cl/2024/10/16/es-de-derecha-o-de-izquierda-el-vacio-legal-que-permite-a-los-candidatos-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Ley, Transparencia de militancia o patrocinio</dc:title>
  <cp:lastModifiedBy>Guillermo Diaz Vallejos</cp:lastModifiedBy>
  <cp:revision>1</cp:revision>
  <dcterms:created xsi:type="dcterms:W3CDTF">2024-12-09T21:59:00Z</dcterms:created>
  <dcterms:modified xsi:type="dcterms:W3CDTF">2025-01-14T14:33:00Z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2024-12-09T00:00:00Z</vt:filetime>
  </property>
</Properties>
</file>