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73B4" w:rsidRDefault="005A73B4">
      <w:pPr>
        <w:pStyle w:val="Textoindependiente"/>
        <w:spacing w:before="123"/>
        <w:rPr>
          <w:rFonts w:ascii="Times New Roman"/>
        </w:rPr>
      </w:pPr>
    </w:p>
    <w:p w:rsidR="005A73B4" w:rsidRDefault="00000000">
      <w:pPr>
        <w:pStyle w:val="Ttulo1"/>
        <w:ind w:right="100"/>
      </w:pPr>
      <w:r>
        <w:t>PROYECTO DE LEY QUE ESTABLECE UN MECANISMO AUTOMÁTICO DE COMPENSACIONES POR CORTES DE SUMINISTRO DE SERVICIOS SANITARIOS CONTEMPLADOS EN EL DECRETO CON FUERZA DE LEY N°382, DE 1988, DEL MINISTERIO DE OBRAS PÚBLICAS</w:t>
      </w:r>
    </w:p>
    <w:p w:rsidR="005A73B4" w:rsidRDefault="005A73B4">
      <w:pPr>
        <w:pStyle w:val="Textoindependiente"/>
        <w:rPr>
          <w:b/>
        </w:rPr>
      </w:pPr>
    </w:p>
    <w:p w:rsidR="005A73B4" w:rsidRDefault="005A73B4">
      <w:pPr>
        <w:pStyle w:val="Textoindependiente"/>
        <w:spacing w:before="1"/>
        <w:rPr>
          <w:b/>
        </w:rPr>
      </w:pPr>
    </w:p>
    <w:p w:rsidR="005A73B4" w:rsidRDefault="00000000">
      <w:pPr>
        <w:ind w:left="119"/>
        <w:rPr>
          <w:b/>
          <w:sz w:val="24"/>
        </w:rPr>
      </w:pPr>
      <w:r>
        <w:rPr>
          <w:b/>
          <w:spacing w:val="-2"/>
          <w:sz w:val="24"/>
        </w:rPr>
        <w:t>FUNDAMENTOS.</w:t>
      </w:r>
    </w:p>
    <w:p w:rsidR="005A73B4" w:rsidRDefault="005A73B4">
      <w:pPr>
        <w:pStyle w:val="Textoindependiente"/>
        <w:rPr>
          <w:b/>
        </w:rPr>
      </w:pPr>
    </w:p>
    <w:p w:rsidR="005A73B4" w:rsidRDefault="00000000">
      <w:pPr>
        <w:pStyle w:val="Textoindependiente"/>
        <w:spacing w:before="1"/>
        <w:ind w:left="119" w:right="100"/>
        <w:jc w:val="both"/>
      </w:pPr>
      <w:r>
        <w:t>El acceso al agua potable y a servicios sanitarios es un derecho esencial reconocido internacionalmente, estrechamente vinculado con la calidad de vida y la dignidad humana. En Chile, la regulación vigente presenta vacíos signiﬁcativos respecto de los mecanismos de compensación para los usuarios que sufren interrupciones injustiﬁcadas en dichos servicios, una carencia que se ha hecho especialmente evidente tras las emergencias climatológicas que afectaron la zona centro-sur del país en 2024.</w:t>
      </w:r>
    </w:p>
    <w:p w:rsidR="005A73B4" w:rsidRDefault="005A73B4">
      <w:pPr>
        <w:pStyle w:val="Textoindependiente"/>
        <w:spacing w:before="1"/>
      </w:pPr>
    </w:p>
    <w:p w:rsidR="005A73B4" w:rsidRDefault="00000000">
      <w:pPr>
        <w:pStyle w:val="Textoindependiente"/>
        <w:ind w:left="119" w:right="100"/>
        <w:jc w:val="both"/>
      </w:pPr>
      <w:r>
        <w:t>Lo</w:t>
      </w:r>
      <w:r>
        <w:rPr>
          <w:spacing w:val="-10"/>
        </w:rPr>
        <w:t xml:space="preserve"> </w:t>
      </w:r>
      <w:r>
        <w:t>anterior,</w:t>
      </w:r>
      <w:r>
        <w:rPr>
          <w:spacing w:val="-10"/>
        </w:rPr>
        <w:t xml:space="preserve"> </w:t>
      </w:r>
      <w:r>
        <w:t>pues</w:t>
      </w:r>
      <w:r>
        <w:rPr>
          <w:spacing w:val="-10"/>
        </w:rPr>
        <w:t xml:space="preserve"> </w:t>
      </w:r>
      <w:r>
        <w:t>en</w:t>
      </w:r>
      <w:r>
        <w:rPr>
          <w:spacing w:val="-10"/>
        </w:rPr>
        <w:t xml:space="preserve"> </w:t>
      </w:r>
      <w:r>
        <w:t>los</w:t>
      </w:r>
      <w:r>
        <w:rPr>
          <w:spacing w:val="-10"/>
        </w:rPr>
        <w:t xml:space="preserve"> </w:t>
      </w:r>
      <w:r>
        <w:t>eventos</w:t>
      </w:r>
      <w:r>
        <w:rPr>
          <w:spacing w:val="-10"/>
        </w:rPr>
        <w:t xml:space="preserve"> </w:t>
      </w:r>
      <w:r>
        <w:t>climatológicos</w:t>
      </w:r>
      <w:r>
        <w:rPr>
          <w:spacing w:val="-10"/>
        </w:rPr>
        <w:t xml:space="preserve"> </w:t>
      </w:r>
      <w:r>
        <w:t>que</w:t>
      </w:r>
      <w:r>
        <w:rPr>
          <w:spacing w:val="-10"/>
        </w:rPr>
        <w:t xml:space="preserve"> </w:t>
      </w:r>
      <w:r>
        <w:t>tuvieron</w:t>
      </w:r>
      <w:r>
        <w:rPr>
          <w:spacing w:val="-10"/>
        </w:rPr>
        <w:t xml:space="preserve"> </w:t>
      </w:r>
      <w:r>
        <w:t>lugar</w:t>
      </w:r>
      <w:r>
        <w:rPr>
          <w:spacing w:val="-10"/>
        </w:rPr>
        <w:t xml:space="preserve"> </w:t>
      </w:r>
      <w:r>
        <w:t>en</w:t>
      </w:r>
      <w:r>
        <w:rPr>
          <w:spacing w:val="-10"/>
        </w:rPr>
        <w:t xml:space="preserve"> </w:t>
      </w:r>
      <w:r>
        <w:t>agosto</w:t>
      </w:r>
      <w:r>
        <w:rPr>
          <w:spacing w:val="-10"/>
        </w:rPr>
        <w:t xml:space="preserve"> </w:t>
      </w:r>
      <w:r>
        <w:t>de</w:t>
      </w:r>
      <w:r>
        <w:rPr>
          <w:spacing w:val="-10"/>
        </w:rPr>
        <w:t xml:space="preserve"> </w:t>
      </w:r>
      <w:r>
        <w:t>2024 que</w:t>
      </w:r>
      <w:r>
        <w:rPr>
          <w:spacing w:val="-4"/>
        </w:rPr>
        <w:t xml:space="preserve"> </w:t>
      </w:r>
      <w:r>
        <w:t>afectó</w:t>
      </w:r>
      <w:r>
        <w:rPr>
          <w:spacing w:val="-4"/>
        </w:rPr>
        <w:t xml:space="preserve"> </w:t>
      </w:r>
      <w:r>
        <w:t>el</w:t>
      </w:r>
      <w:r>
        <w:rPr>
          <w:spacing w:val="-4"/>
        </w:rPr>
        <w:t xml:space="preserve"> </w:t>
      </w:r>
      <w:r>
        <w:t>suministro</w:t>
      </w:r>
      <w:r>
        <w:rPr>
          <w:spacing w:val="-4"/>
        </w:rPr>
        <w:t xml:space="preserve"> </w:t>
      </w:r>
      <w:r>
        <w:t>eléctrico</w:t>
      </w:r>
      <w:r>
        <w:rPr>
          <w:spacing w:val="-4"/>
        </w:rPr>
        <w:t xml:space="preserve"> </w:t>
      </w:r>
      <w:r>
        <w:t>y</w:t>
      </w:r>
      <w:r>
        <w:rPr>
          <w:spacing w:val="-4"/>
        </w:rPr>
        <w:t xml:space="preserve"> </w:t>
      </w:r>
      <w:r>
        <w:t>sanitario</w:t>
      </w:r>
      <w:r>
        <w:rPr>
          <w:spacing w:val="-4"/>
        </w:rPr>
        <w:t xml:space="preserve"> </w:t>
      </w:r>
      <w:r>
        <w:t>de</w:t>
      </w:r>
      <w:r>
        <w:rPr>
          <w:spacing w:val="-4"/>
        </w:rPr>
        <w:t xml:space="preserve"> </w:t>
      </w:r>
      <w:r>
        <w:t>miles</w:t>
      </w:r>
      <w:r>
        <w:rPr>
          <w:spacing w:val="-4"/>
        </w:rPr>
        <w:t xml:space="preserve"> </w:t>
      </w:r>
      <w:r>
        <w:t>de</w:t>
      </w:r>
      <w:r>
        <w:rPr>
          <w:spacing w:val="-4"/>
        </w:rPr>
        <w:t xml:space="preserve"> </w:t>
      </w:r>
      <w:r>
        <w:t>familias</w:t>
      </w:r>
      <w:r>
        <w:rPr>
          <w:spacing w:val="-4"/>
        </w:rPr>
        <w:t xml:space="preserve"> </w:t>
      </w:r>
      <w:r>
        <w:t>de</w:t>
      </w:r>
      <w:r>
        <w:rPr>
          <w:spacing w:val="-4"/>
        </w:rPr>
        <w:t xml:space="preserve"> </w:t>
      </w:r>
      <w:r>
        <w:t>nuestro</w:t>
      </w:r>
      <w:r>
        <w:rPr>
          <w:spacing w:val="-4"/>
        </w:rPr>
        <w:t xml:space="preserve"> </w:t>
      </w:r>
      <w:r>
        <w:t>país</w:t>
      </w:r>
      <w:r>
        <w:rPr>
          <w:spacing w:val="-4"/>
        </w:rPr>
        <w:t xml:space="preserve"> </w:t>
      </w:r>
      <w:r>
        <w:t>no contaron con un mecanismo efectivo de compensación, pues la regulación de los servicios</w:t>
      </w:r>
      <w:r>
        <w:rPr>
          <w:spacing w:val="-15"/>
        </w:rPr>
        <w:t xml:space="preserve"> </w:t>
      </w:r>
      <w:r>
        <w:t>sanitarios</w:t>
      </w:r>
      <w:r>
        <w:rPr>
          <w:spacing w:val="-15"/>
        </w:rPr>
        <w:t xml:space="preserve"> </w:t>
      </w:r>
      <w:r>
        <w:t>en</w:t>
      </w:r>
      <w:r>
        <w:rPr>
          <w:spacing w:val="-15"/>
        </w:rPr>
        <w:t xml:space="preserve"> </w:t>
      </w:r>
      <w:r>
        <w:t>Chile</w:t>
      </w:r>
      <w:r>
        <w:rPr>
          <w:spacing w:val="-15"/>
        </w:rPr>
        <w:t xml:space="preserve"> </w:t>
      </w:r>
      <w:r>
        <w:t>no</w:t>
      </w:r>
      <w:r>
        <w:rPr>
          <w:spacing w:val="-15"/>
        </w:rPr>
        <w:t xml:space="preserve"> </w:t>
      </w:r>
      <w:r>
        <w:t>contempla</w:t>
      </w:r>
      <w:r>
        <w:rPr>
          <w:spacing w:val="-15"/>
        </w:rPr>
        <w:t xml:space="preserve"> </w:t>
      </w:r>
      <w:r>
        <w:t>actualmente</w:t>
      </w:r>
      <w:r>
        <w:rPr>
          <w:spacing w:val="-15"/>
        </w:rPr>
        <w:t xml:space="preserve"> </w:t>
      </w:r>
      <w:r>
        <w:t>un</w:t>
      </w:r>
      <w:r>
        <w:rPr>
          <w:spacing w:val="-15"/>
        </w:rPr>
        <w:t xml:space="preserve"> </w:t>
      </w:r>
      <w:r>
        <w:t>mecanismo</w:t>
      </w:r>
      <w:r>
        <w:rPr>
          <w:spacing w:val="-15"/>
        </w:rPr>
        <w:t xml:space="preserve"> </w:t>
      </w:r>
      <w:r>
        <w:t>especíﬁco</w:t>
      </w:r>
      <w:r>
        <w:rPr>
          <w:spacing w:val="-15"/>
        </w:rPr>
        <w:t xml:space="preserve"> </w:t>
      </w:r>
      <w:r>
        <w:t>que garantice compensaciones automáticas a los usuarios afectados por interrupciones en el suministro.</w:t>
      </w:r>
    </w:p>
    <w:p w:rsidR="005A73B4" w:rsidRDefault="00000000">
      <w:pPr>
        <w:pStyle w:val="Textoindependiente"/>
        <w:spacing w:before="323"/>
        <w:ind w:left="119" w:right="100"/>
        <w:jc w:val="both"/>
      </w:pPr>
      <w:r>
        <w:t>Así, ante esta ausencia, opera de manera supletoria el artículo 25</w:t>
      </w:r>
      <w:r>
        <w:rPr>
          <w:spacing w:val="-9"/>
        </w:rPr>
        <w:t xml:space="preserve"> </w:t>
      </w:r>
      <w:r>
        <w:t>A del Decreto con Fuerza de Ley Nº3, que establece el texto refundido de la Ley Nº19.496 sobre Protección de los Derechos de los Consumidores. Este artículo otorga a los consumidores el derecho a recibir indemnizaciones automáticas en casos de cortes de</w:t>
      </w:r>
      <w:r>
        <w:rPr>
          <w:spacing w:val="-15"/>
        </w:rPr>
        <w:t xml:space="preserve"> </w:t>
      </w:r>
      <w:r>
        <w:t>servicios,</w:t>
      </w:r>
      <w:r>
        <w:rPr>
          <w:spacing w:val="-15"/>
        </w:rPr>
        <w:t xml:space="preserve"> </w:t>
      </w:r>
      <w:r>
        <w:t>siempre</w:t>
      </w:r>
      <w:r>
        <w:rPr>
          <w:spacing w:val="-15"/>
        </w:rPr>
        <w:t xml:space="preserve"> </w:t>
      </w:r>
      <w:r>
        <w:t>que</w:t>
      </w:r>
      <w:r>
        <w:rPr>
          <w:spacing w:val="-15"/>
        </w:rPr>
        <w:t xml:space="preserve"> </w:t>
      </w:r>
      <w:r>
        <w:t>no</w:t>
      </w:r>
      <w:r>
        <w:rPr>
          <w:spacing w:val="-15"/>
        </w:rPr>
        <w:t xml:space="preserve"> </w:t>
      </w:r>
      <w:r>
        <w:t>exista</w:t>
      </w:r>
      <w:r>
        <w:rPr>
          <w:spacing w:val="-15"/>
        </w:rPr>
        <w:t xml:space="preserve"> </w:t>
      </w:r>
      <w:r>
        <w:t>una</w:t>
      </w:r>
      <w:r>
        <w:rPr>
          <w:spacing w:val="-15"/>
        </w:rPr>
        <w:t xml:space="preserve"> </w:t>
      </w:r>
      <w:r>
        <w:t>regulación</w:t>
      </w:r>
      <w:r>
        <w:rPr>
          <w:spacing w:val="-15"/>
        </w:rPr>
        <w:t xml:space="preserve"> </w:t>
      </w:r>
      <w:r>
        <w:t>sectorial</w:t>
      </w:r>
      <w:r>
        <w:rPr>
          <w:spacing w:val="-15"/>
        </w:rPr>
        <w:t xml:space="preserve"> </w:t>
      </w:r>
      <w:r>
        <w:t>especíﬁca</w:t>
      </w:r>
      <w:r>
        <w:rPr>
          <w:spacing w:val="-15"/>
        </w:rPr>
        <w:t xml:space="preserve"> </w:t>
      </w:r>
      <w:r>
        <w:t>que</w:t>
      </w:r>
      <w:r>
        <w:rPr>
          <w:spacing w:val="-15"/>
        </w:rPr>
        <w:t xml:space="preserve"> </w:t>
      </w:r>
      <w:r>
        <w:t xml:space="preserve">contemple mecanismos compensatorios. Sin embargo, la aplicación de esta norma enfrenta serias diﬁcultades interpretativas, dado que no detalla los procedimientos necesarios para su implementación en el ámbito sanitario. Esto genera incertidumbre entre los órganos ﬁscalizadores, las empresas concesionarias y los usuarios afectados, lo que agrava la sensación de desprotección frente a eventos </w:t>
      </w:r>
      <w:r>
        <w:rPr>
          <w:spacing w:val="-2"/>
        </w:rPr>
        <w:t>críticos.</w:t>
      </w:r>
    </w:p>
    <w:p w:rsidR="005A73B4" w:rsidRDefault="005A73B4">
      <w:pPr>
        <w:jc w:val="both"/>
        <w:sectPr w:rsidR="005A73B4">
          <w:headerReference w:type="default" r:id="rId6"/>
          <w:type w:val="continuous"/>
          <w:pgSz w:w="12240" w:h="15840"/>
          <w:pgMar w:top="2360" w:right="1600" w:bottom="280" w:left="1580" w:header="815" w:footer="0" w:gutter="0"/>
          <w:pgNumType w:start="1"/>
          <w:cols w:space="720"/>
        </w:sectPr>
      </w:pPr>
    </w:p>
    <w:p w:rsidR="005A73B4" w:rsidRDefault="005A73B4">
      <w:pPr>
        <w:pStyle w:val="Textoindependiente"/>
      </w:pPr>
    </w:p>
    <w:p w:rsidR="005A73B4" w:rsidRDefault="005A73B4">
      <w:pPr>
        <w:pStyle w:val="Textoindependiente"/>
        <w:spacing w:before="77"/>
      </w:pPr>
    </w:p>
    <w:p w:rsidR="005A73B4" w:rsidRDefault="00000000">
      <w:pPr>
        <w:pStyle w:val="Ttulo1"/>
        <w:spacing w:before="1"/>
      </w:pPr>
      <w:r>
        <w:t>Consecuencias</w:t>
      </w:r>
      <w:r>
        <w:rPr>
          <w:spacing w:val="-3"/>
        </w:rPr>
        <w:t xml:space="preserve"> </w:t>
      </w:r>
      <w:r>
        <w:t>de</w:t>
      </w:r>
      <w:r>
        <w:rPr>
          <w:spacing w:val="-3"/>
        </w:rPr>
        <w:t xml:space="preserve"> </w:t>
      </w:r>
      <w:r>
        <w:t>las</w:t>
      </w:r>
      <w:r>
        <w:rPr>
          <w:spacing w:val="-2"/>
        </w:rPr>
        <w:t xml:space="preserve"> </w:t>
      </w:r>
      <w:r>
        <w:t>Emergencias</w:t>
      </w:r>
      <w:r>
        <w:rPr>
          <w:spacing w:val="-3"/>
        </w:rPr>
        <w:t xml:space="preserve"> </w:t>
      </w:r>
      <w:r>
        <w:t>Climatológicas</w:t>
      </w:r>
      <w:r>
        <w:rPr>
          <w:spacing w:val="-3"/>
        </w:rPr>
        <w:t xml:space="preserve"> </w:t>
      </w:r>
      <w:r>
        <w:t>de</w:t>
      </w:r>
      <w:r>
        <w:rPr>
          <w:spacing w:val="-2"/>
        </w:rPr>
        <w:t xml:space="preserve"> </w:t>
      </w:r>
      <w:r>
        <w:rPr>
          <w:spacing w:val="-4"/>
        </w:rPr>
        <w:t>2024</w:t>
      </w:r>
    </w:p>
    <w:p w:rsidR="005A73B4" w:rsidRDefault="005A73B4">
      <w:pPr>
        <w:pStyle w:val="Textoindependiente"/>
        <w:rPr>
          <w:b/>
        </w:rPr>
      </w:pPr>
    </w:p>
    <w:p w:rsidR="005A73B4" w:rsidRDefault="00000000">
      <w:pPr>
        <w:pStyle w:val="Textoindependiente"/>
        <w:ind w:left="119" w:right="100"/>
        <w:jc w:val="both"/>
      </w:pPr>
      <w:r>
        <w:t>El año 2024 estuvo marcado por intensas lluvias y desbordes de ríos que afectaron gravemente a la zona centro-sur de Chile. Estos fenómenos provocaron interrupciones</w:t>
      </w:r>
      <w:r>
        <w:rPr>
          <w:spacing w:val="-12"/>
        </w:rPr>
        <w:t xml:space="preserve"> </w:t>
      </w:r>
      <w:r>
        <w:t>prolongadas</w:t>
      </w:r>
      <w:r>
        <w:rPr>
          <w:spacing w:val="-12"/>
        </w:rPr>
        <w:t xml:space="preserve"> </w:t>
      </w:r>
      <w:r>
        <w:t>en</w:t>
      </w:r>
      <w:r>
        <w:rPr>
          <w:spacing w:val="-12"/>
        </w:rPr>
        <w:t xml:space="preserve"> </w:t>
      </w:r>
      <w:r>
        <w:t>el</w:t>
      </w:r>
      <w:r>
        <w:rPr>
          <w:spacing w:val="-12"/>
        </w:rPr>
        <w:t xml:space="preserve"> </w:t>
      </w:r>
      <w:r>
        <w:t>suministro</w:t>
      </w:r>
      <w:r>
        <w:rPr>
          <w:spacing w:val="-12"/>
        </w:rPr>
        <w:t xml:space="preserve"> </w:t>
      </w:r>
      <w:r>
        <w:t>de</w:t>
      </w:r>
      <w:r>
        <w:rPr>
          <w:spacing w:val="-12"/>
        </w:rPr>
        <w:t xml:space="preserve"> </w:t>
      </w:r>
      <w:r>
        <w:t>agua</w:t>
      </w:r>
      <w:r>
        <w:rPr>
          <w:spacing w:val="-12"/>
        </w:rPr>
        <w:t xml:space="preserve"> </w:t>
      </w:r>
      <w:r>
        <w:t>potable</w:t>
      </w:r>
      <w:r>
        <w:rPr>
          <w:spacing w:val="-12"/>
        </w:rPr>
        <w:t xml:space="preserve"> </w:t>
      </w:r>
      <w:r>
        <w:t>y</w:t>
      </w:r>
      <w:r>
        <w:rPr>
          <w:spacing w:val="-12"/>
        </w:rPr>
        <w:t xml:space="preserve"> </w:t>
      </w:r>
      <w:r>
        <w:t>electricidad,</w:t>
      </w:r>
      <w:r>
        <w:rPr>
          <w:spacing w:val="-12"/>
        </w:rPr>
        <w:t xml:space="preserve"> </w:t>
      </w:r>
      <w:r>
        <w:t>dejando a miles de hogares, centros de salud y establecimientos educacionales sin acceso a servicios esenciales durante varios días. Las consecuencias de estas interrupciones incluyeron condiciones de insalubridad y vulnerabilidad social, evidenciando la fragilidad de la infraestructura crítica ante desastres naturales y la falta de un sistema de compensaciones que resarza los perjuicios ocasionados a los usuarios.</w:t>
      </w:r>
    </w:p>
    <w:p w:rsidR="005A73B4" w:rsidRDefault="00000000">
      <w:pPr>
        <w:pStyle w:val="Textoindependiente"/>
        <w:spacing w:before="323"/>
        <w:ind w:left="119" w:right="100"/>
        <w:jc w:val="both"/>
      </w:pPr>
      <w:r>
        <w:t>Esta situación llevó a la Superintendencia de Servicios Sanitarios (SISS) a evaluar una serie de medidas en materia de resguardo sanitario para las zonas afectadas, entre ellas el Plan de Suministro Alternativo, a través de camiones aljibe.</w:t>
      </w:r>
    </w:p>
    <w:p w:rsidR="005A73B4" w:rsidRDefault="005A73B4">
      <w:pPr>
        <w:pStyle w:val="Textoindependiente"/>
        <w:spacing w:before="1"/>
      </w:pPr>
    </w:p>
    <w:p w:rsidR="005A73B4" w:rsidRDefault="00000000">
      <w:pPr>
        <w:pStyle w:val="Textoindependiente"/>
        <w:ind w:left="119" w:right="100"/>
        <w:jc w:val="both"/>
      </w:pPr>
      <w:r>
        <w:t>Sin embargo, no existió una resolución inmediata para los usuarios. Por ello, en respuesta a esta problemática, resulta fundamental implementar un marco regulatorio que contemple un mecanismo especial de compensaciones automáticas en el ámbito de los servicios sanitarios. Dicho mecanismo debe estar claramente deﬁnido en la normativa sectorial y permitir la aplicación inmediata de compensaciones a los usuarios afectados por interrupciones no justiﬁcadas. El reconocimiento expreso de este derecho en el Decreto con Fuerza de Ley Nº382 de la Ley General de Servicios Sanitarios es una medida urgente y necesaria para garantizar</w:t>
      </w:r>
      <w:r>
        <w:rPr>
          <w:spacing w:val="-10"/>
        </w:rPr>
        <w:t xml:space="preserve"> </w:t>
      </w:r>
      <w:r>
        <w:t>la</w:t>
      </w:r>
      <w:r>
        <w:rPr>
          <w:spacing w:val="-9"/>
        </w:rPr>
        <w:t xml:space="preserve"> </w:t>
      </w:r>
      <w:r>
        <w:t>protección</w:t>
      </w:r>
      <w:r>
        <w:rPr>
          <w:spacing w:val="-9"/>
        </w:rPr>
        <w:t xml:space="preserve"> </w:t>
      </w:r>
      <w:r>
        <w:t>de</w:t>
      </w:r>
      <w:r>
        <w:rPr>
          <w:spacing w:val="-9"/>
        </w:rPr>
        <w:t xml:space="preserve"> </w:t>
      </w:r>
      <w:r>
        <w:t>los</w:t>
      </w:r>
      <w:r>
        <w:rPr>
          <w:spacing w:val="-9"/>
        </w:rPr>
        <w:t xml:space="preserve"> </w:t>
      </w:r>
      <w:r>
        <w:t>consumidores.</w:t>
      </w:r>
      <w:r>
        <w:rPr>
          <w:spacing w:val="-15"/>
        </w:rPr>
        <w:t xml:space="preserve"> </w:t>
      </w:r>
      <w:r>
        <w:t>Además,</w:t>
      </w:r>
      <w:r>
        <w:rPr>
          <w:spacing w:val="-9"/>
        </w:rPr>
        <w:t xml:space="preserve"> </w:t>
      </w:r>
      <w:r>
        <w:t>las</w:t>
      </w:r>
      <w:r>
        <w:rPr>
          <w:spacing w:val="-9"/>
        </w:rPr>
        <w:t xml:space="preserve"> </w:t>
      </w:r>
      <w:r>
        <w:t>compensaciones</w:t>
      </w:r>
      <w:r>
        <w:rPr>
          <w:spacing w:val="-9"/>
        </w:rPr>
        <w:t xml:space="preserve"> </w:t>
      </w:r>
      <w:r>
        <w:t>deberán calcularse</w:t>
      </w:r>
      <w:r>
        <w:rPr>
          <w:spacing w:val="-13"/>
        </w:rPr>
        <w:t xml:space="preserve"> </w:t>
      </w:r>
      <w:r>
        <w:t>considerando</w:t>
      </w:r>
      <w:r>
        <w:rPr>
          <w:spacing w:val="-13"/>
        </w:rPr>
        <w:t xml:space="preserve"> </w:t>
      </w:r>
      <w:r>
        <w:t>la</w:t>
      </w:r>
      <w:r>
        <w:rPr>
          <w:spacing w:val="-13"/>
        </w:rPr>
        <w:t xml:space="preserve"> </w:t>
      </w:r>
      <w:r>
        <w:t>duración</w:t>
      </w:r>
      <w:r>
        <w:rPr>
          <w:spacing w:val="-13"/>
        </w:rPr>
        <w:t xml:space="preserve"> </w:t>
      </w:r>
      <w:r>
        <w:t>de</w:t>
      </w:r>
      <w:r>
        <w:rPr>
          <w:spacing w:val="-13"/>
        </w:rPr>
        <w:t xml:space="preserve"> </w:t>
      </w:r>
      <w:r>
        <w:t>la</w:t>
      </w:r>
      <w:r>
        <w:rPr>
          <w:spacing w:val="-13"/>
        </w:rPr>
        <w:t xml:space="preserve"> </w:t>
      </w:r>
      <w:r>
        <w:t>interrupción,</w:t>
      </w:r>
      <w:r>
        <w:rPr>
          <w:spacing w:val="-13"/>
        </w:rPr>
        <w:t xml:space="preserve"> </w:t>
      </w:r>
      <w:r>
        <w:t>su</w:t>
      </w:r>
      <w:r>
        <w:rPr>
          <w:spacing w:val="-13"/>
        </w:rPr>
        <w:t xml:space="preserve"> </w:t>
      </w:r>
      <w:r>
        <w:t>frecuencia</w:t>
      </w:r>
      <w:r>
        <w:rPr>
          <w:spacing w:val="-13"/>
        </w:rPr>
        <w:t xml:space="preserve"> </w:t>
      </w:r>
      <w:r>
        <w:t>y</w:t>
      </w:r>
      <w:r>
        <w:rPr>
          <w:spacing w:val="-13"/>
        </w:rPr>
        <w:t xml:space="preserve"> </w:t>
      </w:r>
      <w:r>
        <w:t>el</w:t>
      </w:r>
      <w:r>
        <w:rPr>
          <w:spacing w:val="-13"/>
        </w:rPr>
        <w:t xml:space="preserve"> </w:t>
      </w:r>
      <w:r>
        <w:t>número</w:t>
      </w:r>
      <w:r>
        <w:rPr>
          <w:spacing w:val="-13"/>
        </w:rPr>
        <w:t xml:space="preserve"> </w:t>
      </w:r>
      <w:r>
        <w:t xml:space="preserve">de usuarios afectados, asegurando que el resarcimiento sea proporcional a los daños </w:t>
      </w:r>
      <w:r>
        <w:rPr>
          <w:spacing w:val="-2"/>
        </w:rPr>
        <w:t>sufridos.</w:t>
      </w:r>
    </w:p>
    <w:p w:rsidR="005A73B4" w:rsidRDefault="005A73B4">
      <w:pPr>
        <w:pStyle w:val="Textoindependiente"/>
      </w:pPr>
    </w:p>
    <w:p w:rsidR="005A73B4" w:rsidRDefault="00000000">
      <w:pPr>
        <w:pStyle w:val="Textoindependiente"/>
        <w:spacing w:before="1"/>
        <w:ind w:left="119" w:right="100"/>
        <w:jc w:val="both"/>
      </w:pPr>
      <w:r>
        <w:t>Un sistema efectivo de compensaciones también debe incluir mecanismos que permitan a las empresas concesionarias realizar los abonos correspondientes de manera</w:t>
      </w:r>
      <w:r>
        <w:rPr>
          <w:spacing w:val="-8"/>
        </w:rPr>
        <w:t xml:space="preserve"> </w:t>
      </w:r>
      <w:r>
        <w:t>automática,</w:t>
      </w:r>
      <w:r>
        <w:rPr>
          <w:spacing w:val="-8"/>
        </w:rPr>
        <w:t xml:space="preserve"> </w:t>
      </w:r>
      <w:r>
        <w:t>incorporándolos</w:t>
      </w:r>
      <w:r>
        <w:rPr>
          <w:spacing w:val="-8"/>
        </w:rPr>
        <w:t xml:space="preserve"> </w:t>
      </w:r>
      <w:r>
        <w:t>en</w:t>
      </w:r>
      <w:r>
        <w:rPr>
          <w:spacing w:val="-8"/>
        </w:rPr>
        <w:t xml:space="preserve"> </w:t>
      </w:r>
      <w:r>
        <w:t>las</w:t>
      </w:r>
      <w:r>
        <w:rPr>
          <w:spacing w:val="-8"/>
        </w:rPr>
        <w:t xml:space="preserve"> </w:t>
      </w:r>
      <w:r>
        <w:t>facturaciones</w:t>
      </w:r>
      <w:r>
        <w:rPr>
          <w:spacing w:val="-8"/>
        </w:rPr>
        <w:t xml:space="preserve"> </w:t>
      </w:r>
      <w:r>
        <w:t>subsiguientes,</w:t>
      </w:r>
      <w:r>
        <w:rPr>
          <w:spacing w:val="-8"/>
        </w:rPr>
        <w:t xml:space="preserve"> </w:t>
      </w:r>
      <w:r>
        <w:t>teniendo</w:t>
      </w:r>
      <w:r>
        <w:rPr>
          <w:spacing w:val="-8"/>
        </w:rPr>
        <w:t xml:space="preserve"> </w:t>
      </w:r>
      <w:r>
        <w:t xml:space="preserve">la Superintendencia de Servicios Sanitarios (SISS) un rol clave en la supervisión de estas compensaciones, así como en la resolución de disputas entre usuarios y </w:t>
      </w:r>
      <w:r>
        <w:rPr>
          <w:spacing w:val="-2"/>
        </w:rPr>
        <w:t>empresas.</w:t>
      </w:r>
    </w:p>
    <w:p w:rsidR="005A73B4" w:rsidRDefault="005A73B4">
      <w:pPr>
        <w:jc w:val="both"/>
        <w:sectPr w:rsidR="005A73B4">
          <w:pgSz w:w="12240" w:h="15840"/>
          <w:pgMar w:top="2360" w:right="1600" w:bottom="280" w:left="1580" w:header="815" w:footer="0" w:gutter="0"/>
          <w:cols w:space="720"/>
        </w:sectPr>
      </w:pPr>
    </w:p>
    <w:p w:rsidR="005A73B4" w:rsidRDefault="005A73B4">
      <w:pPr>
        <w:pStyle w:val="Textoindependiente"/>
      </w:pPr>
    </w:p>
    <w:p w:rsidR="005A73B4" w:rsidRDefault="005A73B4">
      <w:pPr>
        <w:pStyle w:val="Textoindependiente"/>
        <w:spacing w:before="77"/>
      </w:pPr>
    </w:p>
    <w:p w:rsidR="005A73B4" w:rsidRDefault="00000000">
      <w:pPr>
        <w:pStyle w:val="Textoindependiente"/>
        <w:spacing w:before="1"/>
        <w:ind w:left="119" w:right="100"/>
        <w:jc w:val="both"/>
      </w:pPr>
      <w:r>
        <w:t>Asimismo, se debe establecerse un régimen de sanciones severas para las concesionarias que incumplan con estas disposiciones, junto con medidas de transparencia</w:t>
      </w:r>
      <w:r>
        <w:rPr>
          <w:spacing w:val="-7"/>
        </w:rPr>
        <w:t xml:space="preserve"> </w:t>
      </w:r>
      <w:r>
        <w:t>que</w:t>
      </w:r>
      <w:r>
        <w:rPr>
          <w:spacing w:val="-7"/>
        </w:rPr>
        <w:t xml:space="preserve"> </w:t>
      </w:r>
      <w:r>
        <w:t>permitan</w:t>
      </w:r>
      <w:r>
        <w:rPr>
          <w:spacing w:val="-7"/>
        </w:rPr>
        <w:t xml:space="preserve"> </w:t>
      </w:r>
      <w:r>
        <w:t>a</w:t>
      </w:r>
      <w:r>
        <w:rPr>
          <w:spacing w:val="-7"/>
        </w:rPr>
        <w:t xml:space="preserve"> </w:t>
      </w:r>
      <w:r>
        <w:t>los</w:t>
      </w:r>
      <w:r>
        <w:rPr>
          <w:spacing w:val="-7"/>
        </w:rPr>
        <w:t xml:space="preserve"> </w:t>
      </w:r>
      <w:r>
        <w:t>usuarios</w:t>
      </w:r>
      <w:r>
        <w:rPr>
          <w:spacing w:val="-7"/>
        </w:rPr>
        <w:t xml:space="preserve"> </w:t>
      </w:r>
      <w:r>
        <w:t>conocer</w:t>
      </w:r>
      <w:r>
        <w:rPr>
          <w:spacing w:val="-7"/>
        </w:rPr>
        <w:t xml:space="preserve"> </w:t>
      </w:r>
      <w:r>
        <w:t>y</w:t>
      </w:r>
      <w:r>
        <w:rPr>
          <w:spacing w:val="-7"/>
        </w:rPr>
        <w:t xml:space="preserve"> </w:t>
      </w:r>
      <w:r>
        <w:t>ejercer</w:t>
      </w:r>
      <w:r>
        <w:rPr>
          <w:spacing w:val="-7"/>
        </w:rPr>
        <w:t xml:space="preserve"> </w:t>
      </w:r>
      <w:r>
        <w:t>sus</w:t>
      </w:r>
      <w:r>
        <w:rPr>
          <w:spacing w:val="-7"/>
        </w:rPr>
        <w:t xml:space="preserve"> </w:t>
      </w:r>
      <w:r>
        <w:t>derechos</w:t>
      </w:r>
      <w:r>
        <w:rPr>
          <w:spacing w:val="-7"/>
        </w:rPr>
        <w:t xml:space="preserve"> </w:t>
      </w:r>
      <w:r>
        <w:t>de</w:t>
      </w:r>
      <w:r>
        <w:rPr>
          <w:spacing w:val="-7"/>
        </w:rPr>
        <w:t xml:space="preserve"> </w:t>
      </w:r>
      <w:r>
        <w:t xml:space="preserve">manera </w:t>
      </w:r>
      <w:r>
        <w:rPr>
          <w:spacing w:val="-2"/>
        </w:rPr>
        <w:t>efectiva.</w:t>
      </w:r>
    </w:p>
    <w:p w:rsidR="005A73B4" w:rsidRDefault="00000000">
      <w:pPr>
        <w:pStyle w:val="Textoindependiente"/>
        <w:spacing w:before="322"/>
        <w:ind w:left="119" w:right="100"/>
        <w:jc w:val="both"/>
      </w:pPr>
      <w:r>
        <w:t>De</w:t>
      </w:r>
      <w:r>
        <w:rPr>
          <w:spacing w:val="-7"/>
        </w:rPr>
        <w:t xml:space="preserve"> </w:t>
      </w:r>
      <w:r>
        <w:t>allí</w:t>
      </w:r>
      <w:r>
        <w:rPr>
          <w:spacing w:val="-7"/>
        </w:rPr>
        <w:t xml:space="preserve"> </w:t>
      </w:r>
      <w:r>
        <w:t>que</w:t>
      </w:r>
      <w:r>
        <w:rPr>
          <w:spacing w:val="-7"/>
        </w:rPr>
        <w:t xml:space="preserve"> </w:t>
      </w:r>
      <w:r>
        <w:t>resulta</w:t>
      </w:r>
      <w:r>
        <w:rPr>
          <w:spacing w:val="-7"/>
        </w:rPr>
        <w:t xml:space="preserve"> </w:t>
      </w:r>
      <w:r>
        <w:t>absolutamente</w:t>
      </w:r>
      <w:r>
        <w:rPr>
          <w:spacing w:val="-7"/>
        </w:rPr>
        <w:t xml:space="preserve"> </w:t>
      </w:r>
      <w:r>
        <w:t>necesaria</w:t>
      </w:r>
      <w:r>
        <w:rPr>
          <w:spacing w:val="-7"/>
        </w:rPr>
        <w:t xml:space="preserve"> </w:t>
      </w:r>
      <w:r>
        <w:t>la</w:t>
      </w:r>
      <w:r>
        <w:rPr>
          <w:spacing w:val="-7"/>
        </w:rPr>
        <w:t xml:space="preserve"> </w:t>
      </w:r>
      <w:r>
        <w:t>implementación</w:t>
      </w:r>
      <w:r>
        <w:rPr>
          <w:spacing w:val="-7"/>
        </w:rPr>
        <w:t xml:space="preserve"> </w:t>
      </w:r>
      <w:r>
        <w:t>de</w:t>
      </w:r>
      <w:r>
        <w:rPr>
          <w:spacing w:val="-7"/>
        </w:rPr>
        <w:t xml:space="preserve"> </w:t>
      </w:r>
      <w:r>
        <w:t>un</w:t>
      </w:r>
      <w:r>
        <w:rPr>
          <w:spacing w:val="-7"/>
        </w:rPr>
        <w:t xml:space="preserve"> </w:t>
      </w:r>
      <w:r>
        <w:t>mecanismo</w:t>
      </w:r>
      <w:r>
        <w:rPr>
          <w:spacing w:val="-7"/>
        </w:rPr>
        <w:t xml:space="preserve"> </w:t>
      </w:r>
      <w:r>
        <w:t>de compensaciones</w:t>
      </w:r>
      <w:r>
        <w:rPr>
          <w:spacing w:val="-15"/>
        </w:rPr>
        <w:t xml:space="preserve"> </w:t>
      </w:r>
      <w:r>
        <w:t>automáticas</w:t>
      </w:r>
      <w:r>
        <w:rPr>
          <w:spacing w:val="-15"/>
        </w:rPr>
        <w:t xml:space="preserve"> </w:t>
      </w:r>
      <w:r>
        <w:t>en</w:t>
      </w:r>
      <w:r>
        <w:rPr>
          <w:spacing w:val="-15"/>
        </w:rPr>
        <w:t xml:space="preserve"> </w:t>
      </w:r>
      <w:r>
        <w:t>Chile,</w:t>
      </w:r>
      <w:r>
        <w:rPr>
          <w:spacing w:val="-15"/>
        </w:rPr>
        <w:t xml:space="preserve"> </w:t>
      </w:r>
      <w:r>
        <w:t>lo</w:t>
      </w:r>
      <w:r>
        <w:rPr>
          <w:spacing w:val="-15"/>
        </w:rPr>
        <w:t xml:space="preserve"> </w:t>
      </w:r>
      <w:r>
        <w:t>que</w:t>
      </w:r>
      <w:r>
        <w:rPr>
          <w:spacing w:val="-15"/>
        </w:rPr>
        <w:t xml:space="preserve"> </w:t>
      </w:r>
      <w:r>
        <w:t>requiere</w:t>
      </w:r>
      <w:r>
        <w:rPr>
          <w:spacing w:val="-15"/>
        </w:rPr>
        <w:t xml:space="preserve"> </w:t>
      </w:r>
      <w:r>
        <w:t>la</w:t>
      </w:r>
      <w:r>
        <w:rPr>
          <w:spacing w:val="-15"/>
        </w:rPr>
        <w:t xml:space="preserve"> </w:t>
      </w:r>
      <w:r>
        <w:t>modiﬁcación</w:t>
      </w:r>
      <w:r>
        <w:rPr>
          <w:spacing w:val="-15"/>
        </w:rPr>
        <w:t xml:space="preserve"> </w:t>
      </w:r>
      <w:r>
        <w:t>legislativa</w:t>
      </w:r>
      <w:r>
        <w:rPr>
          <w:spacing w:val="-15"/>
        </w:rPr>
        <w:t xml:space="preserve"> </w:t>
      </w:r>
      <w:r>
        <w:t>del Decreto</w:t>
      </w:r>
      <w:r>
        <w:rPr>
          <w:spacing w:val="-3"/>
        </w:rPr>
        <w:t xml:space="preserve"> </w:t>
      </w:r>
      <w:r>
        <w:t>con</w:t>
      </w:r>
      <w:r>
        <w:rPr>
          <w:spacing w:val="-3"/>
        </w:rPr>
        <w:t xml:space="preserve"> </w:t>
      </w:r>
      <w:r>
        <w:t>Fuerza</w:t>
      </w:r>
      <w:r>
        <w:rPr>
          <w:spacing w:val="-3"/>
        </w:rPr>
        <w:t xml:space="preserve"> </w:t>
      </w:r>
      <w:r>
        <w:t>de</w:t>
      </w:r>
      <w:r>
        <w:rPr>
          <w:spacing w:val="-3"/>
        </w:rPr>
        <w:t xml:space="preserve"> </w:t>
      </w:r>
      <w:r>
        <w:t>Ley</w:t>
      </w:r>
      <w:r>
        <w:rPr>
          <w:spacing w:val="-3"/>
        </w:rPr>
        <w:t xml:space="preserve"> </w:t>
      </w:r>
      <w:r>
        <w:t>Nº382</w:t>
      </w:r>
      <w:r>
        <w:rPr>
          <w:spacing w:val="-3"/>
        </w:rPr>
        <w:t xml:space="preserve"> </w:t>
      </w:r>
      <w:r>
        <w:t>para</w:t>
      </w:r>
      <w:r>
        <w:rPr>
          <w:spacing w:val="-3"/>
        </w:rPr>
        <w:t xml:space="preserve"> </w:t>
      </w:r>
      <w:r>
        <w:t>incorporar</w:t>
      </w:r>
      <w:r>
        <w:rPr>
          <w:spacing w:val="-3"/>
        </w:rPr>
        <w:t xml:space="preserve"> </w:t>
      </w:r>
      <w:r>
        <w:t>esta</w:t>
      </w:r>
      <w:r>
        <w:rPr>
          <w:spacing w:val="-3"/>
        </w:rPr>
        <w:t xml:space="preserve"> </w:t>
      </w:r>
      <w:r>
        <w:t>normativa</w:t>
      </w:r>
      <w:r>
        <w:rPr>
          <w:spacing w:val="-3"/>
        </w:rPr>
        <w:t xml:space="preserve"> </w:t>
      </w:r>
      <w:r>
        <w:t>de</w:t>
      </w:r>
      <w:r>
        <w:rPr>
          <w:spacing w:val="-3"/>
        </w:rPr>
        <w:t xml:space="preserve"> </w:t>
      </w:r>
      <w:r>
        <w:t>manera</w:t>
      </w:r>
      <w:r>
        <w:rPr>
          <w:spacing w:val="-3"/>
        </w:rPr>
        <w:t xml:space="preserve"> </w:t>
      </w:r>
      <w:r>
        <w:t>clara</w:t>
      </w:r>
      <w:r>
        <w:rPr>
          <w:spacing w:val="-3"/>
        </w:rPr>
        <w:t xml:space="preserve"> </w:t>
      </w:r>
      <w:r>
        <w:t xml:space="preserve">y </w:t>
      </w:r>
      <w:r>
        <w:rPr>
          <w:spacing w:val="-2"/>
        </w:rPr>
        <w:t>vinculante.</w:t>
      </w:r>
    </w:p>
    <w:p w:rsidR="005A73B4" w:rsidRDefault="005A73B4">
      <w:pPr>
        <w:pStyle w:val="Textoindependiente"/>
        <w:spacing w:before="3"/>
      </w:pPr>
    </w:p>
    <w:p w:rsidR="005A73B4" w:rsidRDefault="00000000">
      <w:pPr>
        <w:pStyle w:val="Textoindependiente"/>
        <w:spacing w:before="1"/>
        <w:ind w:left="119" w:right="100"/>
        <w:jc w:val="both"/>
      </w:pPr>
      <w:r>
        <w:t>Todo lo anterior, pues un sistema de compensaciones automáticas garantizará que los</w:t>
      </w:r>
      <w:r>
        <w:rPr>
          <w:spacing w:val="-4"/>
        </w:rPr>
        <w:t xml:space="preserve"> </w:t>
      </w:r>
      <w:r>
        <w:t>usuarios</w:t>
      </w:r>
      <w:r>
        <w:rPr>
          <w:spacing w:val="-4"/>
        </w:rPr>
        <w:t xml:space="preserve"> </w:t>
      </w:r>
      <w:r>
        <w:t>reciban</w:t>
      </w:r>
      <w:r>
        <w:rPr>
          <w:spacing w:val="-4"/>
        </w:rPr>
        <w:t xml:space="preserve"> </w:t>
      </w:r>
      <w:r>
        <w:t>un</w:t>
      </w:r>
      <w:r>
        <w:rPr>
          <w:spacing w:val="-4"/>
        </w:rPr>
        <w:t xml:space="preserve"> </w:t>
      </w:r>
      <w:r>
        <w:t>resarcimiento</w:t>
      </w:r>
      <w:r>
        <w:rPr>
          <w:spacing w:val="-4"/>
        </w:rPr>
        <w:t xml:space="preserve"> </w:t>
      </w:r>
      <w:r>
        <w:t>justo</w:t>
      </w:r>
      <w:r>
        <w:rPr>
          <w:spacing w:val="-4"/>
        </w:rPr>
        <w:t xml:space="preserve"> </w:t>
      </w:r>
      <w:r>
        <w:t>y</w:t>
      </w:r>
      <w:r>
        <w:rPr>
          <w:spacing w:val="-4"/>
        </w:rPr>
        <w:t xml:space="preserve"> </w:t>
      </w:r>
      <w:r>
        <w:t>oportuno</w:t>
      </w:r>
      <w:r>
        <w:rPr>
          <w:spacing w:val="-4"/>
        </w:rPr>
        <w:t xml:space="preserve"> </w:t>
      </w:r>
      <w:r>
        <w:t>por</w:t>
      </w:r>
      <w:r>
        <w:rPr>
          <w:spacing w:val="-4"/>
        </w:rPr>
        <w:t xml:space="preserve"> </w:t>
      </w:r>
      <w:r>
        <w:t>las</w:t>
      </w:r>
      <w:r>
        <w:rPr>
          <w:spacing w:val="-4"/>
        </w:rPr>
        <w:t xml:space="preserve"> </w:t>
      </w:r>
      <w:r>
        <w:t>interrupciones</w:t>
      </w:r>
      <w:r>
        <w:rPr>
          <w:spacing w:val="-4"/>
        </w:rPr>
        <w:t xml:space="preserve"> </w:t>
      </w:r>
      <w:r>
        <w:t>en</w:t>
      </w:r>
      <w:r>
        <w:rPr>
          <w:spacing w:val="-4"/>
        </w:rPr>
        <w:t xml:space="preserve"> </w:t>
      </w:r>
      <w:r>
        <w:t>los servicios esenciales, incentivando a las empresas concesionarias a invertir en infraestructuras más resilientes y conﬁables. Además, mejorará la conﬁanza en el sistema regulatorio y reducirá las controversias judiciales y administrativas derivadas de la falta de claridad en las normativas actuales.</w:t>
      </w:r>
    </w:p>
    <w:p w:rsidR="005A73B4" w:rsidRDefault="00000000">
      <w:pPr>
        <w:pStyle w:val="Ttulo1"/>
        <w:spacing w:before="322"/>
      </w:pPr>
      <w:r>
        <w:t xml:space="preserve">IDEA </w:t>
      </w:r>
      <w:r>
        <w:rPr>
          <w:spacing w:val="-2"/>
        </w:rPr>
        <w:t>MATRIZ.</w:t>
      </w:r>
    </w:p>
    <w:p w:rsidR="005A73B4" w:rsidRDefault="005A73B4">
      <w:pPr>
        <w:pStyle w:val="Textoindependiente"/>
        <w:spacing w:before="1"/>
        <w:rPr>
          <w:b/>
        </w:rPr>
      </w:pPr>
    </w:p>
    <w:p w:rsidR="005A73B4" w:rsidRDefault="00000000">
      <w:pPr>
        <w:pStyle w:val="Textoindependiente"/>
        <w:ind w:left="119" w:right="100"/>
        <w:jc w:val="both"/>
      </w:pPr>
      <w:r>
        <w:t>Modiﬁcar</w:t>
      </w:r>
      <w:r>
        <w:rPr>
          <w:spacing w:val="-3"/>
        </w:rPr>
        <w:t xml:space="preserve"> </w:t>
      </w:r>
      <w:r>
        <w:t>el</w:t>
      </w:r>
      <w:r>
        <w:rPr>
          <w:spacing w:val="-3"/>
        </w:rPr>
        <w:t xml:space="preserve"> </w:t>
      </w:r>
      <w:r>
        <w:t>Decreto</w:t>
      </w:r>
      <w:r>
        <w:rPr>
          <w:spacing w:val="-3"/>
        </w:rPr>
        <w:t xml:space="preserve"> </w:t>
      </w:r>
      <w:r>
        <w:t>con</w:t>
      </w:r>
      <w:r>
        <w:rPr>
          <w:spacing w:val="-3"/>
        </w:rPr>
        <w:t xml:space="preserve"> </w:t>
      </w:r>
      <w:r>
        <w:t>Fuerza</w:t>
      </w:r>
      <w:r>
        <w:rPr>
          <w:spacing w:val="-3"/>
        </w:rPr>
        <w:t xml:space="preserve"> </w:t>
      </w:r>
      <w:r>
        <w:t>de</w:t>
      </w:r>
      <w:r>
        <w:rPr>
          <w:spacing w:val="-3"/>
        </w:rPr>
        <w:t xml:space="preserve"> </w:t>
      </w:r>
      <w:r>
        <w:t>Ley</w:t>
      </w:r>
      <w:r>
        <w:rPr>
          <w:spacing w:val="-3"/>
        </w:rPr>
        <w:t xml:space="preserve"> </w:t>
      </w:r>
      <w:r>
        <w:t>Nº382,</w:t>
      </w:r>
      <w:r>
        <w:rPr>
          <w:spacing w:val="-3"/>
        </w:rPr>
        <w:t xml:space="preserve"> </w:t>
      </w:r>
      <w:r>
        <w:t>del</w:t>
      </w:r>
      <w:r>
        <w:rPr>
          <w:spacing w:val="-3"/>
        </w:rPr>
        <w:t xml:space="preserve"> </w:t>
      </w:r>
      <w:r>
        <w:t>Ministerio</w:t>
      </w:r>
      <w:r>
        <w:rPr>
          <w:spacing w:val="-3"/>
        </w:rPr>
        <w:t xml:space="preserve"> </w:t>
      </w:r>
      <w:r>
        <w:t>de</w:t>
      </w:r>
      <w:r>
        <w:rPr>
          <w:spacing w:val="-3"/>
        </w:rPr>
        <w:t xml:space="preserve"> </w:t>
      </w:r>
      <w:r>
        <w:t>Obras</w:t>
      </w:r>
      <w:r>
        <w:rPr>
          <w:spacing w:val="-3"/>
        </w:rPr>
        <w:t xml:space="preserve"> </w:t>
      </w:r>
      <w:r>
        <w:t>Públicas,</w:t>
      </w:r>
      <w:r>
        <w:rPr>
          <w:spacing w:val="-3"/>
        </w:rPr>
        <w:t xml:space="preserve"> </w:t>
      </w:r>
      <w:r>
        <w:t>de 1989, Ley General de Servicios Sanitarios, con el objeto de establecer compensaciones por cortes de suministro de servicios sanitarios.</w:t>
      </w:r>
    </w:p>
    <w:p w:rsidR="005A73B4" w:rsidRDefault="005A73B4">
      <w:pPr>
        <w:pStyle w:val="Textoindependiente"/>
      </w:pPr>
    </w:p>
    <w:p w:rsidR="005A73B4" w:rsidRDefault="005A73B4">
      <w:pPr>
        <w:pStyle w:val="Textoindependiente"/>
        <w:spacing w:before="320"/>
      </w:pPr>
    </w:p>
    <w:p w:rsidR="005A73B4" w:rsidRDefault="00000000">
      <w:pPr>
        <w:pStyle w:val="Ttulo1"/>
        <w:ind w:left="16"/>
        <w:jc w:val="center"/>
      </w:pPr>
      <w:r>
        <w:t>PROYECTO</w:t>
      </w:r>
      <w:r>
        <w:rPr>
          <w:spacing w:val="-4"/>
        </w:rPr>
        <w:t xml:space="preserve"> </w:t>
      </w:r>
      <w:r>
        <w:t>DE</w:t>
      </w:r>
      <w:r>
        <w:rPr>
          <w:spacing w:val="-1"/>
        </w:rPr>
        <w:t xml:space="preserve"> </w:t>
      </w:r>
      <w:r>
        <w:rPr>
          <w:spacing w:val="-5"/>
        </w:rPr>
        <w:t>LEY</w:t>
      </w:r>
    </w:p>
    <w:p w:rsidR="005A73B4" w:rsidRDefault="005A73B4">
      <w:pPr>
        <w:pStyle w:val="Textoindependiente"/>
        <w:rPr>
          <w:b/>
        </w:rPr>
      </w:pPr>
    </w:p>
    <w:p w:rsidR="005A73B4" w:rsidRDefault="005A73B4">
      <w:pPr>
        <w:pStyle w:val="Textoindependiente"/>
        <w:spacing w:before="3"/>
        <w:rPr>
          <w:b/>
        </w:rPr>
      </w:pPr>
    </w:p>
    <w:p w:rsidR="005A73B4" w:rsidRDefault="00000000">
      <w:pPr>
        <w:pStyle w:val="Textoindependiente"/>
        <w:ind w:left="119" w:right="100"/>
        <w:jc w:val="both"/>
      </w:pPr>
      <w:r>
        <w:rPr>
          <w:b/>
        </w:rPr>
        <w:t xml:space="preserve">ARTÍCULO ÚNICO.- </w:t>
      </w:r>
      <w:r>
        <w:t>Incorpórase en el decreto con fuerza de ley Nº 382, del Ministerio de Obras Públicas, de 1989, Ley General de Servicios Sanitarios, el siguiente artículo 35 bis, nuevo:</w:t>
      </w:r>
    </w:p>
    <w:p w:rsidR="005A73B4" w:rsidRDefault="005A73B4">
      <w:pPr>
        <w:pStyle w:val="Textoindependiente"/>
        <w:spacing w:before="3"/>
      </w:pPr>
    </w:p>
    <w:p w:rsidR="005A73B4" w:rsidRDefault="00000000">
      <w:pPr>
        <w:pStyle w:val="Textoindependiente"/>
        <w:spacing w:line="237" w:lineRule="auto"/>
        <w:ind w:left="119" w:right="100"/>
        <w:jc w:val="both"/>
      </w:pPr>
      <w:r>
        <w:t>“</w:t>
      </w:r>
      <w:r>
        <w:rPr>
          <w:b/>
        </w:rPr>
        <w:t xml:space="preserve">Artículo 35 bis.- </w:t>
      </w:r>
      <w:r>
        <w:t>Toda interrupción o suspensión del servicio de producción o distribución</w:t>
      </w:r>
      <w:r>
        <w:rPr>
          <w:spacing w:val="19"/>
        </w:rPr>
        <w:t xml:space="preserve"> </w:t>
      </w:r>
      <w:r>
        <w:t>de</w:t>
      </w:r>
      <w:r>
        <w:rPr>
          <w:spacing w:val="19"/>
        </w:rPr>
        <w:t xml:space="preserve"> </w:t>
      </w:r>
      <w:r>
        <w:t>agua</w:t>
      </w:r>
      <w:r>
        <w:rPr>
          <w:spacing w:val="19"/>
        </w:rPr>
        <w:t xml:space="preserve"> </w:t>
      </w:r>
      <w:r>
        <w:t>potable,</w:t>
      </w:r>
      <w:r>
        <w:rPr>
          <w:spacing w:val="19"/>
        </w:rPr>
        <w:t xml:space="preserve"> </w:t>
      </w:r>
      <w:r>
        <w:t>o</w:t>
      </w:r>
      <w:r>
        <w:rPr>
          <w:spacing w:val="19"/>
        </w:rPr>
        <w:t xml:space="preserve"> </w:t>
      </w:r>
      <w:r>
        <w:t>del</w:t>
      </w:r>
      <w:r>
        <w:rPr>
          <w:spacing w:val="20"/>
        </w:rPr>
        <w:t xml:space="preserve"> </w:t>
      </w:r>
      <w:r>
        <w:t>servicio</w:t>
      </w:r>
      <w:r>
        <w:rPr>
          <w:spacing w:val="19"/>
        </w:rPr>
        <w:t xml:space="preserve"> </w:t>
      </w:r>
      <w:r>
        <w:t>de</w:t>
      </w:r>
      <w:r>
        <w:rPr>
          <w:spacing w:val="19"/>
        </w:rPr>
        <w:t xml:space="preserve"> </w:t>
      </w:r>
      <w:r>
        <w:t>recolección</w:t>
      </w:r>
      <w:r>
        <w:rPr>
          <w:spacing w:val="19"/>
        </w:rPr>
        <w:t xml:space="preserve"> </w:t>
      </w:r>
      <w:r>
        <w:t>o</w:t>
      </w:r>
      <w:r>
        <w:rPr>
          <w:spacing w:val="19"/>
        </w:rPr>
        <w:t xml:space="preserve"> </w:t>
      </w:r>
      <w:r>
        <w:t>disposición</w:t>
      </w:r>
      <w:r>
        <w:rPr>
          <w:spacing w:val="19"/>
        </w:rPr>
        <w:t xml:space="preserve"> </w:t>
      </w:r>
      <w:r>
        <w:t>de</w:t>
      </w:r>
      <w:r>
        <w:rPr>
          <w:spacing w:val="20"/>
        </w:rPr>
        <w:t xml:space="preserve"> </w:t>
      </w:r>
      <w:r>
        <w:rPr>
          <w:spacing w:val="-2"/>
        </w:rPr>
        <w:t>aguas</w:t>
      </w:r>
    </w:p>
    <w:p w:rsidR="005A73B4" w:rsidRDefault="005A73B4">
      <w:pPr>
        <w:spacing w:line="237" w:lineRule="auto"/>
        <w:jc w:val="both"/>
        <w:sectPr w:rsidR="005A73B4">
          <w:pgSz w:w="12240" w:h="15840"/>
          <w:pgMar w:top="2360" w:right="1600" w:bottom="280" w:left="1580" w:header="815" w:footer="0" w:gutter="0"/>
          <w:cols w:space="720"/>
        </w:sectPr>
      </w:pPr>
    </w:p>
    <w:p w:rsidR="005A73B4" w:rsidRDefault="005A73B4">
      <w:pPr>
        <w:pStyle w:val="Textoindependiente"/>
        <w:spacing w:before="75"/>
      </w:pPr>
    </w:p>
    <w:p w:rsidR="005A73B4" w:rsidRDefault="00000000">
      <w:pPr>
        <w:pStyle w:val="Textoindependiente"/>
        <w:ind w:left="119" w:right="100"/>
        <w:jc w:val="both"/>
      </w:pPr>
      <w:r>
        <w:t>servidas, que afecte parcial o íntegramente una o más áreas de la concesión, dará lugar a una compensación a los usuarios afectados por cada día de interrupción o suspensión,</w:t>
      </w:r>
      <w:r>
        <w:rPr>
          <w:spacing w:val="-2"/>
        </w:rPr>
        <w:t xml:space="preserve"> </w:t>
      </w:r>
      <w:r>
        <w:t>de</w:t>
      </w:r>
      <w:r>
        <w:rPr>
          <w:spacing w:val="-2"/>
        </w:rPr>
        <w:t xml:space="preserve"> </w:t>
      </w:r>
      <w:r>
        <w:t>cargo</w:t>
      </w:r>
      <w:r>
        <w:rPr>
          <w:spacing w:val="-2"/>
        </w:rPr>
        <w:t xml:space="preserve"> </w:t>
      </w:r>
      <w:r>
        <w:t>del</w:t>
      </w:r>
      <w:r>
        <w:rPr>
          <w:spacing w:val="-2"/>
        </w:rPr>
        <w:t xml:space="preserve"> </w:t>
      </w:r>
      <w:r>
        <w:t>respectivo</w:t>
      </w:r>
      <w:r>
        <w:rPr>
          <w:spacing w:val="-2"/>
        </w:rPr>
        <w:t xml:space="preserve"> </w:t>
      </w:r>
      <w:r>
        <w:t>concesionario,</w:t>
      </w:r>
      <w:r>
        <w:rPr>
          <w:spacing w:val="-2"/>
        </w:rPr>
        <w:t xml:space="preserve"> </w:t>
      </w:r>
      <w:r>
        <w:t>equivalente</w:t>
      </w:r>
      <w:r>
        <w:rPr>
          <w:spacing w:val="-2"/>
        </w:rPr>
        <w:t xml:space="preserve"> </w:t>
      </w:r>
      <w:r>
        <w:t>a</w:t>
      </w:r>
      <w:r>
        <w:rPr>
          <w:spacing w:val="-2"/>
        </w:rPr>
        <w:t xml:space="preserve"> </w:t>
      </w:r>
      <w:r>
        <w:t>diez</w:t>
      </w:r>
      <w:r>
        <w:rPr>
          <w:spacing w:val="-2"/>
        </w:rPr>
        <w:t xml:space="preserve"> </w:t>
      </w:r>
      <w:r>
        <w:t>veces</w:t>
      </w:r>
      <w:r>
        <w:rPr>
          <w:spacing w:val="-2"/>
        </w:rPr>
        <w:t xml:space="preserve"> </w:t>
      </w:r>
      <w:r>
        <w:t>el</w:t>
      </w:r>
      <w:r>
        <w:rPr>
          <w:spacing w:val="-2"/>
        </w:rPr>
        <w:t xml:space="preserve"> </w:t>
      </w:r>
      <w:r>
        <w:t>valor del servicio que fue interrumpido o suspendido, valorizado a la tarifa vigente que corresponda al momento de la respectiva interrupción o suspensión. Lo anterior, salvo</w:t>
      </w:r>
      <w:r>
        <w:rPr>
          <w:spacing w:val="-3"/>
        </w:rPr>
        <w:t xml:space="preserve"> </w:t>
      </w:r>
      <w:r>
        <w:t>que</w:t>
      </w:r>
      <w:r>
        <w:rPr>
          <w:spacing w:val="-3"/>
        </w:rPr>
        <w:t xml:space="preserve"> </w:t>
      </w:r>
      <w:r>
        <w:t>dicha</w:t>
      </w:r>
      <w:r>
        <w:rPr>
          <w:spacing w:val="-3"/>
        </w:rPr>
        <w:t xml:space="preserve"> </w:t>
      </w:r>
      <w:r>
        <w:t>interrupción</w:t>
      </w:r>
      <w:r>
        <w:rPr>
          <w:spacing w:val="-3"/>
        </w:rPr>
        <w:t xml:space="preserve"> </w:t>
      </w:r>
      <w:r>
        <w:t>o</w:t>
      </w:r>
      <w:r>
        <w:rPr>
          <w:spacing w:val="-3"/>
        </w:rPr>
        <w:t xml:space="preserve"> </w:t>
      </w:r>
      <w:r>
        <w:t>suspensión</w:t>
      </w:r>
      <w:r>
        <w:rPr>
          <w:spacing w:val="-3"/>
        </w:rPr>
        <w:t xml:space="preserve"> </w:t>
      </w:r>
      <w:r>
        <w:t>esté</w:t>
      </w:r>
      <w:r>
        <w:rPr>
          <w:spacing w:val="-3"/>
        </w:rPr>
        <w:t xml:space="preserve"> </w:t>
      </w:r>
      <w:r>
        <w:t>expresamente</w:t>
      </w:r>
      <w:r>
        <w:rPr>
          <w:spacing w:val="-3"/>
        </w:rPr>
        <w:t xml:space="preserve"> </w:t>
      </w:r>
      <w:r>
        <w:t>autorizada</w:t>
      </w:r>
      <w:r>
        <w:rPr>
          <w:spacing w:val="-3"/>
        </w:rPr>
        <w:t xml:space="preserve"> </w:t>
      </w:r>
      <w:r>
        <w:t>en</w:t>
      </w:r>
      <w:r>
        <w:rPr>
          <w:spacing w:val="-3"/>
        </w:rPr>
        <w:t xml:space="preserve"> </w:t>
      </w:r>
      <w:r>
        <w:t>la</w:t>
      </w:r>
      <w:r>
        <w:rPr>
          <w:spacing w:val="-3"/>
        </w:rPr>
        <w:t xml:space="preserve"> </w:t>
      </w:r>
      <w:r>
        <w:t>ley</w:t>
      </w:r>
      <w:r>
        <w:rPr>
          <w:spacing w:val="-3"/>
        </w:rPr>
        <w:t xml:space="preserve"> </w:t>
      </w:r>
      <w:r>
        <w:t xml:space="preserve">o derive de un evento de fuerza mayor debidamente caliﬁcado por la </w:t>
      </w:r>
      <w:r>
        <w:rPr>
          <w:spacing w:val="-2"/>
        </w:rPr>
        <w:t>Superintendencia.</w:t>
      </w:r>
    </w:p>
    <w:p w:rsidR="005A73B4" w:rsidRDefault="005A73B4">
      <w:pPr>
        <w:pStyle w:val="Textoindependiente"/>
        <w:spacing w:before="4"/>
      </w:pPr>
    </w:p>
    <w:p w:rsidR="005A73B4" w:rsidRDefault="00000000">
      <w:pPr>
        <w:pStyle w:val="Textoindependiente"/>
        <w:ind w:left="119" w:right="100"/>
        <w:jc w:val="both"/>
      </w:pPr>
      <w:r>
        <w:t>Se</w:t>
      </w:r>
      <w:r>
        <w:rPr>
          <w:spacing w:val="-15"/>
        </w:rPr>
        <w:t xml:space="preserve"> </w:t>
      </w:r>
      <w:r>
        <w:t>entenderá</w:t>
      </w:r>
      <w:r>
        <w:rPr>
          <w:spacing w:val="-15"/>
        </w:rPr>
        <w:t xml:space="preserve"> </w:t>
      </w:r>
      <w:r>
        <w:t>como</w:t>
      </w:r>
      <w:r>
        <w:rPr>
          <w:spacing w:val="-15"/>
        </w:rPr>
        <w:t xml:space="preserve"> </w:t>
      </w:r>
      <w:r>
        <w:t>un</w:t>
      </w:r>
      <w:r>
        <w:rPr>
          <w:spacing w:val="-15"/>
        </w:rPr>
        <w:t xml:space="preserve"> </w:t>
      </w:r>
      <w:r>
        <w:t>día</w:t>
      </w:r>
      <w:r>
        <w:rPr>
          <w:spacing w:val="-15"/>
        </w:rPr>
        <w:t xml:space="preserve"> </w:t>
      </w:r>
      <w:r>
        <w:t>de</w:t>
      </w:r>
      <w:r>
        <w:rPr>
          <w:spacing w:val="-15"/>
        </w:rPr>
        <w:t xml:space="preserve"> </w:t>
      </w:r>
      <w:r>
        <w:t>interrupción</w:t>
      </w:r>
      <w:r>
        <w:rPr>
          <w:spacing w:val="-15"/>
        </w:rPr>
        <w:t xml:space="preserve"> </w:t>
      </w:r>
      <w:r>
        <w:t>o</w:t>
      </w:r>
      <w:r>
        <w:rPr>
          <w:spacing w:val="-15"/>
        </w:rPr>
        <w:t xml:space="preserve"> </w:t>
      </w:r>
      <w:r>
        <w:t>suspensión</w:t>
      </w:r>
      <w:r>
        <w:rPr>
          <w:spacing w:val="-15"/>
        </w:rPr>
        <w:t xml:space="preserve"> </w:t>
      </w:r>
      <w:r>
        <w:t>cada</w:t>
      </w:r>
      <w:r>
        <w:rPr>
          <w:spacing w:val="-15"/>
        </w:rPr>
        <w:t xml:space="preserve"> </w:t>
      </w:r>
      <w:r>
        <w:t>vez</w:t>
      </w:r>
      <w:r>
        <w:rPr>
          <w:spacing w:val="-15"/>
        </w:rPr>
        <w:t xml:space="preserve"> </w:t>
      </w:r>
      <w:r>
        <w:t>que</w:t>
      </w:r>
      <w:r>
        <w:rPr>
          <w:spacing w:val="-15"/>
        </w:rPr>
        <w:t xml:space="preserve"> </w:t>
      </w:r>
      <w:r>
        <w:t>el</w:t>
      </w:r>
      <w:r>
        <w:rPr>
          <w:spacing w:val="-15"/>
        </w:rPr>
        <w:t xml:space="preserve"> </w:t>
      </w:r>
      <w:r>
        <w:t>servicio</w:t>
      </w:r>
      <w:r>
        <w:rPr>
          <w:spacing w:val="-15"/>
        </w:rPr>
        <w:t xml:space="preserve"> </w:t>
      </w:r>
      <w:r>
        <w:t>haya sido interrumpido o suspendido por diez horas continuas o más dentro de un período de veinticuatro horas contado a partir del inicio del evento. Si la interrupción o suspensión del servicio tuvo una duración inferior a diez horas, el cálculo indicado en el inciso anterior se hará de manera proporcional al tiempo de la interrupción o suspensión del servicio respectivo.</w:t>
      </w:r>
    </w:p>
    <w:p w:rsidR="005A73B4" w:rsidRDefault="00000000">
      <w:pPr>
        <w:pStyle w:val="Textoindependiente"/>
        <w:spacing w:before="323"/>
        <w:ind w:left="119" w:right="100"/>
        <w:jc w:val="both"/>
      </w:pPr>
      <w:r>
        <w:t>La compensación regulada en este artículo se efectuará inmediatamente por la correspondiente concesionaria, descontando las cantidades correspondientes en la facturación más próxima, sin perjuicio del derecho de la concesionaria a repetir en contra de terceros responsables.</w:t>
      </w:r>
    </w:p>
    <w:p w:rsidR="005A73B4" w:rsidRDefault="00000000">
      <w:pPr>
        <w:pStyle w:val="Textoindependiente"/>
        <w:spacing w:before="323" w:line="242" w:lineRule="auto"/>
        <w:ind w:left="119" w:right="100"/>
        <w:jc w:val="both"/>
      </w:pPr>
      <w:r>
        <w:t>El pago de la compensación correspondiente a los usuarios afectados no obsta a la aplicación de las sanciones que correspondan a la concesionaria responsable.</w:t>
      </w:r>
    </w:p>
    <w:p w:rsidR="005A73B4" w:rsidRDefault="00000000">
      <w:pPr>
        <w:pStyle w:val="Textoindependiente"/>
        <w:spacing w:before="315" w:line="242" w:lineRule="auto"/>
        <w:ind w:left="119" w:right="100"/>
        <w:jc w:val="both"/>
      </w:pPr>
      <w:r>
        <w:t>El incumplimiento de lo dispuesto en este artículo será sancionado de acuerdo con el artículo 55 de esta ley.”.</w:t>
      </w:r>
    </w:p>
    <w:p w:rsidR="005A73B4" w:rsidRDefault="005A73B4">
      <w:pPr>
        <w:pStyle w:val="Textoindependiente"/>
      </w:pPr>
    </w:p>
    <w:p w:rsidR="005A73B4" w:rsidRDefault="005A73B4">
      <w:pPr>
        <w:pStyle w:val="Textoindependiente"/>
      </w:pPr>
    </w:p>
    <w:p w:rsidR="005A73B4" w:rsidRDefault="005A73B4">
      <w:pPr>
        <w:pStyle w:val="Textoindependiente"/>
      </w:pPr>
    </w:p>
    <w:p w:rsidR="005A73B4" w:rsidRDefault="005A73B4">
      <w:pPr>
        <w:pStyle w:val="Textoindependiente"/>
        <w:spacing w:before="321"/>
      </w:pPr>
    </w:p>
    <w:p w:rsidR="005A73B4" w:rsidRDefault="00000000">
      <w:pPr>
        <w:pStyle w:val="Ttulo1"/>
        <w:spacing w:line="323" w:lineRule="exact"/>
        <w:ind w:left="16"/>
        <w:jc w:val="center"/>
      </w:pPr>
      <w:r>
        <w:t xml:space="preserve">VÍCTOR PINO </w:t>
      </w:r>
      <w:r>
        <w:rPr>
          <w:spacing w:val="-2"/>
        </w:rPr>
        <w:t>FUENTES</w:t>
      </w:r>
    </w:p>
    <w:p w:rsidR="005A73B4" w:rsidRDefault="00000000">
      <w:pPr>
        <w:pStyle w:val="Textoindependiente"/>
        <w:spacing w:line="323" w:lineRule="exact"/>
        <w:ind w:left="16"/>
        <w:jc w:val="center"/>
      </w:pPr>
      <w:r>
        <w:t>Diputado</w:t>
      </w:r>
      <w:r>
        <w:rPr>
          <w:spacing w:val="-1"/>
        </w:rPr>
        <w:t xml:space="preserve"> </w:t>
      </w:r>
      <w:r>
        <w:t>de</w:t>
      </w:r>
      <w:r>
        <w:rPr>
          <w:spacing w:val="-1"/>
        </w:rPr>
        <w:t xml:space="preserve"> </w:t>
      </w:r>
      <w:r>
        <w:t xml:space="preserve">la </w:t>
      </w:r>
      <w:r>
        <w:rPr>
          <w:spacing w:val="-2"/>
        </w:rPr>
        <w:t>República</w:t>
      </w:r>
    </w:p>
    <w:sectPr w:rsidR="005A73B4">
      <w:pgSz w:w="12240" w:h="15840"/>
      <w:pgMar w:top="2360" w:right="1600" w:bottom="280" w:left="1580" w:header="8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4427" w:rsidRDefault="00904427">
      <w:r>
        <w:separator/>
      </w:r>
    </w:p>
  </w:endnote>
  <w:endnote w:type="continuationSeparator" w:id="0">
    <w:p w:rsidR="00904427" w:rsidRDefault="0090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4427" w:rsidRDefault="00904427">
      <w:r>
        <w:separator/>
      </w:r>
    </w:p>
  </w:footnote>
  <w:footnote w:type="continuationSeparator" w:id="0">
    <w:p w:rsidR="00904427" w:rsidRDefault="00904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73B4" w:rsidRDefault="00000000">
    <w:pPr>
      <w:pStyle w:val="Textoindependiente"/>
      <w:spacing w:line="14" w:lineRule="auto"/>
      <w:rPr>
        <w:sz w:val="20"/>
      </w:rPr>
    </w:pPr>
    <w:r>
      <w:rPr>
        <w:noProof/>
      </w:rPr>
      <w:drawing>
        <wp:anchor distT="0" distB="0" distL="0" distR="0" simplePos="0" relativeHeight="487544320" behindDoc="1" locked="0" layoutInCell="1" allowOverlap="1">
          <wp:simplePos x="0" y="0"/>
          <wp:positionH relativeFrom="page">
            <wp:posOffset>3357639</wp:posOffset>
          </wp:positionH>
          <wp:positionV relativeFrom="page">
            <wp:posOffset>517350</wp:posOffset>
          </wp:positionV>
          <wp:extent cx="1071502" cy="98947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1502" cy="98947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73B4"/>
    <w:rsid w:val="005A73B4"/>
    <w:rsid w:val="00904427"/>
    <w:rsid w:val="00B35F4F"/>
    <w:rsid w:val="00F12B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582EA-F0BE-49AE-A978-77928176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1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6250</Characters>
  <Application>Microsoft Office Word</Application>
  <DocSecurity>0</DocSecurity>
  <Lines>52</Lines>
  <Paragraphs>14</Paragraphs>
  <ScaleCrop>false</ScaleCrop>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2025-01-20T20:39:00Z</dcterms:created>
  <dcterms:modified xsi:type="dcterms:W3CDTF">2025-01-21T14:05:00Z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LastSaved">
    <vt:filetime>2025-01-20T00:00:00Z</vt:filetime>
  </property>
  <property fmtid="{D5CDD505-2E9C-101B-9397-08002B2CF9AE}" pid="4" name="Producer">
    <vt:lpwstr>macOS Versión 15.2 (Compilación 24C101) Quartz PDFContext</vt:lpwstr>
  </property>
</Properties>
</file>