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B6AAF" w:rsidRDefault="008B6AAF">
      <w:pPr>
        <w:pStyle w:val="Textoindependiente"/>
        <w:rPr>
          <w:rFonts w:ascii="Times New Roman"/>
          <w:sz w:val="28"/>
        </w:rPr>
      </w:pPr>
    </w:p>
    <w:p w:rsidR="008B6AAF" w:rsidRDefault="008B6AAF">
      <w:pPr>
        <w:pStyle w:val="Textoindependiente"/>
        <w:spacing w:before="154"/>
        <w:rPr>
          <w:rFonts w:ascii="Times New Roman"/>
          <w:sz w:val="28"/>
        </w:rPr>
      </w:pPr>
    </w:p>
    <w:p w:rsidR="008B6AAF" w:rsidRDefault="00000000">
      <w:pPr>
        <w:pStyle w:val="Ttulo"/>
      </w:pPr>
      <w:r>
        <w:t>PROYECTO</w:t>
      </w:r>
      <w:r>
        <w:rPr>
          <w:spacing w:val="-7"/>
        </w:rPr>
        <w:t xml:space="preserve"> </w:t>
      </w:r>
      <w:r>
        <w:t>DE</w:t>
      </w:r>
      <w:r>
        <w:rPr>
          <w:spacing w:val="-6"/>
        </w:rPr>
        <w:t xml:space="preserve"> </w:t>
      </w:r>
      <w:r>
        <w:t>LEY</w:t>
      </w:r>
      <w:r>
        <w:rPr>
          <w:spacing w:val="-12"/>
        </w:rPr>
        <w:t xml:space="preserve"> </w:t>
      </w:r>
      <w:r>
        <w:t>“OBRAS</w:t>
      </w:r>
      <w:r>
        <w:rPr>
          <w:spacing w:val="-4"/>
        </w:rPr>
        <w:t xml:space="preserve"> </w:t>
      </w:r>
      <w:r>
        <w:t>PÚBLICAS</w:t>
      </w:r>
      <w:r>
        <w:rPr>
          <w:spacing w:val="-4"/>
        </w:rPr>
        <w:t xml:space="preserve"> </w:t>
      </w:r>
      <w:r>
        <w:t>PARA</w:t>
      </w:r>
      <w:r>
        <w:rPr>
          <w:spacing w:val="-3"/>
        </w:rPr>
        <w:t xml:space="preserve"> </w:t>
      </w:r>
      <w:r>
        <w:rPr>
          <w:spacing w:val="-2"/>
        </w:rPr>
        <w:t>TODOS</w:t>
      </w:r>
    </w:p>
    <w:p w:rsidR="008B6AAF" w:rsidRDefault="008B6AAF">
      <w:pPr>
        <w:pStyle w:val="Textoindependiente"/>
        <w:rPr>
          <w:b/>
          <w:sz w:val="28"/>
        </w:rPr>
      </w:pPr>
    </w:p>
    <w:p w:rsidR="008B6AAF" w:rsidRDefault="00000000">
      <w:pPr>
        <w:pStyle w:val="Ttulo1"/>
        <w:spacing w:line="504" w:lineRule="auto"/>
        <w:ind w:left="2186" w:right="2185"/>
        <w:jc w:val="center"/>
      </w:pPr>
      <w:r>
        <w:t>REGULA</w:t>
      </w:r>
      <w:r>
        <w:rPr>
          <w:spacing w:val="-8"/>
        </w:rPr>
        <w:t xml:space="preserve"> </w:t>
      </w:r>
      <w:r>
        <w:t>EL</w:t>
      </w:r>
      <w:r>
        <w:rPr>
          <w:spacing w:val="-8"/>
        </w:rPr>
        <w:t xml:space="preserve"> </w:t>
      </w:r>
      <w:r>
        <w:t>USO</w:t>
      </w:r>
      <w:r>
        <w:rPr>
          <w:spacing w:val="-8"/>
        </w:rPr>
        <w:t xml:space="preserve"> </w:t>
      </w:r>
      <w:r>
        <w:t>DEL</w:t>
      </w:r>
      <w:r>
        <w:rPr>
          <w:spacing w:val="-8"/>
        </w:rPr>
        <w:t xml:space="preserve"> </w:t>
      </w:r>
      <w:r>
        <w:t>ESPACIO</w:t>
      </w:r>
      <w:r>
        <w:rPr>
          <w:spacing w:val="-8"/>
        </w:rPr>
        <w:t xml:space="preserve"> </w:t>
      </w:r>
      <w:r>
        <w:t>PÚBLICO NI MAUSOLEOS NI ALTARES NARCOS.</w:t>
      </w:r>
    </w:p>
    <w:p w:rsidR="008B6AAF" w:rsidRDefault="008B6AAF">
      <w:pPr>
        <w:pStyle w:val="Textoindependiente"/>
        <w:rPr>
          <w:b/>
        </w:rPr>
      </w:pPr>
    </w:p>
    <w:p w:rsidR="008B6AAF" w:rsidRDefault="008B6AAF">
      <w:pPr>
        <w:pStyle w:val="Textoindependiente"/>
        <w:spacing w:before="23"/>
        <w:rPr>
          <w:b/>
        </w:rPr>
      </w:pPr>
    </w:p>
    <w:p w:rsidR="008B6AAF" w:rsidRDefault="00000000">
      <w:pPr>
        <w:ind w:left="262"/>
        <w:rPr>
          <w:b/>
          <w:sz w:val="24"/>
        </w:rPr>
      </w:pPr>
      <w:r>
        <w:rPr>
          <w:b/>
          <w:spacing w:val="-2"/>
          <w:sz w:val="24"/>
        </w:rPr>
        <w:t>FUNDAMENTACIÓN</w:t>
      </w:r>
    </w:p>
    <w:p w:rsidR="008B6AAF" w:rsidRDefault="008B6AAF">
      <w:pPr>
        <w:pStyle w:val="Textoindependiente"/>
        <w:spacing w:before="26"/>
        <w:rPr>
          <w:b/>
        </w:rPr>
      </w:pPr>
    </w:p>
    <w:p w:rsidR="008B6AAF" w:rsidRDefault="00000000">
      <w:pPr>
        <w:pStyle w:val="Textoindependiente"/>
        <w:spacing w:before="1" w:line="360" w:lineRule="auto"/>
        <w:ind w:left="262" w:right="257"/>
        <w:jc w:val="both"/>
      </w:pPr>
      <w:r>
        <w:t>El espacio público, como expresión del bien común y soporte material de la vida urbana, debe resguardarse</w:t>
      </w:r>
      <w:r>
        <w:rPr>
          <w:spacing w:val="-13"/>
        </w:rPr>
        <w:t xml:space="preserve"> </w:t>
      </w:r>
      <w:r>
        <w:t>de</w:t>
      </w:r>
      <w:r>
        <w:rPr>
          <w:spacing w:val="-13"/>
        </w:rPr>
        <w:t xml:space="preserve"> </w:t>
      </w:r>
      <w:r>
        <w:t>toda</w:t>
      </w:r>
      <w:r>
        <w:rPr>
          <w:spacing w:val="-14"/>
        </w:rPr>
        <w:t xml:space="preserve"> </w:t>
      </w:r>
      <w:r>
        <w:t>forma</w:t>
      </w:r>
      <w:r>
        <w:rPr>
          <w:spacing w:val="-13"/>
        </w:rPr>
        <w:t xml:space="preserve"> </w:t>
      </w:r>
      <w:r>
        <w:t>de</w:t>
      </w:r>
      <w:r>
        <w:rPr>
          <w:spacing w:val="-13"/>
        </w:rPr>
        <w:t xml:space="preserve"> </w:t>
      </w:r>
      <w:r>
        <w:t>apropiación</w:t>
      </w:r>
      <w:r>
        <w:rPr>
          <w:spacing w:val="-14"/>
        </w:rPr>
        <w:t xml:space="preserve"> </w:t>
      </w:r>
      <w:r>
        <w:t>simbólica,</w:t>
      </w:r>
      <w:r>
        <w:rPr>
          <w:spacing w:val="-14"/>
        </w:rPr>
        <w:t xml:space="preserve"> </w:t>
      </w:r>
      <w:r>
        <w:t>ideológica</w:t>
      </w:r>
      <w:r>
        <w:rPr>
          <w:spacing w:val="-13"/>
        </w:rPr>
        <w:t xml:space="preserve"> </w:t>
      </w:r>
      <w:r>
        <w:t>o</w:t>
      </w:r>
      <w:r>
        <w:rPr>
          <w:spacing w:val="-14"/>
        </w:rPr>
        <w:t xml:space="preserve"> </w:t>
      </w:r>
      <w:r>
        <w:t>territorial</w:t>
      </w:r>
      <w:r>
        <w:rPr>
          <w:spacing w:val="-14"/>
        </w:rPr>
        <w:t xml:space="preserve"> </w:t>
      </w:r>
      <w:r>
        <w:t>que</w:t>
      </w:r>
      <w:r>
        <w:rPr>
          <w:spacing w:val="-13"/>
        </w:rPr>
        <w:t xml:space="preserve"> </w:t>
      </w:r>
      <w:r>
        <w:t>lo</w:t>
      </w:r>
      <w:r>
        <w:rPr>
          <w:spacing w:val="-14"/>
        </w:rPr>
        <w:t xml:space="preserve"> </w:t>
      </w:r>
      <w:r>
        <w:t>desnaturalice o que altere su función de integración, circulación y seguridad para toda la población. En los últimos años, se ha incrementado la instalación de estructuras conmemorativas funerarias — como animitas, altares, murales, placas y mausoleos en bienes nacionales de uso público y en inmuebles privados visibles desde éstos, muchas veces sin autorización y en condiciones que afectan la neutralidad y seguridad del entorno urbano.</w:t>
      </w:r>
    </w:p>
    <w:p w:rsidR="008B6AAF" w:rsidRDefault="00000000">
      <w:pPr>
        <w:pStyle w:val="Textoindependiente"/>
        <w:spacing w:before="160" w:line="360" w:lineRule="auto"/>
        <w:ind w:left="262" w:right="261"/>
        <w:jc w:val="both"/>
      </w:pPr>
      <w:r>
        <w:t>Estas prácticas, aun cuando motivadas por el duelo, se han transformado en manifestaciones que generan temor, exaltan figuras vinculadas al crimen organizado, obstaculizan el uso del espacio público e incluso reproducen rituales que desafían la autoridad del Estado. Del mismo modo, los funerales violentos y la cobertura mediática de estas expresiones han contribuido a naturalizar patrones culturales que glorifican la muerte, impactando negativamente a niños, familias y adultos mayores.</w:t>
      </w:r>
    </w:p>
    <w:p w:rsidR="008B6AAF" w:rsidRDefault="00000000">
      <w:pPr>
        <w:pStyle w:val="Textoindependiente"/>
        <w:spacing w:before="160" w:line="360" w:lineRule="auto"/>
        <w:ind w:left="262" w:right="259"/>
        <w:jc w:val="both"/>
      </w:pPr>
      <w:r>
        <w:t>El presente proyecto no restringe la libertad de culto ni el derecho al duelo íntimo, pero sí delimita expresamente el uso del espacio público para fines conmemorativos, sin importar la causa del fallecimiento, la identidad del homenajeado o la motivación del acto. La norma se aplica</w:t>
      </w:r>
      <w:r>
        <w:rPr>
          <w:spacing w:val="-11"/>
        </w:rPr>
        <w:t xml:space="preserve"> </w:t>
      </w:r>
      <w:r>
        <w:t>de</w:t>
      </w:r>
      <w:r>
        <w:rPr>
          <w:spacing w:val="-8"/>
        </w:rPr>
        <w:t xml:space="preserve"> </w:t>
      </w:r>
      <w:r>
        <w:t>forma</w:t>
      </w:r>
      <w:r>
        <w:rPr>
          <w:spacing w:val="-11"/>
        </w:rPr>
        <w:t xml:space="preserve"> </w:t>
      </w:r>
      <w:r>
        <w:t>general,</w:t>
      </w:r>
      <w:r>
        <w:rPr>
          <w:spacing w:val="-9"/>
        </w:rPr>
        <w:t xml:space="preserve"> </w:t>
      </w:r>
      <w:r>
        <w:t>objetiva</w:t>
      </w:r>
      <w:r>
        <w:rPr>
          <w:spacing w:val="-11"/>
        </w:rPr>
        <w:t xml:space="preserve"> </w:t>
      </w:r>
      <w:r>
        <w:t>y</w:t>
      </w:r>
      <w:r>
        <w:rPr>
          <w:spacing w:val="-8"/>
        </w:rPr>
        <w:t xml:space="preserve"> </w:t>
      </w:r>
      <w:r>
        <w:t>no</w:t>
      </w:r>
      <w:r>
        <w:rPr>
          <w:spacing w:val="-9"/>
        </w:rPr>
        <w:t xml:space="preserve"> </w:t>
      </w:r>
      <w:r>
        <w:t>discriminatoria,</w:t>
      </w:r>
      <w:r>
        <w:rPr>
          <w:spacing w:val="-9"/>
        </w:rPr>
        <w:t xml:space="preserve"> </w:t>
      </w:r>
      <w:r>
        <w:t>precisamente</w:t>
      </w:r>
      <w:r>
        <w:rPr>
          <w:spacing w:val="-8"/>
        </w:rPr>
        <w:t xml:space="preserve"> </w:t>
      </w:r>
      <w:r>
        <w:t>para</w:t>
      </w:r>
      <w:r>
        <w:rPr>
          <w:spacing w:val="-11"/>
        </w:rPr>
        <w:t xml:space="preserve"> </w:t>
      </w:r>
      <w:r>
        <w:t>asegurar</w:t>
      </w:r>
      <w:r>
        <w:rPr>
          <w:spacing w:val="-10"/>
        </w:rPr>
        <w:t xml:space="preserve"> </w:t>
      </w:r>
      <w:r>
        <w:t>el</w:t>
      </w:r>
      <w:r>
        <w:rPr>
          <w:spacing w:val="-9"/>
        </w:rPr>
        <w:t xml:space="preserve"> </w:t>
      </w:r>
      <w:r>
        <w:t>principio</w:t>
      </w:r>
      <w:r>
        <w:rPr>
          <w:spacing w:val="-11"/>
        </w:rPr>
        <w:t xml:space="preserve"> </w:t>
      </w:r>
      <w:r>
        <w:t xml:space="preserve">de neutralidad del entorno común y evitar la justificación de excepciones según el contexto del </w:t>
      </w:r>
      <w:r>
        <w:rPr>
          <w:spacing w:val="-2"/>
        </w:rPr>
        <w:t>deceso.</w:t>
      </w:r>
    </w:p>
    <w:p w:rsidR="008B6AAF" w:rsidRDefault="008B6AAF">
      <w:pPr>
        <w:pStyle w:val="Textoindependiente"/>
        <w:spacing w:line="360" w:lineRule="auto"/>
        <w:jc w:val="both"/>
        <w:sectPr w:rsidR="008B6AAF">
          <w:headerReference w:type="default" r:id="rId7"/>
          <w:type w:val="continuous"/>
          <w:pgSz w:w="12240" w:h="15840"/>
          <w:pgMar w:top="2200" w:right="1440" w:bottom="280" w:left="1440" w:header="746" w:footer="0" w:gutter="0"/>
          <w:pgNumType w:start="1"/>
          <w:cols w:space="720"/>
        </w:sectPr>
      </w:pPr>
    </w:p>
    <w:p w:rsidR="008B6AAF" w:rsidRDefault="00000000">
      <w:pPr>
        <w:pStyle w:val="Ttulo1"/>
        <w:spacing w:before="96"/>
        <w:jc w:val="both"/>
      </w:pPr>
      <w:r>
        <w:lastRenderedPageBreak/>
        <w:t>ARTÍCULO</w:t>
      </w:r>
      <w:r>
        <w:rPr>
          <w:spacing w:val="-3"/>
        </w:rPr>
        <w:t xml:space="preserve"> </w:t>
      </w:r>
      <w:r>
        <w:rPr>
          <w:spacing w:val="-4"/>
        </w:rPr>
        <w:t>ÚNICO</w:t>
      </w:r>
    </w:p>
    <w:p w:rsidR="008B6AAF" w:rsidRDefault="008B6AAF">
      <w:pPr>
        <w:pStyle w:val="Textoindependiente"/>
        <w:spacing w:before="28"/>
        <w:rPr>
          <w:b/>
        </w:rPr>
      </w:pPr>
    </w:p>
    <w:p w:rsidR="008B6AAF" w:rsidRDefault="00000000">
      <w:pPr>
        <w:pStyle w:val="Textoindependiente"/>
        <w:spacing w:line="360" w:lineRule="auto"/>
        <w:ind w:left="262" w:right="259"/>
        <w:jc w:val="both"/>
      </w:pPr>
      <w:r>
        <w:t>Declárase que solo en los cementerios públicos o privados autorizados conforme al Código Sanitario podrán instalarse, mantenerse o realizarse estructuras físicas, manifestaciones simbólicas</w:t>
      </w:r>
      <w:r>
        <w:rPr>
          <w:spacing w:val="-1"/>
        </w:rPr>
        <w:t xml:space="preserve"> </w:t>
      </w:r>
      <w:r>
        <w:t>o rituales</w:t>
      </w:r>
      <w:r>
        <w:rPr>
          <w:spacing w:val="-1"/>
        </w:rPr>
        <w:t xml:space="preserve"> </w:t>
      </w:r>
      <w:r>
        <w:t>destinadas</w:t>
      </w:r>
      <w:r>
        <w:rPr>
          <w:spacing w:val="-1"/>
        </w:rPr>
        <w:t xml:space="preserve"> </w:t>
      </w:r>
      <w:r>
        <w:t>a recordar,</w:t>
      </w:r>
      <w:r>
        <w:rPr>
          <w:spacing w:val="-1"/>
        </w:rPr>
        <w:t xml:space="preserve"> </w:t>
      </w:r>
      <w:r>
        <w:t>invocar,</w:t>
      </w:r>
      <w:r>
        <w:rPr>
          <w:spacing w:val="-1"/>
        </w:rPr>
        <w:t xml:space="preserve"> </w:t>
      </w:r>
      <w:r>
        <w:t>conmemorar</w:t>
      </w:r>
      <w:r>
        <w:rPr>
          <w:spacing w:val="-1"/>
        </w:rPr>
        <w:t xml:space="preserve"> </w:t>
      </w:r>
      <w:r>
        <w:t>o rendir</w:t>
      </w:r>
      <w:r>
        <w:rPr>
          <w:spacing w:val="-1"/>
        </w:rPr>
        <w:t xml:space="preserve"> </w:t>
      </w:r>
      <w:r>
        <w:t>homenaje a personas fallecidas,</w:t>
      </w:r>
      <w:r>
        <w:rPr>
          <w:spacing w:val="-15"/>
        </w:rPr>
        <w:t xml:space="preserve"> </w:t>
      </w:r>
      <w:r>
        <w:t>con</w:t>
      </w:r>
      <w:r>
        <w:rPr>
          <w:spacing w:val="-15"/>
        </w:rPr>
        <w:t xml:space="preserve"> </w:t>
      </w:r>
      <w:r>
        <w:t>independencia</w:t>
      </w:r>
      <w:r>
        <w:rPr>
          <w:spacing w:val="-15"/>
        </w:rPr>
        <w:t xml:space="preserve"> </w:t>
      </w:r>
      <w:r>
        <w:t>absoluta</w:t>
      </w:r>
      <w:r>
        <w:rPr>
          <w:spacing w:val="-15"/>
        </w:rPr>
        <w:t xml:space="preserve"> </w:t>
      </w:r>
      <w:r>
        <w:t>de</w:t>
      </w:r>
      <w:r>
        <w:rPr>
          <w:spacing w:val="-15"/>
        </w:rPr>
        <w:t xml:space="preserve"> </w:t>
      </w:r>
      <w:r>
        <w:t>la</w:t>
      </w:r>
      <w:r>
        <w:rPr>
          <w:spacing w:val="-15"/>
        </w:rPr>
        <w:t xml:space="preserve"> </w:t>
      </w:r>
      <w:r>
        <w:t>causa</w:t>
      </w:r>
      <w:r>
        <w:rPr>
          <w:spacing w:val="-14"/>
        </w:rPr>
        <w:t xml:space="preserve"> </w:t>
      </w:r>
      <w:r>
        <w:t>de</w:t>
      </w:r>
      <w:r>
        <w:rPr>
          <w:spacing w:val="-15"/>
        </w:rPr>
        <w:t xml:space="preserve"> </w:t>
      </w:r>
      <w:r>
        <w:t>muerte,</w:t>
      </w:r>
      <w:r>
        <w:rPr>
          <w:spacing w:val="-15"/>
        </w:rPr>
        <w:t xml:space="preserve"> </w:t>
      </w:r>
      <w:r>
        <w:t>del</w:t>
      </w:r>
      <w:r>
        <w:rPr>
          <w:spacing w:val="-15"/>
        </w:rPr>
        <w:t xml:space="preserve"> </w:t>
      </w:r>
      <w:r>
        <w:t>vínculo</w:t>
      </w:r>
      <w:r>
        <w:rPr>
          <w:spacing w:val="-15"/>
        </w:rPr>
        <w:t xml:space="preserve"> </w:t>
      </w:r>
      <w:r>
        <w:t>del</w:t>
      </w:r>
      <w:r>
        <w:rPr>
          <w:spacing w:val="-15"/>
        </w:rPr>
        <w:t xml:space="preserve"> </w:t>
      </w:r>
      <w:r>
        <w:t>fallecido</w:t>
      </w:r>
      <w:r>
        <w:rPr>
          <w:spacing w:val="-14"/>
        </w:rPr>
        <w:t xml:space="preserve"> </w:t>
      </w:r>
      <w:r>
        <w:t>con</w:t>
      </w:r>
      <w:r>
        <w:rPr>
          <w:spacing w:val="-15"/>
        </w:rPr>
        <w:t xml:space="preserve"> </w:t>
      </w:r>
      <w:r>
        <w:t>hechos delictuales, del contenido del homenaje o de la identidad del homenajeado.</w:t>
      </w:r>
    </w:p>
    <w:p w:rsidR="008B6AAF" w:rsidRDefault="00000000">
      <w:pPr>
        <w:pStyle w:val="Ttulo2"/>
        <w:spacing w:before="158"/>
        <w:ind w:left="262" w:firstLine="0"/>
      </w:pPr>
      <w:r>
        <w:t>En</w:t>
      </w:r>
      <w:r>
        <w:rPr>
          <w:spacing w:val="-5"/>
        </w:rPr>
        <w:t xml:space="preserve"> </w:t>
      </w:r>
      <w:r>
        <w:t>consecuencia,</w:t>
      </w:r>
      <w:r>
        <w:rPr>
          <w:spacing w:val="-4"/>
        </w:rPr>
        <w:t xml:space="preserve"> </w:t>
      </w:r>
      <w:r>
        <w:t>prohíbase</w:t>
      </w:r>
      <w:r>
        <w:rPr>
          <w:spacing w:val="-4"/>
        </w:rPr>
        <w:t xml:space="preserve"> </w:t>
      </w:r>
      <w:r>
        <w:t>en</w:t>
      </w:r>
      <w:r>
        <w:rPr>
          <w:spacing w:val="-4"/>
        </w:rPr>
        <w:t xml:space="preserve"> </w:t>
      </w:r>
      <w:r>
        <w:t>todo</w:t>
      </w:r>
      <w:r>
        <w:rPr>
          <w:spacing w:val="-4"/>
        </w:rPr>
        <w:t xml:space="preserve"> </w:t>
      </w:r>
      <w:r>
        <w:t>el</w:t>
      </w:r>
      <w:r>
        <w:rPr>
          <w:spacing w:val="-4"/>
        </w:rPr>
        <w:t xml:space="preserve"> </w:t>
      </w:r>
      <w:r>
        <w:t>territorio</w:t>
      </w:r>
      <w:r>
        <w:rPr>
          <w:spacing w:val="-3"/>
        </w:rPr>
        <w:t xml:space="preserve"> </w:t>
      </w:r>
      <w:r>
        <w:rPr>
          <w:spacing w:val="-2"/>
        </w:rPr>
        <w:t>nacional:</w:t>
      </w:r>
    </w:p>
    <w:p w:rsidR="008B6AAF" w:rsidRDefault="008B6AAF">
      <w:pPr>
        <w:pStyle w:val="Textoindependiente"/>
        <w:spacing w:before="23"/>
        <w:rPr>
          <w:b/>
        </w:rPr>
      </w:pPr>
    </w:p>
    <w:p w:rsidR="008B6AAF" w:rsidRDefault="00000000">
      <w:pPr>
        <w:pStyle w:val="Prrafodelista"/>
        <w:numPr>
          <w:ilvl w:val="0"/>
          <w:numId w:val="1"/>
        </w:numPr>
        <w:tabs>
          <w:tab w:val="left" w:pos="478"/>
        </w:tabs>
        <w:spacing w:before="1"/>
        <w:ind w:left="478" w:hanging="216"/>
        <w:jc w:val="both"/>
        <w:rPr>
          <w:b/>
          <w:sz w:val="24"/>
        </w:rPr>
      </w:pPr>
      <w:r>
        <w:rPr>
          <w:b/>
          <w:sz w:val="24"/>
        </w:rPr>
        <w:t>En</w:t>
      </w:r>
      <w:r>
        <w:rPr>
          <w:b/>
          <w:spacing w:val="-2"/>
          <w:sz w:val="24"/>
        </w:rPr>
        <w:t xml:space="preserve"> </w:t>
      </w:r>
      <w:r>
        <w:rPr>
          <w:b/>
          <w:sz w:val="24"/>
        </w:rPr>
        <w:t>materia</w:t>
      </w:r>
      <w:r>
        <w:rPr>
          <w:b/>
          <w:spacing w:val="-1"/>
          <w:sz w:val="24"/>
        </w:rPr>
        <w:t xml:space="preserve"> </w:t>
      </w:r>
      <w:r>
        <w:rPr>
          <w:b/>
          <w:sz w:val="24"/>
        </w:rPr>
        <w:t>de</w:t>
      </w:r>
      <w:r>
        <w:rPr>
          <w:b/>
          <w:spacing w:val="-1"/>
          <w:sz w:val="24"/>
        </w:rPr>
        <w:t xml:space="preserve"> </w:t>
      </w:r>
      <w:r>
        <w:rPr>
          <w:b/>
          <w:sz w:val="24"/>
        </w:rPr>
        <w:t>espacio</w:t>
      </w:r>
      <w:r>
        <w:rPr>
          <w:b/>
          <w:spacing w:val="-1"/>
          <w:sz w:val="24"/>
        </w:rPr>
        <w:t xml:space="preserve"> </w:t>
      </w:r>
      <w:r>
        <w:rPr>
          <w:b/>
          <w:spacing w:val="-2"/>
          <w:sz w:val="24"/>
        </w:rPr>
        <w:t>físico:</w:t>
      </w:r>
    </w:p>
    <w:p w:rsidR="008B6AAF" w:rsidRDefault="008B6AAF">
      <w:pPr>
        <w:pStyle w:val="Textoindependiente"/>
        <w:spacing w:before="28"/>
        <w:rPr>
          <w:b/>
        </w:rPr>
      </w:pPr>
    </w:p>
    <w:p w:rsidR="008B6AAF" w:rsidRDefault="00000000">
      <w:pPr>
        <w:pStyle w:val="Prrafodelista"/>
        <w:numPr>
          <w:ilvl w:val="1"/>
          <w:numId w:val="1"/>
        </w:numPr>
        <w:tabs>
          <w:tab w:val="left" w:pos="567"/>
        </w:tabs>
        <w:spacing w:line="360" w:lineRule="auto"/>
        <w:ind w:right="259" w:firstLine="0"/>
        <w:jc w:val="both"/>
        <w:rPr>
          <w:sz w:val="24"/>
        </w:rPr>
      </w:pPr>
      <w:r>
        <w:rPr>
          <w:sz w:val="24"/>
        </w:rPr>
        <w:t>La instalación, reconstrucción, mantención, financiamiento, auspicio o promoción de estructuras conmemorativas o funerarias en bienes nacionales de uso público, obras de infraestructura vial o urbana de titularidad estatal o municipal, y en inmuebles privados que resulten visibles desde dichos espacios.</w:t>
      </w:r>
    </w:p>
    <w:p w:rsidR="008B6AAF" w:rsidRDefault="00000000">
      <w:pPr>
        <w:pStyle w:val="Prrafodelista"/>
        <w:numPr>
          <w:ilvl w:val="1"/>
          <w:numId w:val="1"/>
        </w:numPr>
        <w:tabs>
          <w:tab w:val="left" w:pos="539"/>
        </w:tabs>
        <w:spacing w:before="159" w:line="360" w:lineRule="auto"/>
        <w:ind w:right="259" w:firstLine="0"/>
        <w:jc w:val="both"/>
        <w:rPr>
          <w:sz w:val="24"/>
        </w:rPr>
      </w:pPr>
      <w:r>
        <w:rPr>
          <w:sz w:val="24"/>
        </w:rPr>
        <w:t>Se consideran comprendidas, a título ejemplar, las siguientes: animitas, mausoleos, altares, placas, retratos, esculturas, murales, monolitos, tótems, inscripciones, estructuras ornamentales o cualquier símbolo, forma o elemento físico de exaltación a personas fallecidas.</w:t>
      </w:r>
    </w:p>
    <w:p w:rsidR="008B6AAF" w:rsidRDefault="00000000">
      <w:pPr>
        <w:pStyle w:val="Ttulo2"/>
        <w:numPr>
          <w:ilvl w:val="0"/>
          <w:numId w:val="1"/>
        </w:numPr>
        <w:tabs>
          <w:tab w:val="left" w:pos="494"/>
        </w:tabs>
        <w:spacing w:before="158"/>
        <w:ind w:left="494" w:hanging="232"/>
        <w:jc w:val="both"/>
      </w:pPr>
      <w:r>
        <w:t>En</w:t>
      </w:r>
      <w:r>
        <w:rPr>
          <w:spacing w:val="-3"/>
        </w:rPr>
        <w:t xml:space="preserve"> </w:t>
      </w:r>
      <w:r>
        <w:t>materia</w:t>
      </w:r>
      <w:r>
        <w:rPr>
          <w:spacing w:val="-1"/>
        </w:rPr>
        <w:t xml:space="preserve"> </w:t>
      </w:r>
      <w:r>
        <w:t>de</w:t>
      </w:r>
      <w:r>
        <w:rPr>
          <w:spacing w:val="-2"/>
        </w:rPr>
        <w:t xml:space="preserve"> </w:t>
      </w:r>
      <w:r>
        <w:t>rituales</w:t>
      </w:r>
      <w:r>
        <w:rPr>
          <w:spacing w:val="-1"/>
        </w:rPr>
        <w:t xml:space="preserve"> </w:t>
      </w:r>
      <w:r>
        <w:rPr>
          <w:spacing w:val="-2"/>
        </w:rPr>
        <w:t>funerarios:</w:t>
      </w:r>
    </w:p>
    <w:p w:rsidR="008B6AAF" w:rsidRDefault="008B6AAF">
      <w:pPr>
        <w:pStyle w:val="Textoindependiente"/>
        <w:spacing w:before="29"/>
        <w:rPr>
          <w:b/>
        </w:rPr>
      </w:pPr>
    </w:p>
    <w:p w:rsidR="008B6AAF" w:rsidRDefault="00000000">
      <w:pPr>
        <w:pStyle w:val="Prrafodelista"/>
        <w:numPr>
          <w:ilvl w:val="1"/>
          <w:numId w:val="1"/>
        </w:numPr>
        <w:tabs>
          <w:tab w:val="left" w:pos="514"/>
        </w:tabs>
        <w:spacing w:line="357" w:lineRule="auto"/>
        <w:ind w:right="259" w:firstLine="0"/>
        <w:jc w:val="both"/>
        <w:rPr>
          <w:sz w:val="24"/>
        </w:rPr>
      </w:pPr>
      <w:r>
        <w:rPr>
          <w:sz w:val="24"/>
        </w:rPr>
        <w:t>La realización de funerales o actos post-funerarios que incluyan fuegos artificiales, uso de armas de fuego, pirotecnia, cortejos no autorizados, caravanas vehiculares intimidantes o reuniones masivas que alteren el orden público o afecten la tranquilidad de la comunidad.</w:t>
      </w:r>
    </w:p>
    <w:p w:rsidR="008B6AAF" w:rsidRDefault="00000000">
      <w:pPr>
        <w:pStyle w:val="Prrafodelista"/>
        <w:numPr>
          <w:ilvl w:val="1"/>
          <w:numId w:val="1"/>
        </w:numPr>
        <w:tabs>
          <w:tab w:val="left" w:pos="542"/>
        </w:tabs>
        <w:spacing w:before="169" w:line="357" w:lineRule="auto"/>
        <w:ind w:right="261" w:firstLine="0"/>
        <w:jc w:val="both"/>
        <w:rPr>
          <w:sz w:val="24"/>
        </w:rPr>
      </w:pPr>
      <w:r>
        <w:rPr>
          <w:sz w:val="24"/>
        </w:rPr>
        <w:t>La ejecución de ritos públicos de homenaje, sin distinción de causa de fallecimiento, que afecten la libre</w:t>
      </w:r>
      <w:r>
        <w:rPr>
          <w:spacing w:val="-1"/>
          <w:sz w:val="24"/>
        </w:rPr>
        <w:t xml:space="preserve"> </w:t>
      </w:r>
      <w:r>
        <w:rPr>
          <w:sz w:val="24"/>
        </w:rPr>
        <w:t>circulación, generen</w:t>
      </w:r>
      <w:r>
        <w:rPr>
          <w:spacing w:val="-1"/>
          <w:sz w:val="24"/>
        </w:rPr>
        <w:t xml:space="preserve"> </w:t>
      </w:r>
      <w:r>
        <w:rPr>
          <w:sz w:val="24"/>
        </w:rPr>
        <w:t>temor vecinal</w:t>
      </w:r>
      <w:r>
        <w:rPr>
          <w:spacing w:val="-1"/>
          <w:sz w:val="24"/>
        </w:rPr>
        <w:t xml:space="preserve"> </w:t>
      </w:r>
      <w:r>
        <w:rPr>
          <w:sz w:val="24"/>
        </w:rPr>
        <w:t>o</w:t>
      </w:r>
      <w:r>
        <w:rPr>
          <w:spacing w:val="-1"/>
          <w:sz w:val="24"/>
        </w:rPr>
        <w:t xml:space="preserve"> </w:t>
      </w:r>
      <w:r>
        <w:rPr>
          <w:sz w:val="24"/>
        </w:rPr>
        <w:t>interfieran con</w:t>
      </w:r>
      <w:r>
        <w:rPr>
          <w:spacing w:val="-1"/>
          <w:sz w:val="24"/>
        </w:rPr>
        <w:t xml:space="preserve"> </w:t>
      </w:r>
      <w:r>
        <w:rPr>
          <w:sz w:val="24"/>
        </w:rPr>
        <w:t>el uso ordinario del</w:t>
      </w:r>
      <w:r>
        <w:rPr>
          <w:spacing w:val="-1"/>
          <w:sz w:val="24"/>
        </w:rPr>
        <w:t xml:space="preserve"> </w:t>
      </w:r>
      <w:r>
        <w:rPr>
          <w:sz w:val="24"/>
        </w:rPr>
        <w:t xml:space="preserve">espacio </w:t>
      </w:r>
      <w:r>
        <w:rPr>
          <w:spacing w:val="-2"/>
          <w:sz w:val="24"/>
        </w:rPr>
        <w:t>público.</w:t>
      </w:r>
    </w:p>
    <w:p w:rsidR="008B6AAF" w:rsidRDefault="00000000">
      <w:pPr>
        <w:pStyle w:val="Ttulo2"/>
        <w:numPr>
          <w:ilvl w:val="0"/>
          <w:numId w:val="1"/>
        </w:numPr>
        <w:tabs>
          <w:tab w:val="left" w:pos="494"/>
        </w:tabs>
        <w:spacing w:before="166"/>
        <w:ind w:left="494" w:hanging="232"/>
        <w:jc w:val="both"/>
      </w:pPr>
      <w:r>
        <w:t>En</w:t>
      </w:r>
      <w:r>
        <w:rPr>
          <w:spacing w:val="-2"/>
        </w:rPr>
        <w:t xml:space="preserve"> </w:t>
      </w:r>
      <w:r>
        <w:t>materia</w:t>
      </w:r>
      <w:r>
        <w:rPr>
          <w:spacing w:val="-1"/>
        </w:rPr>
        <w:t xml:space="preserve"> </w:t>
      </w:r>
      <w:r>
        <w:t>de</w:t>
      </w:r>
      <w:r>
        <w:rPr>
          <w:spacing w:val="-1"/>
        </w:rPr>
        <w:t xml:space="preserve"> </w:t>
      </w:r>
      <w:r>
        <w:t>medios</w:t>
      </w:r>
      <w:r>
        <w:rPr>
          <w:spacing w:val="-1"/>
        </w:rPr>
        <w:t xml:space="preserve"> </w:t>
      </w:r>
      <w:r>
        <w:t>de</w:t>
      </w:r>
      <w:r>
        <w:rPr>
          <w:spacing w:val="-1"/>
        </w:rPr>
        <w:t xml:space="preserve"> </w:t>
      </w:r>
      <w:r>
        <w:rPr>
          <w:spacing w:val="-2"/>
        </w:rPr>
        <w:t>comunicación:</w:t>
      </w:r>
    </w:p>
    <w:p w:rsidR="008B6AAF" w:rsidRDefault="008B6AAF">
      <w:pPr>
        <w:pStyle w:val="Textoindependiente"/>
        <w:spacing w:before="26"/>
        <w:rPr>
          <w:b/>
        </w:rPr>
      </w:pPr>
    </w:p>
    <w:p w:rsidR="008B6AAF" w:rsidRDefault="00000000">
      <w:pPr>
        <w:pStyle w:val="Prrafodelista"/>
        <w:numPr>
          <w:ilvl w:val="1"/>
          <w:numId w:val="1"/>
        </w:numPr>
        <w:tabs>
          <w:tab w:val="left" w:pos="479"/>
        </w:tabs>
        <w:spacing w:line="360" w:lineRule="auto"/>
        <w:ind w:right="258" w:firstLine="0"/>
        <w:jc w:val="both"/>
        <w:rPr>
          <w:sz w:val="24"/>
        </w:rPr>
      </w:pPr>
      <w:r>
        <w:rPr>
          <w:sz w:val="24"/>
        </w:rPr>
        <w:t>Se</w:t>
      </w:r>
      <w:r>
        <w:rPr>
          <w:spacing w:val="-12"/>
          <w:sz w:val="24"/>
        </w:rPr>
        <w:t xml:space="preserve"> </w:t>
      </w:r>
      <w:r>
        <w:rPr>
          <w:sz w:val="24"/>
        </w:rPr>
        <w:t>prohíbe</w:t>
      </w:r>
      <w:r>
        <w:rPr>
          <w:spacing w:val="-13"/>
          <w:sz w:val="24"/>
        </w:rPr>
        <w:t xml:space="preserve"> </w:t>
      </w:r>
      <w:r>
        <w:rPr>
          <w:sz w:val="24"/>
        </w:rPr>
        <w:t>la</w:t>
      </w:r>
      <w:r>
        <w:rPr>
          <w:spacing w:val="-12"/>
          <w:sz w:val="24"/>
        </w:rPr>
        <w:t xml:space="preserve"> </w:t>
      </w:r>
      <w:r>
        <w:rPr>
          <w:sz w:val="24"/>
        </w:rPr>
        <w:t>emisión,</w:t>
      </w:r>
      <w:r>
        <w:rPr>
          <w:spacing w:val="-13"/>
          <w:sz w:val="24"/>
        </w:rPr>
        <w:t xml:space="preserve"> </w:t>
      </w:r>
      <w:r>
        <w:rPr>
          <w:sz w:val="24"/>
        </w:rPr>
        <w:t>retransmisión</w:t>
      </w:r>
      <w:r>
        <w:rPr>
          <w:spacing w:val="-13"/>
          <w:sz w:val="24"/>
        </w:rPr>
        <w:t xml:space="preserve"> </w:t>
      </w:r>
      <w:r>
        <w:rPr>
          <w:sz w:val="24"/>
        </w:rPr>
        <w:t>o</w:t>
      </w:r>
      <w:r>
        <w:rPr>
          <w:spacing w:val="-11"/>
          <w:sz w:val="24"/>
        </w:rPr>
        <w:t xml:space="preserve"> </w:t>
      </w:r>
      <w:r>
        <w:rPr>
          <w:sz w:val="24"/>
        </w:rPr>
        <w:t>cobertura</w:t>
      </w:r>
      <w:r>
        <w:rPr>
          <w:spacing w:val="-10"/>
          <w:sz w:val="24"/>
        </w:rPr>
        <w:t xml:space="preserve"> </w:t>
      </w:r>
      <w:r>
        <w:rPr>
          <w:sz w:val="24"/>
        </w:rPr>
        <w:t>mediática</w:t>
      </w:r>
      <w:r>
        <w:rPr>
          <w:spacing w:val="-12"/>
          <w:sz w:val="24"/>
        </w:rPr>
        <w:t xml:space="preserve"> </w:t>
      </w:r>
      <w:r>
        <w:rPr>
          <w:sz w:val="24"/>
        </w:rPr>
        <w:t>que</w:t>
      </w:r>
      <w:r>
        <w:rPr>
          <w:spacing w:val="-12"/>
          <w:sz w:val="24"/>
        </w:rPr>
        <w:t xml:space="preserve"> </w:t>
      </w:r>
      <w:r>
        <w:rPr>
          <w:sz w:val="24"/>
        </w:rPr>
        <w:t>implique</w:t>
      </w:r>
      <w:r>
        <w:rPr>
          <w:spacing w:val="-12"/>
          <w:sz w:val="24"/>
        </w:rPr>
        <w:t xml:space="preserve"> </w:t>
      </w:r>
      <w:r>
        <w:rPr>
          <w:sz w:val="24"/>
        </w:rPr>
        <w:t>apología</w:t>
      </w:r>
      <w:r>
        <w:rPr>
          <w:spacing w:val="-12"/>
          <w:sz w:val="24"/>
        </w:rPr>
        <w:t xml:space="preserve"> </w:t>
      </w:r>
      <w:r>
        <w:rPr>
          <w:sz w:val="24"/>
        </w:rPr>
        <w:t>o</w:t>
      </w:r>
      <w:r>
        <w:rPr>
          <w:spacing w:val="-13"/>
          <w:sz w:val="24"/>
        </w:rPr>
        <w:t xml:space="preserve"> </w:t>
      </w:r>
      <w:r>
        <w:rPr>
          <w:sz w:val="24"/>
        </w:rPr>
        <w:t>exaltación de personas fallecidas cuando estas hubieren estado vinculadas, en vida, a hechos constitutivos</w:t>
      </w:r>
    </w:p>
    <w:p w:rsidR="008B6AAF" w:rsidRDefault="008B6AAF">
      <w:pPr>
        <w:pStyle w:val="Prrafodelista"/>
        <w:spacing w:line="360" w:lineRule="auto"/>
        <w:rPr>
          <w:sz w:val="24"/>
        </w:rPr>
        <w:sectPr w:rsidR="008B6AAF">
          <w:pgSz w:w="12240" w:h="15840"/>
          <w:pgMar w:top="2200" w:right="1440" w:bottom="280" w:left="1440" w:header="746" w:footer="0" w:gutter="0"/>
          <w:cols w:space="720"/>
        </w:sectPr>
      </w:pPr>
    </w:p>
    <w:p w:rsidR="008B6AAF" w:rsidRDefault="00000000">
      <w:pPr>
        <w:pStyle w:val="Textoindependiente"/>
        <w:spacing w:before="98" w:line="357" w:lineRule="auto"/>
        <w:ind w:left="262" w:right="264"/>
        <w:jc w:val="both"/>
      </w:pPr>
      <w:r>
        <w:lastRenderedPageBreak/>
        <w:t>de delitos, organizaciones criminales, tráfico de personas, narcotráfico u otras formas de criminalidad organizada, cualquiera sea la causa de su muerte.</w:t>
      </w:r>
    </w:p>
    <w:p w:rsidR="008B6AAF" w:rsidRDefault="00000000">
      <w:pPr>
        <w:pStyle w:val="Prrafodelista"/>
        <w:numPr>
          <w:ilvl w:val="1"/>
          <w:numId w:val="1"/>
        </w:numPr>
        <w:tabs>
          <w:tab w:val="left" w:pos="556"/>
        </w:tabs>
        <w:spacing w:before="165" w:line="360" w:lineRule="auto"/>
        <w:ind w:right="258" w:firstLine="0"/>
        <w:jc w:val="both"/>
        <w:rPr>
          <w:sz w:val="24"/>
        </w:rPr>
      </w:pPr>
      <w:r>
        <w:rPr>
          <w:sz w:val="24"/>
        </w:rPr>
        <w:t>La difusión de actos de brujería, astrología, invocación de muertos, ocultismo o magia, especialmente en programas emitidos durante horarios de protección de menores o de alta audiencia infantil.</w:t>
      </w:r>
    </w:p>
    <w:p w:rsidR="008B6AAF" w:rsidRDefault="00000000">
      <w:pPr>
        <w:pStyle w:val="Prrafodelista"/>
        <w:numPr>
          <w:ilvl w:val="1"/>
          <w:numId w:val="1"/>
        </w:numPr>
        <w:tabs>
          <w:tab w:val="left" w:pos="491"/>
        </w:tabs>
        <w:spacing w:before="161" w:line="357" w:lineRule="auto"/>
        <w:ind w:right="260" w:firstLine="0"/>
        <w:jc w:val="both"/>
        <w:rPr>
          <w:sz w:val="24"/>
        </w:rPr>
      </w:pPr>
      <w:r>
        <w:rPr>
          <w:sz w:val="24"/>
        </w:rPr>
        <w:t>La</w:t>
      </w:r>
      <w:r>
        <w:rPr>
          <w:spacing w:val="-4"/>
          <w:sz w:val="24"/>
        </w:rPr>
        <w:t xml:space="preserve"> </w:t>
      </w:r>
      <w:r>
        <w:rPr>
          <w:sz w:val="24"/>
        </w:rPr>
        <w:t>difusión</w:t>
      </w:r>
      <w:r>
        <w:rPr>
          <w:spacing w:val="-1"/>
          <w:sz w:val="24"/>
        </w:rPr>
        <w:t xml:space="preserve"> </w:t>
      </w:r>
      <w:r>
        <w:rPr>
          <w:sz w:val="24"/>
        </w:rPr>
        <w:t>de</w:t>
      </w:r>
      <w:r>
        <w:rPr>
          <w:spacing w:val="-3"/>
          <w:sz w:val="24"/>
        </w:rPr>
        <w:t xml:space="preserve"> </w:t>
      </w:r>
      <w:r>
        <w:rPr>
          <w:sz w:val="24"/>
        </w:rPr>
        <w:t>funerales,</w:t>
      </w:r>
      <w:r>
        <w:rPr>
          <w:spacing w:val="-3"/>
          <w:sz w:val="24"/>
        </w:rPr>
        <w:t xml:space="preserve"> </w:t>
      </w:r>
      <w:r>
        <w:rPr>
          <w:sz w:val="24"/>
        </w:rPr>
        <w:t>velorios</w:t>
      </w:r>
      <w:r>
        <w:rPr>
          <w:spacing w:val="-3"/>
          <w:sz w:val="24"/>
        </w:rPr>
        <w:t xml:space="preserve"> </w:t>
      </w:r>
      <w:r>
        <w:rPr>
          <w:sz w:val="24"/>
        </w:rPr>
        <w:t>o</w:t>
      </w:r>
      <w:r>
        <w:rPr>
          <w:spacing w:val="-4"/>
          <w:sz w:val="24"/>
        </w:rPr>
        <w:t xml:space="preserve"> </w:t>
      </w:r>
      <w:r>
        <w:rPr>
          <w:sz w:val="24"/>
        </w:rPr>
        <w:t>rituales</w:t>
      </w:r>
      <w:r>
        <w:rPr>
          <w:spacing w:val="-2"/>
          <w:sz w:val="24"/>
        </w:rPr>
        <w:t xml:space="preserve"> </w:t>
      </w:r>
      <w:r>
        <w:rPr>
          <w:sz w:val="24"/>
        </w:rPr>
        <w:t>que</w:t>
      </w:r>
      <w:r>
        <w:rPr>
          <w:spacing w:val="-3"/>
          <w:sz w:val="24"/>
        </w:rPr>
        <w:t xml:space="preserve"> </w:t>
      </w:r>
      <w:r>
        <w:rPr>
          <w:sz w:val="24"/>
        </w:rPr>
        <w:t>constituyan</w:t>
      </w:r>
      <w:r>
        <w:rPr>
          <w:spacing w:val="-4"/>
          <w:sz w:val="24"/>
        </w:rPr>
        <w:t xml:space="preserve"> </w:t>
      </w:r>
      <w:r>
        <w:rPr>
          <w:sz w:val="24"/>
        </w:rPr>
        <w:t>expresiones</w:t>
      </w:r>
      <w:r>
        <w:rPr>
          <w:spacing w:val="-5"/>
          <w:sz w:val="24"/>
        </w:rPr>
        <w:t xml:space="preserve"> </w:t>
      </w:r>
      <w:r>
        <w:rPr>
          <w:sz w:val="24"/>
        </w:rPr>
        <w:t>de violencia,</w:t>
      </w:r>
      <w:r>
        <w:rPr>
          <w:spacing w:val="-3"/>
          <w:sz w:val="24"/>
        </w:rPr>
        <w:t xml:space="preserve"> </w:t>
      </w:r>
      <w:r>
        <w:rPr>
          <w:sz w:val="24"/>
        </w:rPr>
        <w:t>control territorial o exaltación simbólica del fallecido.</w:t>
      </w:r>
    </w:p>
    <w:p w:rsidR="008B6AAF" w:rsidRDefault="00000000">
      <w:pPr>
        <w:pStyle w:val="Prrafodelista"/>
        <w:numPr>
          <w:ilvl w:val="1"/>
          <w:numId w:val="1"/>
        </w:numPr>
        <w:tabs>
          <w:tab w:val="left" w:pos="556"/>
        </w:tabs>
        <w:spacing w:before="165" w:line="357" w:lineRule="auto"/>
        <w:ind w:right="262" w:firstLine="0"/>
        <w:jc w:val="both"/>
        <w:rPr>
          <w:sz w:val="24"/>
        </w:rPr>
      </w:pPr>
      <w:r>
        <w:rPr>
          <w:sz w:val="24"/>
        </w:rPr>
        <w:t>La promoción de prácticas culturales que glorifiquen el crimen, promuevan el temor o refuercen imaginarios de dominación vinculados a la muerte.</w:t>
      </w:r>
    </w:p>
    <w:p w:rsidR="008B6AAF" w:rsidRDefault="008B6AAF">
      <w:pPr>
        <w:pStyle w:val="Textoindependiente"/>
        <w:rPr>
          <w:sz w:val="20"/>
        </w:rPr>
      </w:pPr>
    </w:p>
    <w:p w:rsidR="008B6AAF" w:rsidRDefault="008B6AAF">
      <w:pPr>
        <w:pStyle w:val="Textoindependiente"/>
        <w:rPr>
          <w:sz w:val="20"/>
        </w:rPr>
      </w:pPr>
    </w:p>
    <w:p w:rsidR="008B6AAF" w:rsidRDefault="008B6AAF">
      <w:pPr>
        <w:pStyle w:val="Textoindependiente"/>
        <w:rPr>
          <w:sz w:val="20"/>
        </w:rPr>
      </w:pPr>
    </w:p>
    <w:p w:rsidR="008B6AAF" w:rsidRDefault="00000000">
      <w:pPr>
        <w:pStyle w:val="Textoindependiente"/>
        <w:spacing w:before="140"/>
        <w:rPr>
          <w:sz w:val="20"/>
        </w:rPr>
      </w:pPr>
      <w:r>
        <w:rPr>
          <w:noProof/>
          <w:sz w:val="20"/>
        </w:rPr>
        <w:drawing>
          <wp:anchor distT="0" distB="0" distL="0" distR="0" simplePos="0" relativeHeight="487587840" behindDoc="1" locked="0" layoutInCell="1" allowOverlap="1">
            <wp:simplePos x="0" y="0"/>
            <wp:positionH relativeFrom="page">
              <wp:posOffset>2694406</wp:posOffset>
            </wp:positionH>
            <wp:positionV relativeFrom="paragraph">
              <wp:posOffset>247421</wp:posOffset>
            </wp:positionV>
            <wp:extent cx="1809763" cy="946499"/>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809763" cy="946499"/>
                    </a:xfrm>
                    <a:prstGeom prst="rect">
                      <a:avLst/>
                    </a:prstGeom>
                  </pic:spPr>
                </pic:pic>
              </a:graphicData>
            </a:graphic>
          </wp:anchor>
        </w:drawing>
      </w:r>
    </w:p>
    <w:sectPr w:rsidR="008B6AAF">
      <w:pgSz w:w="12240" w:h="15840"/>
      <w:pgMar w:top="2200" w:right="1440" w:bottom="280" w:left="1440" w:header="74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87C2C" w:rsidRDefault="00F87C2C">
      <w:r>
        <w:separator/>
      </w:r>
    </w:p>
  </w:endnote>
  <w:endnote w:type="continuationSeparator" w:id="0">
    <w:p w:rsidR="00F87C2C" w:rsidRDefault="00F87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87C2C" w:rsidRDefault="00F87C2C">
      <w:r>
        <w:separator/>
      </w:r>
    </w:p>
  </w:footnote>
  <w:footnote w:type="continuationSeparator" w:id="0">
    <w:p w:rsidR="00F87C2C" w:rsidRDefault="00F87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B6AAF" w:rsidRDefault="00000000">
    <w:pPr>
      <w:pStyle w:val="Textoindependiente"/>
      <w:spacing w:line="14" w:lineRule="auto"/>
      <w:rPr>
        <w:sz w:val="20"/>
      </w:rPr>
    </w:pPr>
    <w:r>
      <w:rPr>
        <w:noProof/>
        <w:sz w:val="20"/>
      </w:rPr>
      <w:drawing>
        <wp:anchor distT="0" distB="0" distL="0" distR="0" simplePos="0" relativeHeight="487549440" behindDoc="1" locked="0" layoutInCell="1" allowOverlap="1">
          <wp:simplePos x="0" y="0"/>
          <wp:positionH relativeFrom="page">
            <wp:posOffset>1128896</wp:posOffset>
          </wp:positionH>
          <wp:positionV relativeFrom="page">
            <wp:posOffset>473963</wp:posOffset>
          </wp:positionV>
          <wp:extent cx="938666" cy="92659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38666" cy="92659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244841"/>
    <w:multiLevelType w:val="hybridMultilevel"/>
    <w:tmpl w:val="65C24CA0"/>
    <w:lvl w:ilvl="0" w:tplc="EEBC259A">
      <w:start w:val="1"/>
      <w:numFmt w:val="decimal"/>
      <w:lvlText w:val="%1."/>
      <w:lvlJc w:val="left"/>
      <w:pPr>
        <w:ind w:left="480" w:hanging="219"/>
        <w:jc w:val="left"/>
      </w:pPr>
      <w:rPr>
        <w:rFonts w:ascii="Garamond" w:eastAsia="Garamond" w:hAnsi="Garamond" w:cs="Garamond" w:hint="default"/>
        <w:b/>
        <w:bCs/>
        <w:i w:val="0"/>
        <w:iCs w:val="0"/>
        <w:spacing w:val="0"/>
        <w:w w:val="100"/>
        <w:sz w:val="24"/>
        <w:szCs w:val="24"/>
        <w:lang w:val="es-ES" w:eastAsia="en-US" w:bidi="ar-SA"/>
      </w:rPr>
    </w:lvl>
    <w:lvl w:ilvl="1" w:tplc="D082954C">
      <w:start w:val="1"/>
      <w:numFmt w:val="lowerLetter"/>
      <w:lvlText w:val="%2)"/>
      <w:lvlJc w:val="left"/>
      <w:pPr>
        <w:ind w:left="262" w:hanging="307"/>
        <w:jc w:val="left"/>
      </w:pPr>
      <w:rPr>
        <w:rFonts w:ascii="Garamond" w:eastAsia="Garamond" w:hAnsi="Garamond" w:cs="Garamond" w:hint="default"/>
        <w:b w:val="0"/>
        <w:bCs w:val="0"/>
        <w:i w:val="0"/>
        <w:iCs w:val="0"/>
        <w:spacing w:val="0"/>
        <w:w w:val="100"/>
        <w:sz w:val="24"/>
        <w:szCs w:val="24"/>
        <w:lang w:val="es-ES" w:eastAsia="en-US" w:bidi="ar-SA"/>
      </w:rPr>
    </w:lvl>
    <w:lvl w:ilvl="2" w:tplc="14102B1C">
      <w:numFmt w:val="bullet"/>
      <w:lvlText w:val="•"/>
      <w:lvlJc w:val="left"/>
      <w:pPr>
        <w:ind w:left="1466" w:hanging="307"/>
      </w:pPr>
      <w:rPr>
        <w:rFonts w:hint="default"/>
        <w:lang w:val="es-ES" w:eastAsia="en-US" w:bidi="ar-SA"/>
      </w:rPr>
    </w:lvl>
    <w:lvl w:ilvl="3" w:tplc="179AD81A">
      <w:numFmt w:val="bullet"/>
      <w:lvlText w:val="•"/>
      <w:lvlJc w:val="left"/>
      <w:pPr>
        <w:ind w:left="2453" w:hanging="307"/>
      </w:pPr>
      <w:rPr>
        <w:rFonts w:hint="default"/>
        <w:lang w:val="es-ES" w:eastAsia="en-US" w:bidi="ar-SA"/>
      </w:rPr>
    </w:lvl>
    <w:lvl w:ilvl="4" w:tplc="FDB835E6">
      <w:numFmt w:val="bullet"/>
      <w:lvlText w:val="•"/>
      <w:lvlJc w:val="left"/>
      <w:pPr>
        <w:ind w:left="3440" w:hanging="307"/>
      </w:pPr>
      <w:rPr>
        <w:rFonts w:hint="default"/>
        <w:lang w:val="es-ES" w:eastAsia="en-US" w:bidi="ar-SA"/>
      </w:rPr>
    </w:lvl>
    <w:lvl w:ilvl="5" w:tplc="0AEC55C6">
      <w:numFmt w:val="bullet"/>
      <w:lvlText w:val="•"/>
      <w:lvlJc w:val="left"/>
      <w:pPr>
        <w:ind w:left="4426" w:hanging="307"/>
      </w:pPr>
      <w:rPr>
        <w:rFonts w:hint="default"/>
        <w:lang w:val="es-ES" w:eastAsia="en-US" w:bidi="ar-SA"/>
      </w:rPr>
    </w:lvl>
    <w:lvl w:ilvl="6" w:tplc="226A83BC">
      <w:numFmt w:val="bullet"/>
      <w:lvlText w:val="•"/>
      <w:lvlJc w:val="left"/>
      <w:pPr>
        <w:ind w:left="5413" w:hanging="307"/>
      </w:pPr>
      <w:rPr>
        <w:rFonts w:hint="default"/>
        <w:lang w:val="es-ES" w:eastAsia="en-US" w:bidi="ar-SA"/>
      </w:rPr>
    </w:lvl>
    <w:lvl w:ilvl="7" w:tplc="5D2E4C42">
      <w:numFmt w:val="bullet"/>
      <w:lvlText w:val="•"/>
      <w:lvlJc w:val="left"/>
      <w:pPr>
        <w:ind w:left="6400" w:hanging="307"/>
      </w:pPr>
      <w:rPr>
        <w:rFonts w:hint="default"/>
        <w:lang w:val="es-ES" w:eastAsia="en-US" w:bidi="ar-SA"/>
      </w:rPr>
    </w:lvl>
    <w:lvl w:ilvl="8" w:tplc="D102D39A">
      <w:numFmt w:val="bullet"/>
      <w:lvlText w:val="•"/>
      <w:lvlJc w:val="left"/>
      <w:pPr>
        <w:ind w:left="7386" w:hanging="307"/>
      </w:pPr>
      <w:rPr>
        <w:rFonts w:hint="default"/>
        <w:lang w:val="es-ES" w:eastAsia="en-US" w:bidi="ar-SA"/>
      </w:rPr>
    </w:lvl>
  </w:abstractNum>
  <w:num w:numId="1" w16cid:durableId="283386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B6AAF"/>
    <w:rsid w:val="006F70B4"/>
    <w:rsid w:val="008B6AAF"/>
    <w:rsid w:val="009943D2"/>
    <w:rsid w:val="00F87C2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0D37B6-31B8-45D2-86CA-1FFCB2C4E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lang w:val="es-ES"/>
    </w:rPr>
  </w:style>
  <w:style w:type="paragraph" w:styleId="Ttulo1">
    <w:name w:val="heading 1"/>
    <w:basedOn w:val="Normal"/>
    <w:uiPriority w:val="9"/>
    <w:qFormat/>
    <w:pPr>
      <w:ind w:left="262"/>
      <w:outlineLvl w:val="0"/>
    </w:pPr>
    <w:rPr>
      <w:b/>
      <w:bCs/>
      <w:sz w:val="24"/>
      <w:szCs w:val="24"/>
    </w:rPr>
  </w:style>
  <w:style w:type="paragraph" w:styleId="Ttulo2">
    <w:name w:val="heading 2"/>
    <w:basedOn w:val="Normal"/>
    <w:uiPriority w:val="9"/>
    <w:unhideWhenUsed/>
    <w:qFormat/>
    <w:pPr>
      <w:spacing w:before="1"/>
      <w:ind w:left="494" w:hanging="232"/>
      <w:jc w:val="both"/>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jc w:val="center"/>
    </w:pPr>
    <w:rPr>
      <w:b/>
      <w:bCs/>
      <w:sz w:val="28"/>
      <w:szCs w:val="28"/>
    </w:rPr>
  </w:style>
  <w:style w:type="paragraph" w:styleId="Prrafodelista">
    <w:name w:val="List Paragraph"/>
    <w:basedOn w:val="Normal"/>
    <w:uiPriority w:val="1"/>
    <w:qFormat/>
    <w:pPr>
      <w:ind w:left="26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651</Words>
  <Characters>3582</Characters>
  <Application>Microsoft Office Word</Application>
  <DocSecurity>0</DocSecurity>
  <Lines>29</Lines>
  <Paragraphs>8</Paragraphs>
  <ScaleCrop>false</ScaleCrop>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dc:creator>
  <cp:lastModifiedBy>Guillermo Diaz Vallejos</cp:lastModifiedBy>
  <cp:revision>1</cp:revision>
  <dcterms:created xsi:type="dcterms:W3CDTF">2025-06-11T22:16:00Z</dcterms:created>
  <dcterms:modified xsi:type="dcterms:W3CDTF">2025-06-16T23:05:00Z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2025-06-10T00:00:00Z</vt:filetime>
  </property>
  <property fmtid="{D5CDD505-2E9C-101B-9397-08002B2CF9AE}" pid="3" name="Creator">
    <vt:lpwstr>Microsoft® Word LTSC</vt:lpwstr>
  </property>
  <property fmtid="{D5CDD505-2E9C-101B-9397-08002B2CF9AE}" pid="4" name="LastSaved">
    <vt:filetime>2025-06-11T00:00:00Z</vt:filetime>
  </property>
  <property fmtid="{D5CDD505-2E9C-101B-9397-08002B2CF9AE}" pid="5" name="Producer">
    <vt:lpwstr>Microsoft® Word LTSC</vt:lpwstr>
  </property>
</Properties>
</file>