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D8C08" w14:textId="77777777" w:rsidR="00454B27" w:rsidRDefault="00454B27" w:rsidP="00132DB2">
      <w:pPr>
        <w:spacing w:line="276" w:lineRule="auto"/>
        <w:jc w:val="center"/>
        <w:rPr>
          <w:rFonts w:ascii="Bookman Old Style" w:hAnsi="Bookman Old Style"/>
        </w:rPr>
      </w:pPr>
    </w:p>
    <w:p w14:paraId="599B31B8" w14:textId="5FD22C6D" w:rsidR="006A479F" w:rsidRDefault="00C4602D" w:rsidP="00C0761C">
      <w:pPr>
        <w:spacing w:line="360" w:lineRule="auto"/>
        <w:jc w:val="both"/>
        <w:rPr>
          <w:rFonts w:ascii="Bookman Old Style" w:hAnsi="Bookman Old Style"/>
          <w:b/>
          <w:bCs/>
        </w:rPr>
      </w:pPr>
      <w:r w:rsidRPr="008F16B8">
        <w:rPr>
          <w:rFonts w:ascii="Bookman Old Style" w:hAnsi="Bookman Old Style"/>
          <w:b/>
          <w:bCs/>
        </w:rPr>
        <w:t>PROYECTO DE LEY QUE MODIFICA LA LEY N</w:t>
      </w:r>
      <w:r w:rsidR="00B9608A" w:rsidRPr="008F16B8">
        <w:rPr>
          <w:rFonts w:ascii="Bookman Old Style" w:hAnsi="Bookman Old Style"/>
          <w:b/>
          <w:bCs/>
        </w:rPr>
        <w:t xml:space="preserve">° </w:t>
      </w:r>
      <w:r w:rsidRPr="008F16B8">
        <w:rPr>
          <w:rFonts w:ascii="Bookman Old Style" w:hAnsi="Bookman Old Style"/>
          <w:b/>
          <w:bCs/>
        </w:rPr>
        <w:t>18.410, QUE CREA LA SUPERINTENDENCIA DE ELECTRICIDAD Y COMBUSTIBLE</w:t>
      </w:r>
      <w:r w:rsidR="009166BA" w:rsidRPr="008F16B8">
        <w:rPr>
          <w:rFonts w:ascii="Bookman Old Style" w:hAnsi="Bookman Old Style"/>
          <w:b/>
          <w:bCs/>
        </w:rPr>
        <w:t>S,</w:t>
      </w:r>
      <w:r w:rsidRPr="008F16B8">
        <w:rPr>
          <w:rFonts w:ascii="Bookman Old Style" w:hAnsi="Bookman Old Style"/>
          <w:b/>
          <w:bCs/>
        </w:rPr>
        <w:t xml:space="preserve"> PARA </w:t>
      </w:r>
      <w:r w:rsidR="00454B27" w:rsidRPr="008F16B8">
        <w:rPr>
          <w:rFonts w:ascii="Bookman Old Style" w:hAnsi="Bookman Old Style"/>
          <w:b/>
          <w:bCs/>
        </w:rPr>
        <w:t>INCORPORAR COMO FALTA GRAV</w:t>
      </w:r>
      <w:r w:rsidR="004533E8">
        <w:rPr>
          <w:rFonts w:ascii="Bookman Old Style" w:hAnsi="Bookman Old Style"/>
          <w:b/>
          <w:bCs/>
        </w:rPr>
        <w:t>E</w:t>
      </w:r>
      <w:r w:rsidR="00454B27" w:rsidRPr="008F16B8">
        <w:rPr>
          <w:rFonts w:ascii="Bookman Old Style" w:hAnsi="Bookman Old Style"/>
          <w:b/>
          <w:bCs/>
        </w:rPr>
        <w:t xml:space="preserve"> </w:t>
      </w:r>
      <w:r w:rsidR="005A24E6" w:rsidRPr="008F16B8">
        <w:rPr>
          <w:rFonts w:ascii="Bookman Old Style" w:hAnsi="Bookman Old Style"/>
          <w:b/>
          <w:bCs/>
        </w:rPr>
        <w:t xml:space="preserve">LA ENTREGA DE INFORMACIÓN FALSA </w:t>
      </w:r>
      <w:r w:rsidR="00530A1C" w:rsidRPr="008F16B8">
        <w:rPr>
          <w:rFonts w:ascii="Bookman Old Style" w:hAnsi="Bookman Old Style"/>
          <w:b/>
          <w:bCs/>
        </w:rPr>
        <w:t xml:space="preserve">O ERRÓNEA RESPECTO AL TIEMPO DE REPOSICIÓN DEL </w:t>
      </w:r>
      <w:r w:rsidR="002D439E">
        <w:rPr>
          <w:rFonts w:ascii="Bookman Old Style" w:hAnsi="Bookman Old Style"/>
          <w:b/>
          <w:bCs/>
        </w:rPr>
        <w:t>SERVICIO</w:t>
      </w:r>
    </w:p>
    <w:p w14:paraId="7F2FB261" w14:textId="77777777" w:rsidR="00763902" w:rsidRPr="00763902" w:rsidRDefault="00763902" w:rsidP="00C0761C">
      <w:pPr>
        <w:spacing w:line="360" w:lineRule="auto"/>
        <w:jc w:val="both"/>
        <w:rPr>
          <w:rFonts w:ascii="Bookman Old Style" w:hAnsi="Bookman Old Style"/>
          <w:b/>
          <w:bCs/>
        </w:rPr>
      </w:pPr>
    </w:p>
    <w:p w14:paraId="76F2F416" w14:textId="0AA4F6DE" w:rsidR="006A479F" w:rsidRDefault="00F81E1D" w:rsidP="00F81E1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Fundamentos</w:t>
      </w:r>
    </w:p>
    <w:p w14:paraId="38EEC6C5" w14:textId="55E69213" w:rsidR="00395790" w:rsidRDefault="00653BB2" w:rsidP="00653B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 el último tiempo</w:t>
      </w:r>
      <w:r w:rsidR="00395790">
        <w:rPr>
          <w:rFonts w:ascii="Bookman Old Style" w:hAnsi="Bookman Old Style"/>
        </w:rPr>
        <w:t xml:space="preserve">, Chile ha experimentado un aumento importante en la frecuencia y magnitud de los cortes de energía eléctrica, afectando a diversas regiones del país. Un ejemplo reciente y el más grave de todos fue el apagón nacional de febrero 2025, el que afectó a </w:t>
      </w:r>
      <w:r w:rsidR="00454AA0">
        <w:rPr>
          <w:rFonts w:ascii="Bookman Old Style" w:hAnsi="Bookman Old Style"/>
        </w:rPr>
        <w:t xml:space="preserve">cerca de 19 millones de personas en </w:t>
      </w:r>
      <w:r w:rsidR="00977254">
        <w:rPr>
          <w:rFonts w:ascii="Bookman Old Style" w:hAnsi="Bookman Old Style"/>
        </w:rPr>
        <w:t>catorce de las dieciséis regiones del país y se extendió durante más de siete horas</w:t>
      </w:r>
      <w:r w:rsidR="0008318C">
        <w:rPr>
          <w:rFonts w:ascii="Bookman Old Style" w:hAnsi="Bookman Old Style"/>
        </w:rPr>
        <w:t>, evidenciando la vulnerabilidad del sistema eléctrico ante fallas operativas y desconexiones no programadas.</w:t>
      </w:r>
    </w:p>
    <w:p w14:paraId="50D85E8A" w14:textId="02656070" w:rsidR="00A0744B" w:rsidRDefault="0008318C" w:rsidP="00653B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Además, en comunas como Coquimbo y La Serena, los usuarios han reportado interrupciones y variaciones en el voltaje del suministro eléctrico, eventos que generan gran molestia en los usuarios, afectando</w:t>
      </w:r>
      <w:r w:rsidR="006E5234">
        <w:rPr>
          <w:rFonts w:ascii="Bookman Old Style" w:hAnsi="Bookman Old Style"/>
        </w:rPr>
        <w:t xml:space="preserve"> directamente la calidad de vida de la comunidad, </w:t>
      </w:r>
      <w:r w:rsidR="00A50249">
        <w:rPr>
          <w:rFonts w:ascii="Bookman Old Style" w:hAnsi="Bookman Old Style"/>
        </w:rPr>
        <w:t>pero también ocasionando pérdidas materiales tanto por el daño a aparatos electrónicos como por la descomposición de alimentos debido a la interrupción de la cadena de frío.</w:t>
      </w:r>
    </w:p>
    <w:p w14:paraId="68571B09" w14:textId="21D1B475" w:rsidR="00E95C95" w:rsidRDefault="00E95C95" w:rsidP="00653B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 impacto de estos cortes de suministro es significativo, interrumpiendo actividades cotidianas, afectan</w:t>
      </w:r>
      <w:r w:rsidR="00782996">
        <w:rPr>
          <w:rFonts w:ascii="Bookman Old Style" w:hAnsi="Bookman Old Style"/>
        </w:rPr>
        <w:t>do</w:t>
      </w:r>
      <w:r w:rsidR="0078118D">
        <w:rPr>
          <w:rFonts w:ascii="Bookman Old Style" w:hAnsi="Bookman Old Style"/>
        </w:rPr>
        <w:t xml:space="preserve"> particularmente a personas electrodependientes. Asimismo,</w:t>
      </w:r>
      <w:r w:rsidR="00782996">
        <w:rPr>
          <w:rFonts w:ascii="Bookman Old Style" w:hAnsi="Bookman Old Style"/>
        </w:rPr>
        <w:t xml:space="preserve"> </w:t>
      </w:r>
      <w:r w:rsidR="0078118D">
        <w:rPr>
          <w:rFonts w:ascii="Bookman Old Style" w:hAnsi="Bookman Old Style"/>
        </w:rPr>
        <w:t>se afecta la</w:t>
      </w:r>
      <w:r w:rsidR="00782996">
        <w:rPr>
          <w:rFonts w:ascii="Bookman Old Style" w:hAnsi="Bookman Old Style"/>
        </w:rPr>
        <w:t xml:space="preserve"> productividad de las empresas y </w:t>
      </w:r>
      <w:r w:rsidR="0078118D">
        <w:rPr>
          <w:rFonts w:ascii="Bookman Old Style" w:hAnsi="Bookman Old Style"/>
        </w:rPr>
        <w:t>se pone en</w:t>
      </w:r>
      <w:r w:rsidR="00782996">
        <w:rPr>
          <w:rFonts w:ascii="Bookman Old Style" w:hAnsi="Bookman Old Style"/>
        </w:rPr>
        <w:t xml:space="preserve"> riesgo servicios esenciales como</w:t>
      </w:r>
      <w:r w:rsidR="008E7035">
        <w:rPr>
          <w:rFonts w:ascii="Bookman Old Style" w:hAnsi="Bookman Old Style"/>
        </w:rPr>
        <w:t xml:space="preserve"> transporte público y telecomunicaciones</w:t>
      </w:r>
      <w:r w:rsidR="0078118D">
        <w:rPr>
          <w:rFonts w:ascii="Bookman Old Style" w:hAnsi="Bookman Old Style"/>
        </w:rPr>
        <w:t>.</w:t>
      </w:r>
    </w:p>
    <w:p w14:paraId="5FB2485D" w14:textId="1AA41D75" w:rsidR="002306DE" w:rsidRDefault="0078118D" w:rsidP="00653B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Este incremento del número de cortes de energía ha generado una creciente preocupación por la estabilidad y calidad del suministro, especialmente en zonas rurales, donde muchas veces las personas quedan totalmente incomunicadas, sin siquiera recibir una respuesta oportuna de las empresas eléctricas. </w:t>
      </w:r>
      <w:r w:rsidR="00A952F5">
        <w:rPr>
          <w:rFonts w:ascii="Bookman Old Style" w:hAnsi="Bookman Old Style"/>
        </w:rPr>
        <w:t>Incluso, las comunidades han denunciado que</w:t>
      </w:r>
      <w:r w:rsidR="00680F82">
        <w:rPr>
          <w:rFonts w:ascii="Bookman Old Style" w:hAnsi="Bookman Old Style"/>
        </w:rPr>
        <w:t>, en diversas ocasiones,</w:t>
      </w:r>
      <w:r w:rsidR="00A952F5">
        <w:rPr>
          <w:rFonts w:ascii="Bookman Old Style" w:hAnsi="Bookman Old Style"/>
        </w:rPr>
        <w:t xml:space="preserve"> las empresas informan </w:t>
      </w:r>
      <w:r w:rsidR="00A952F5">
        <w:rPr>
          <w:rFonts w:ascii="Bookman Old Style" w:hAnsi="Bookman Old Style"/>
        </w:rPr>
        <w:lastRenderedPageBreak/>
        <w:t>a los usuarios que el suministro será restablecido en un plazo aco</w:t>
      </w:r>
      <w:r w:rsidR="00680F82">
        <w:rPr>
          <w:rFonts w:ascii="Bookman Old Style" w:hAnsi="Bookman Old Style"/>
        </w:rPr>
        <w:t>t</w:t>
      </w:r>
      <w:r w:rsidR="00A952F5">
        <w:rPr>
          <w:rFonts w:ascii="Bookman Old Style" w:hAnsi="Bookman Old Style"/>
        </w:rPr>
        <w:t xml:space="preserve">ado, </w:t>
      </w:r>
      <w:r w:rsidR="00010716">
        <w:rPr>
          <w:rFonts w:ascii="Bookman Old Style" w:hAnsi="Bookman Old Style"/>
        </w:rPr>
        <w:t xml:space="preserve">pero, en la práctica, </w:t>
      </w:r>
      <w:r w:rsidR="00A952F5">
        <w:rPr>
          <w:rFonts w:ascii="Bookman Old Style" w:hAnsi="Bookman Old Style"/>
        </w:rPr>
        <w:t>estas estimaciones</w:t>
      </w:r>
      <w:r w:rsidR="00010716">
        <w:rPr>
          <w:rFonts w:ascii="Bookman Old Style" w:hAnsi="Bookman Old Style"/>
        </w:rPr>
        <w:t xml:space="preserve"> no se cumplen, y las interrupciones muchas veces se extienden </w:t>
      </w:r>
      <w:r w:rsidR="00680F82">
        <w:rPr>
          <w:rFonts w:ascii="Bookman Old Style" w:hAnsi="Bookman Old Style"/>
        </w:rPr>
        <w:t xml:space="preserve">por </w:t>
      </w:r>
      <w:r w:rsidR="00010716">
        <w:rPr>
          <w:rFonts w:ascii="Bookman Old Style" w:hAnsi="Bookman Old Style"/>
        </w:rPr>
        <w:t xml:space="preserve">hasta 24 horas. Esta falta de precisión y transparencia genera gran frustración y desconfianza en la comunidad, que queda desamparada ante la incertidumbre y los perjuicios que conlleva un corte prolongado de electricidad. </w:t>
      </w:r>
    </w:p>
    <w:p w14:paraId="7E4B86F6" w14:textId="3704C532" w:rsidR="00763902" w:rsidRDefault="00C86CD0" w:rsidP="00653B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Esta grave situación demanda una revisión profunda de la infraestructura eléctrica, pero también </w:t>
      </w:r>
      <w:r w:rsidR="00763902">
        <w:rPr>
          <w:rFonts w:ascii="Bookman Old Style" w:hAnsi="Bookman Old Style"/>
        </w:rPr>
        <w:t xml:space="preserve">garantizar que </w:t>
      </w:r>
      <w:r w:rsidR="00701490">
        <w:rPr>
          <w:rFonts w:ascii="Bookman Old Style" w:hAnsi="Bookman Old Style"/>
        </w:rPr>
        <w:t>las entidades correspondientes puedan sancionar de manera efectiva estas faltas.</w:t>
      </w:r>
    </w:p>
    <w:p w14:paraId="5F089634" w14:textId="7C44AE5B" w:rsidR="00763902" w:rsidRDefault="00701490" w:rsidP="0076390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 ese sentido, la </w:t>
      </w:r>
      <w:r w:rsidR="00763902">
        <w:rPr>
          <w:rFonts w:ascii="Bookman Old Style" w:hAnsi="Bookman Old Style"/>
        </w:rPr>
        <w:t>Ley N° 18.410, de 1985, que Crea la Superintendencia de Electricidad y Combustibles (SEC) establece como misión principal de la entidad la vigilancia en la adecuada operación de los servicios de electricidad, gas y combustibles, en términos de su seguridad, calidad y precio. Para ello, la Superintendencia cuenta con atribuciones para fiscalizar a las empresas del sector, supervisar la calidad de los servicios, atender y resolver reclamos de los usuarios y sancionar infracciones.</w:t>
      </w:r>
    </w:p>
    <w:p w14:paraId="6777328A" w14:textId="77777777" w:rsidR="00763902" w:rsidRDefault="00763902" w:rsidP="0076390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Con ello, la SEC se ha convertido en una entidad clave para resguardar la seguridad y los derechos de los consumidores en materia energética en Chile, asegurando estándares de seguridad y calidad. </w:t>
      </w:r>
    </w:p>
    <w:p w14:paraId="371FD89A" w14:textId="38A64560" w:rsidR="00423D54" w:rsidRDefault="00B32EA1" w:rsidP="00653B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Para efectos de la normativa vigente, </w:t>
      </w:r>
      <w:r w:rsidR="00423D54">
        <w:rPr>
          <w:rFonts w:ascii="Bookman Old Style" w:hAnsi="Bookman Old Style"/>
        </w:rPr>
        <w:t xml:space="preserve">la ley </w:t>
      </w:r>
      <w:r w:rsidR="00C7635B">
        <w:rPr>
          <w:rFonts w:ascii="Bookman Old Style" w:hAnsi="Bookman Old Style"/>
        </w:rPr>
        <w:t xml:space="preserve">incorpora </w:t>
      </w:r>
      <w:r w:rsidR="00423D54">
        <w:rPr>
          <w:rFonts w:ascii="Bookman Old Style" w:hAnsi="Bookman Old Style"/>
        </w:rPr>
        <w:t xml:space="preserve">ciertas acciones </w:t>
      </w:r>
      <w:r w:rsidR="00C7635B">
        <w:rPr>
          <w:rFonts w:ascii="Bookman Old Style" w:hAnsi="Bookman Old Style"/>
        </w:rPr>
        <w:t xml:space="preserve">que serán consideradas como infracciones gravísimas, graves y leves, estableciendo además las multas pertinentes en cada caso. </w:t>
      </w:r>
    </w:p>
    <w:p w14:paraId="218CF9FE" w14:textId="4990A228" w:rsidR="007513B5" w:rsidRDefault="00C7635B" w:rsidP="00653B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Las infracciones gravísimas incluyen hechos, actos u omisiones que</w:t>
      </w:r>
      <w:r w:rsidR="00D1177E">
        <w:rPr>
          <w:rFonts w:ascii="Bookman Old Style" w:hAnsi="Bookman Old Style"/>
        </w:rPr>
        <w:t xml:space="preserve"> (1)</w:t>
      </w:r>
      <w:r>
        <w:rPr>
          <w:rFonts w:ascii="Bookman Old Style" w:hAnsi="Bookman Old Style"/>
        </w:rPr>
        <w:t xml:space="preserve"> produzcan la muerte o lesiones graves a las personas, </w:t>
      </w:r>
      <w:r w:rsidR="00D1177E">
        <w:rPr>
          <w:rFonts w:ascii="Bookman Old Style" w:hAnsi="Bookman Old Style"/>
        </w:rPr>
        <w:t xml:space="preserve">(2) </w:t>
      </w:r>
      <w:r>
        <w:rPr>
          <w:rFonts w:ascii="Bookman Old Style" w:hAnsi="Bookman Old Style"/>
        </w:rPr>
        <w:t>que entreguen información falseada que pueda afectar el correcto funcionamiento del mercado</w:t>
      </w:r>
      <w:r w:rsidR="00827453">
        <w:rPr>
          <w:rFonts w:ascii="Bookman Old Style" w:hAnsi="Bookman Old Style"/>
        </w:rPr>
        <w:t xml:space="preserve">, </w:t>
      </w:r>
      <w:r w:rsidR="00D1177E">
        <w:rPr>
          <w:rFonts w:ascii="Bookman Old Style" w:hAnsi="Bookman Old Style"/>
        </w:rPr>
        <w:t xml:space="preserve">(3) </w:t>
      </w:r>
      <w:r w:rsidR="00827453">
        <w:rPr>
          <w:rFonts w:ascii="Bookman Old Style" w:hAnsi="Bookman Old Style"/>
        </w:rPr>
        <w:t xml:space="preserve">que se afecte la generalidad de los usuarios de manera significativa, </w:t>
      </w:r>
      <w:r w:rsidR="00D1177E">
        <w:rPr>
          <w:rFonts w:ascii="Bookman Old Style" w:hAnsi="Bookman Old Style"/>
        </w:rPr>
        <w:t xml:space="preserve">(4) </w:t>
      </w:r>
      <w:r w:rsidR="006C57C5">
        <w:rPr>
          <w:rFonts w:ascii="Bookman Old Style" w:hAnsi="Bookman Old Style"/>
        </w:rPr>
        <w:t>que se altere la regularidad</w:t>
      </w:r>
      <w:r w:rsidR="007513B5">
        <w:rPr>
          <w:rFonts w:ascii="Bookman Old Style" w:hAnsi="Bookman Old Style"/>
        </w:rPr>
        <w:t xml:space="preserve"> y</w:t>
      </w:r>
      <w:r w:rsidR="006C57C5">
        <w:rPr>
          <w:rFonts w:ascii="Bookman Old Style" w:hAnsi="Bookman Old Style"/>
        </w:rPr>
        <w:t xml:space="preserve"> continuidad</w:t>
      </w:r>
      <w:r w:rsidR="007513B5">
        <w:rPr>
          <w:rFonts w:ascii="Bookman Old Style" w:hAnsi="Bookman Old Style"/>
        </w:rPr>
        <w:t xml:space="preserve"> del servicio, afectando a más del 5% de los usuarios abastecidos; (5) que hayan ocasionado una falla </w:t>
      </w:r>
      <w:r w:rsidR="00827453">
        <w:rPr>
          <w:rFonts w:ascii="Bookman Old Style" w:hAnsi="Bookman Old Style"/>
        </w:rPr>
        <w:t>generalizada en el funcionamiento del sistema eléctrico</w:t>
      </w:r>
      <w:r w:rsidR="007513B5">
        <w:rPr>
          <w:rFonts w:ascii="Bookman Old Style" w:hAnsi="Bookman Old Style"/>
        </w:rPr>
        <w:t xml:space="preserve">, o (6) que constituyan reiteración o reincidencia en infracciones graves. Para </w:t>
      </w:r>
      <w:r w:rsidR="00584500">
        <w:rPr>
          <w:rFonts w:ascii="Bookman Old Style" w:hAnsi="Bookman Old Style"/>
        </w:rPr>
        <w:t xml:space="preserve">las infracciones gravísimas, la ley establece </w:t>
      </w:r>
      <w:r w:rsidR="00285EE8">
        <w:rPr>
          <w:rFonts w:ascii="Bookman Old Style" w:hAnsi="Bookman Old Style"/>
        </w:rPr>
        <w:t>una multa de hasta 10 mil UTM anuales.</w:t>
      </w:r>
    </w:p>
    <w:p w14:paraId="6F7D5B76" w14:textId="392589F3" w:rsidR="00FD471C" w:rsidRDefault="004F10BF" w:rsidP="00653B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Las</w:t>
      </w:r>
      <w:r w:rsidR="00827453">
        <w:rPr>
          <w:rFonts w:ascii="Bookman Old Style" w:hAnsi="Bookman Old Style"/>
        </w:rPr>
        <w:t xml:space="preserve"> infracciones graves incluyen hechos, actos u omisiones que (1) hayan causado lesiones </w:t>
      </w:r>
      <w:r w:rsidR="005938B7">
        <w:rPr>
          <w:rFonts w:ascii="Bookman Old Style" w:hAnsi="Bookman Old Style"/>
        </w:rPr>
        <w:t xml:space="preserve">menos graves de las establecidas en las infracciones gravísimas, (2) hayan causado daño a los bienes de un número significativo de usuarios, (3) pongan en peligro la regularidad, continuidad, calidad o seguridad del servicio; (4) </w:t>
      </w:r>
      <w:r w:rsidR="00D2588D">
        <w:rPr>
          <w:rFonts w:ascii="Bookman Old Style" w:hAnsi="Bookman Old Style"/>
        </w:rPr>
        <w:t>involucren peligro o riesgo de ocasionar una falla generalizada del sistema eléctrico</w:t>
      </w:r>
      <w:r w:rsidR="00C1457F">
        <w:rPr>
          <w:rFonts w:ascii="Bookman Old Style" w:hAnsi="Bookman Old Style"/>
        </w:rPr>
        <w:t xml:space="preserve"> o de combustibles; (5) </w:t>
      </w:r>
      <w:r>
        <w:rPr>
          <w:rFonts w:ascii="Bookman Old Style" w:hAnsi="Bookman Old Style"/>
        </w:rPr>
        <w:t>no acaten las órdenes e instrucciones de la auto</w:t>
      </w:r>
      <w:r w:rsidR="007834E1">
        <w:rPr>
          <w:rFonts w:ascii="Bookman Old Style" w:hAnsi="Bookman Old Style"/>
        </w:rPr>
        <w:t>ridad</w:t>
      </w:r>
      <w:r w:rsidR="00051268">
        <w:rPr>
          <w:rFonts w:ascii="Bookman Old Style" w:hAnsi="Bookman Old Style"/>
        </w:rPr>
        <w:t xml:space="preserve">, </w:t>
      </w:r>
      <w:r w:rsidR="00FD471C">
        <w:rPr>
          <w:rFonts w:ascii="Bookman Old Style" w:hAnsi="Bookman Old Style"/>
        </w:rPr>
        <w:t xml:space="preserve">(6) que constituyan una negativa a entregar información en los casos que la ley señale a las autoridades correspondientes, (7) </w:t>
      </w:r>
      <w:r w:rsidR="00051268">
        <w:rPr>
          <w:rFonts w:ascii="Bookman Old Style" w:hAnsi="Bookman Old Style"/>
        </w:rPr>
        <w:t>conlleven alteración de los precios o de las cantidades suministradas,</w:t>
      </w:r>
      <w:r w:rsidR="00FD471C">
        <w:rPr>
          <w:rFonts w:ascii="Bookman Old Style" w:hAnsi="Bookman Old Style"/>
        </w:rPr>
        <w:t xml:space="preserve"> y (8) que constituyan la reiteración de una misma infracción calificada como leve. Para estos casos, </w:t>
      </w:r>
      <w:r w:rsidR="00C50165">
        <w:rPr>
          <w:rFonts w:ascii="Bookman Old Style" w:hAnsi="Bookman Old Style"/>
        </w:rPr>
        <w:t>se establece una multa de hasta 5 mil UTM anuales.</w:t>
      </w:r>
    </w:p>
    <w:p w14:paraId="77296298" w14:textId="00BEF7EF" w:rsidR="00051268" w:rsidRDefault="00051268" w:rsidP="00653B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Por su parte, se establece como infracciones leves los hechos, actos u omisiones que contravengan cualquier percepto obligatorio y que no constituyan infracciones gravísimas o graves según lo estipulado en la ley. Para estos casos, la multa correspondiente será de </w:t>
      </w:r>
      <w:r w:rsidR="00C50165">
        <w:rPr>
          <w:rFonts w:ascii="Bookman Old Style" w:hAnsi="Bookman Old Style"/>
        </w:rPr>
        <w:t>hasta 500 UTM anuales.</w:t>
      </w:r>
    </w:p>
    <w:p w14:paraId="028C71D4" w14:textId="0E22AD58" w:rsidR="00051268" w:rsidRDefault="00763902" w:rsidP="00653BB2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 ese sentido, </w:t>
      </w:r>
      <w:r w:rsidR="00051268">
        <w:rPr>
          <w:rFonts w:ascii="Bookman Old Style" w:hAnsi="Bookman Old Style"/>
        </w:rPr>
        <w:t>la ley no establec</w:t>
      </w:r>
      <w:r w:rsidR="00F477C9">
        <w:rPr>
          <w:rFonts w:ascii="Bookman Old Style" w:hAnsi="Bookman Old Style"/>
        </w:rPr>
        <w:t xml:space="preserve">e como infracción </w:t>
      </w:r>
      <w:r w:rsidR="00051268">
        <w:rPr>
          <w:rFonts w:ascii="Bookman Old Style" w:hAnsi="Bookman Old Style"/>
        </w:rPr>
        <w:t xml:space="preserve">la entrega de información errónea o engañosa por parte de las empresas de energía eléctrica, </w:t>
      </w:r>
      <w:r w:rsidR="00964D98">
        <w:rPr>
          <w:rFonts w:ascii="Bookman Old Style" w:hAnsi="Bookman Old Style"/>
        </w:rPr>
        <w:t xml:space="preserve">situación que se ha vuelto cada vez más recurrente en el último tiempo. Por ello, es importante que la ley permita sancionar estas acciones, incentivando a las empresas de distribución eléctrica </w:t>
      </w:r>
      <w:r w:rsidR="00680F82">
        <w:rPr>
          <w:rFonts w:ascii="Bookman Old Style" w:hAnsi="Bookman Old Style"/>
        </w:rPr>
        <w:t>a brindar datos veraces y oportunos, protegiendo a su vez a los usuarios y contribuyendo a mejorar la gestión y confiabilidad de la ciudadanía en las instituciones fiscalizadoras.</w:t>
      </w:r>
    </w:p>
    <w:p w14:paraId="7EE2A255" w14:textId="23965644" w:rsidR="00F81E1D" w:rsidRDefault="00F81E1D" w:rsidP="00F81E1D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Idea matriz</w:t>
      </w:r>
    </w:p>
    <w:p w14:paraId="5E671A7B" w14:textId="6BEA8890" w:rsidR="00AD2D0C" w:rsidRPr="00AD2D0C" w:rsidRDefault="00AD2D0C" w:rsidP="00AD2D0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El presente proyecto</w:t>
      </w:r>
      <w:r w:rsidR="00653BB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tiene como objeto modificar la ley N° 18.410, que Crea la Superintendencia de Electricidad y Combustibles, para incorporar como falta grave </w:t>
      </w:r>
      <w:r w:rsidR="002C0162">
        <w:rPr>
          <w:rFonts w:ascii="Bookman Old Style" w:hAnsi="Bookman Old Style"/>
        </w:rPr>
        <w:t>la entrega de información errónea o incompleta respecto al tiempo de reposición del suministro.</w:t>
      </w:r>
    </w:p>
    <w:p w14:paraId="298C8728" w14:textId="22168B57" w:rsidR="006A479F" w:rsidRDefault="002C0162" w:rsidP="00C076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 virtud de lo expuesto precedentemente, </w:t>
      </w:r>
      <w:r w:rsidR="00AF4D8C">
        <w:rPr>
          <w:rFonts w:ascii="Bookman Old Style" w:hAnsi="Bookman Old Style"/>
        </w:rPr>
        <w:t>se pone a disposición el siguiente</w:t>
      </w:r>
    </w:p>
    <w:p w14:paraId="34AF25CC" w14:textId="77777777" w:rsidR="009C2F77" w:rsidRDefault="009C2F77" w:rsidP="00C0761C">
      <w:pPr>
        <w:spacing w:line="360" w:lineRule="auto"/>
        <w:jc w:val="both"/>
        <w:rPr>
          <w:rFonts w:ascii="Bookman Old Style" w:hAnsi="Bookman Old Style"/>
        </w:rPr>
      </w:pPr>
    </w:p>
    <w:p w14:paraId="57F632AB" w14:textId="1F798D73" w:rsidR="000F72A2" w:rsidRDefault="000F72A2" w:rsidP="00C0761C">
      <w:pPr>
        <w:spacing w:line="360" w:lineRule="auto"/>
        <w:jc w:val="center"/>
        <w:rPr>
          <w:rFonts w:ascii="Bookman Old Style" w:hAnsi="Bookman Old Style"/>
          <w:b/>
          <w:bCs/>
        </w:rPr>
      </w:pPr>
      <w:r w:rsidRPr="00404C7A">
        <w:rPr>
          <w:rFonts w:ascii="Bookman Old Style" w:hAnsi="Bookman Old Style"/>
          <w:b/>
          <w:bCs/>
        </w:rPr>
        <w:lastRenderedPageBreak/>
        <w:t>Proyecto de ley</w:t>
      </w:r>
    </w:p>
    <w:p w14:paraId="09C0C87A" w14:textId="77777777" w:rsidR="00C50165" w:rsidRPr="00404C7A" w:rsidRDefault="00C50165" w:rsidP="00C0761C">
      <w:pPr>
        <w:spacing w:line="360" w:lineRule="auto"/>
        <w:jc w:val="center"/>
        <w:rPr>
          <w:rFonts w:ascii="Bookman Old Style" w:hAnsi="Bookman Old Style"/>
          <w:b/>
          <w:bCs/>
        </w:rPr>
      </w:pPr>
    </w:p>
    <w:p w14:paraId="540A58BF" w14:textId="04778084" w:rsidR="000F72A2" w:rsidRDefault="000F72A2" w:rsidP="00C0761C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Artículo único.- Para </w:t>
      </w:r>
      <w:r w:rsidR="009D33FC">
        <w:rPr>
          <w:rFonts w:ascii="Bookman Old Style" w:hAnsi="Bookman Old Style"/>
        </w:rPr>
        <w:t xml:space="preserve">incorporar un nuevo numeral </w:t>
      </w:r>
      <w:r w:rsidR="007715CC">
        <w:rPr>
          <w:rFonts w:ascii="Bookman Old Style" w:hAnsi="Bookman Old Style"/>
        </w:rPr>
        <w:t xml:space="preserve">5) en el </w:t>
      </w:r>
      <w:r w:rsidR="00AD2D0C">
        <w:rPr>
          <w:rFonts w:ascii="Bookman Old Style" w:hAnsi="Bookman Old Style"/>
        </w:rPr>
        <w:t xml:space="preserve">inciso </w:t>
      </w:r>
      <w:r w:rsidR="001B1034">
        <w:rPr>
          <w:rFonts w:ascii="Bookman Old Style" w:hAnsi="Bookman Old Style"/>
        </w:rPr>
        <w:t>cuarto</w:t>
      </w:r>
      <w:r w:rsidR="00AD2D0C">
        <w:rPr>
          <w:rFonts w:ascii="Bookman Old Style" w:hAnsi="Bookman Old Style"/>
        </w:rPr>
        <w:t xml:space="preserve"> del </w:t>
      </w:r>
      <w:r w:rsidR="007715CC">
        <w:rPr>
          <w:rFonts w:ascii="Bookman Old Style" w:hAnsi="Bookman Old Style"/>
        </w:rPr>
        <w:t>artículo 15 de la Ley N°</w:t>
      </w:r>
      <w:r>
        <w:rPr>
          <w:rFonts w:ascii="Bookman Old Style" w:hAnsi="Bookman Old Style"/>
        </w:rPr>
        <w:t>18.410, que Crea la Superintendencia de Electricidad y Combustible,</w:t>
      </w:r>
      <w:r w:rsidR="007715CC">
        <w:rPr>
          <w:rFonts w:ascii="Bookman Old Style" w:hAnsi="Bookman Old Style"/>
        </w:rPr>
        <w:t xml:space="preserve"> pasando el actual numeral 5) a ser numeral 6) y así sucesivamente,</w:t>
      </w:r>
      <w:r>
        <w:rPr>
          <w:rFonts w:ascii="Bookman Old Style" w:hAnsi="Bookman Old Style"/>
        </w:rPr>
        <w:t xml:space="preserve"> </w:t>
      </w:r>
      <w:r w:rsidR="007715CC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>el siguiente tenor:</w:t>
      </w:r>
    </w:p>
    <w:p w14:paraId="3EC748E5" w14:textId="08BCAE93" w:rsidR="000F72A2" w:rsidRDefault="008C74CB" w:rsidP="008C74C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“</w:t>
      </w:r>
      <w:r w:rsidR="007715CC">
        <w:rPr>
          <w:rFonts w:ascii="Bookman Old Style" w:hAnsi="Bookman Old Style"/>
        </w:rPr>
        <w:t>5</w:t>
      </w:r>
      <w:r>
        <w:rPr>
          <w:rFonts w:ascii="Bookman Old Style" w:hAnsi="Bookman Old Style"/>
        </w:rPr>
        <w:t xml:space="preserve">) Entreguen </w:t>
      </w:r>
      <w:r w:rsidR="0069000C">
        <w:rPr>
          <w:rFonts w:ascii="Bookman Old Style" w:hAnsi="Bookman Old Style"/>
        </w:rPr>
        <w:t>información falsa, incompleta o errónea sobre el tiempo de reposición estimado del suministro</w:t>
      </w:r>
      <w:r w:rsidR="001C1DAF">
        <w:rPr>
          <w:rFonts w:ascii="Bookman Old Style" w:hAnsi="Bookman Old Style"/>
        </w:rPr>
        <w:t>, cuando dicha información sea solicitada por la autoridad competente o por los usuarios afectados</w:t>
      </w:r>
      <w:r w:rsidR="000E6C64">
        <w:rPr>
          <w:rFonts w:ascii="Bookman Old Style" w:hAnsi="Bookman Old Style"/>
        </w:rPr>
        <w:t>.”</w:t>
      </w:r>
    </w:p>
    <w:p w14:paraId="50C79E1A" w14:textId="538A093F" w:rsidR="00F81E1D" w:rsidRDefault="00F81E1D" w:rsidP="008C74CB">
      <w:pPr>
        <w:spacing w:line="360" w:lineRule="auto"/>
        <w:jc w:val="both"/>
        <w:rPr>
          <w:rFonts w:ascii="Bookman Old Style" w:hAnsi="Bookman Old Style"/>
        </w:rPr>
      </w:pPr>
    </w:p>
    <w:p w14:paraId="1AE27374" w14:textId="71918588" w:rsidR="00F81E1D" w:rsidRDefault="00C35480" w:rsidP="008C74CB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7D6966C9" wp14:editId="76BCB5D4">
            <wp:simplePos x="0" y="0"/>
            <wp:positionH relativeFrom="margin">
              <wp:posOffset>1564200</wp:posOffset>
            </wp:positionH>
            <wp:positionV relativeFrom="paragraph">
              <wp:posOffset>9134</wp:posOffset>
            </wp:positionV>
            <wp:extent cx="2669999" cy="1554480"/>
            <wp:effectExtent l="0" t="0" r="0" b="0"/>
            <wp:wrapNone/>
            <wp:docPr id="372511187" name="Imagen 1" descr="Imagen en blanco y negr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511187" name="Imagen 1" descr="Imagen en blanco y negro&#10;&#10;El contenido generado por IA puede ser incorrecto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9999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6F7CBC" w14:textId="77777777" w:rsidR="00653BB2" w:rsidRDefault="00653BB2" w:rsidP="008C74CB">
      <w:pPr>
        <w:spacing w:line="360" w:lineRule="auto"/>
        <w:jc w:val="both"/>
        <w:rPr>
          <w:rFonts w:ascii="Bookman Old Style" w:hAnsi="Bookman Old Style"/>
        </w:rPr>
      </w:pPr>
    </w:p>
    <w:p w14:paraId="050E5DA0" w14:textId="07E819FF" w:rsidR="00F81E1D" w:rsidRDefault="00F81E1D" w:rsidP="00F81E1D">
      <w:pPr>
        <w:spacing w:after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RICARDO CIFUENTES L.</w:t>
      </w:r>
    </w:p>
    <w:p w14:paraId="44109548" w14:textId="4BFDD9B6" w:rsidR="00F81E1D" w:rsidRPr="008C74CB" w:rsidRDefault="00F81E1D" w:rsidP="00F81E1D">
      <w:pPr>
        <w:spacing w:after="0" w:line="360" w:lineRule="auto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DISTRITO 5</w:t>
      </w:r>
    </w:p>
    <w:sectPr w:rsidR="00F81E1D" w:rsidRPr="008C74CB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F0FF4" w14:textId="77777777" w:rsidR="005873A8" w:rsidRDefault="005873A8" w:rsidP="00454B27">
      <w:pPr>
        <w:spacing w:after="0" w:line="240" w:lineRule="auto"/>
      </w:pPr>
      <w:r>
        <w:separator/>
      </w:r>
    </w:p>
  </w:endnote>
  <w:endnote w:type="continuationSeparator" w:id="0">
    <w:p w14:paraId="6F47F014" w14:textId="77777777" w:rsidR="005873A8" w:rsidRDefault="005873A8" w:rsidP="0045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48865C" w14:textId="77777777" w:rsidR="005873A8" w:rsidRDefault="005873A8" w:rsidP="00454B27">
      <w:pPr>
        <w:spacing w:after="0" w:line="240" w:lineRule="auto"/>
      </w:pPr>
      <w:r>
        <w:separator/>
      </w:r>
    </w:p>
  </w:footnote>
  <w:footnote w:type="continuationSeparator" w:id="0">
    <w:p w14:paraId="65655990" w14:textId="77777777" w:rsidR="005873A8" w:rsidRDefault="005873A8" w:rsidP="0045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D831C" w14:textId="41127078" w:rsidR="00454B27" w:rsidRDefault="00454B27" w:rsidP="00454B27">
    <w:pPr>
      <w:pStyle w:val="Encabezado"/>
      <w:jc w:val="center"/>
    </w:pPr>
    <w:r>
      <w:rPr>
        <w:noProof/>
      </w:rPr>
      <w:drawing>
        <wp:inline distT="0" distB="0" distL="0" distR="0" wp14:anchorId="7B718E59" wp14:editId="5DFA9547">
          <wp:extent cx="849630" cy="849630"/>
          <wp:effectExtent l="0" t="0" r="7620" b="7620"/>
          <wp:docPr id="485000699" name="Imagen 1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000699" name="Imagen 1" descr="Logotipo, nombre de la empres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30" cy="849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439C5"/>
    <w:multiLevelType w:val="hybridMultilevel"/>
    <w:tmpl w:val="50C2B3A8"/>
    <w:lvl w:ilvl="0" w:tplc="F806B7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96FC1"/>
    <w:multiLevelType w:val="hybridMultilevel"/>
    <w:tmpl w:val="3B50F3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056320">
    <w:abstractNumId w:val="0"/>
  </w:num>
  <w:num w:numId="2" w16cid:durableId="8837163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02D"/>
    <w:rsid w:val="00010716"/>
    <w:rsid w:val="00051268"/>
    <w:rsid w:val="0008318C"/>
    <w:rsid w:val="000E6C64"/>
    <w:rsid w:val="000F72A2"/>
    <w:rsid w:val="0012201A"/>
    <w:rsid w:val="00132DB2"/>
    <w:rsid w:val="001B1034"/>
    <w:rsid w:val="001C1DAF"/>
    <w:rsid w:val="002306DE"/>
    <w:rsid w:val="00270E00"/>
    <w:rsid w:val="00276380"/>
    <w:rsid w:val="00285EE8"/>
    <w:rsid w:val="002A1DAE"/>
    <w:rsid w:val="002A5DCC"/>
    <w:rsid w:val="002C0162"/>
    <w:rsid w:val="002D1A3F"/>
    <w:rsid w:val="002D439E"/>
    <w:rsid w:val="003504C7"/>
    <w:rsid w:val="00395790"/>
    <w:rsid w:val="00404C7A"/>
    <w:rsid w:val="0041474E"/>
    <w:rsid w:val="00423D54"/>
    <w:rsid w:val="004533E8"/>
    <w:rsid w:val="00454AA0"/>
    <w:rsid w:val="00454B27"/>
    <w:rsid w:val="00463B6C"/>
    <w:rsid w:val="004F10BF"/>
    <w:rsid w:val="00520632"/>
    <w:rsid w:val="00530A1C"/>
    <w:rsid w:val="00532106"/>
    <w:rsid w:val="00561469"/>
    <w:rsid w:val="00570758"/>
    <w:rsid w:val="00584500"/>
    <w:rsid w:val="005873A8"/>
    <w:rsid w:val="005938B7"/>
    <w:rsid w:val="005A0435"/>
    <w:rsid w:val="005A24E6"/>
    <w:rsid w:val="00614642"/>
    <w:rsid w:val="00653BB2"/>
    <w:rsid w:val="006618E9"/>
    <w:rsid w:val="0067157E"/>
    <w:rsid w:val="00680F82"/>
    <w:rsid w:val="0069000C"/>
    <w:rsid w:val="006A479F"/>
    <w:rsid w:val="006B1439"/>
    <w:rsid w:val="006C57C5"/>
    <w:rsid w:val="006C730C"/>
    <w:rsid w:val="006E5234"/>
    <w:rsid w:val="00701490"/>
    <w:rsid w:val="007513B5"/>
    <w:rsid w:val="00763902"/>
    <w:rsid w:val="007715CC"/>
    <w:rsid w:val="00776917"/>
    <w:rsid w:val="0078118D"/>
    <w:rsid w:val="00782996"/>
    <w:rsid w:val="007834E1"/>
    <w:rsid w:val="00793D99"/>
    <w:rsid w:val="00795B01"/>
    <w:rsid w:val="00816F9F"/>
    <w:rsid w:val="00827453"/>
    <w:rsid w:val="008B57D3"/>
    <w:rsid w:val="008C74CB"/>
    <w:rsid w:val="008D62AD"/>
    <w:rsid w:val="008E44D9"/>
    <w:rsid w:val="008E7035"/>
    <w:rsid w:val="008F16B8"/>
    <w:rsid w:val="009166BA"/>
    <w:rsid w:val="009420DC"/>
    <w:rsid w:val="00964D98"/>
    <w:rsid w:val="00977254"/>
    <w:rsid w:val="009C2F77"/>
    <w:rsid w:val="009D33FC"/>
    <w:rsid w:val="00A0744B"/>
    <w:rsid w:val="00A15E94"/>
    <w:rsid w:val="00A50249"/>
    <w:rsid w:val="00A9243D"/>
    <w:rsid w:val="00A952F5"/>
    <w:rsid w:val="00AD2D0C"/>
    <w:rsid w:val="00AF4D8C"/>
    <w:rsid w:val="00B32EA1"/>
    <w:rsid w:val="00B61D88"/>
    <w:rsid w:val="00B9608A"/>
    <w:rsid w:val="00C0761C"/>
    <w:rsid w:val="00C07BB4"/>
    <w:rsid w:val="00C1457F"/>
    <w:rsid w:val="00C35480"/>
    <w:rsid w:val="00C4602D"/>
    <w:rsid w:val="00C50165"/>
    <w:rsid w:val="00C7635B"/>
    <w:rsid w:val="00C86CD0"/>
    <w:rsid w:val="00CA1CAD"/>
    <w:rsid w:val="00D1177E"/>
    <w:rsid w:val="00D218EA"/>
    <w:rsid w:val="00D2588D"/>
    <w:rsid w:val="00D85BE3"/>
    <w:rsid w:val="00E95C95"/>
    <w:rsid w:val="00EB15C0"/>
    <w:rsid w:val="00F477C9"/>
    <w:rsid w:val="00F54255"/>
    <w:rsid w:val="00F81B62"/>
    <w:rsid w:val="00F81E1D"/>
    <w:rsid w:val="00FD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9BD670"/>
  <w15:chartTrackingRefBased/>
  <w15:docId w15:val="{45D231AE-2787-461C-B1FE-3DDCF1C0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460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46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460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460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460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460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460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460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460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6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46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460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4602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4602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460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460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460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460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460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46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460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460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46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460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460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4602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46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4602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4602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54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B27"/>
  </w:style>
  <w:style w:type="paragraph" w:styleId="Piedepgina">
    <w:name w:val="footer"/>
    <w:basedOn w:val="Normal"/>
    <w:link w:val="PiedepginaCar"/>
    <w:uiPriority w:val="99"/>
    <w:unhideWhenUsed/>
    <w:rsid w:val="00454B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4</Pages>
  <Words>1003</Words>
  <Characters>5520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Farías</dc:creator>
  <cp:keywords/>
  <dc:description/>
  <cp:lastModifiedBy>Guillermo Diaz Vallejos</cp:lastModifiedBy>
  <cp:revision>1</cp:revision>
  <cp:lastPrinted>2025-07-08T15:23:00Z</cp:lastPrinted>
  <dcterms:created xsi:type="dcterms:W3CDTF">2025-07-01T21:09:00Z</dcterms:created>
  <dcterms:modified xsi:type="dcterms:W3CDTF">2025-07-15T15:43:00Z</dcterms:modified>
</cp:coreProperties>
</file>