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29A0" w:rsidRDefault="00000000">
      <w:pPr>
        <w:pStyle w:val="Ttulo"/>
        <w:spacing w:line="242" w:lineRule="auto"/>
      </w:pPr>
      <w:r>
        <w:rPr>
          <w:smallCaps/>
          <w:spacing w:val="-4"/>
        </w:rPr>
        <w:t>Proyecto de ley que ordena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el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involucramiento</w:t>
      </w:r>
      <w:r>
        <w:rPr>
          <w:smallCaps/>
          <w:spacing w:val="-6"/>
        </w:rPr>
        <w:t xml:space="preserve"> </w:t>
      </w:r>
      <w:r>
        <w:rPr>
          <w:smallCaps/>
          <w:spacing w:val="-4"/>
        </w:rPr>
        <w:t>de</w:t>
      </w:r>
      <w:r>
        <w:rPr>
          <w:smallCaps/>
          <w:spacing w:val="-9"/>
        </w:rPr>
        <w:t xml:space="preserve"> </w:t>
      </w:r>
      <w:r>
        <w:rPr>
          <w:smallCaps/>
          <w:spacing w:val="-4"/>
        </w:rPr>
        <w:t>un</w:t>
      </w:r>
      <w:r>
        <w:rPr>
          <w:smallCaps/>
          <w:spacing w:val="-9"/>
        </w:rPr>
        <w:t xml:space="preserve"> </w:t>
      </w:r>
      <w:r>
        <w:rPr>
          <w:smallCaps/>
          <w:spacing w:val="-4"/>
        </w:rPr>
        <w:t xml:space="preserve">fiscal </w:t>
      </w:r>
      <w:r>
        <w:rPr>
          <w:smallCaps/>
        </w:rPr>
        <w:t>militar para procesar causas de espionaje</w:t>
      </w:r>
    </w:p>
    <w:p w:rsidR="00BC29A0" w:rsidRDefault="00BC29A0">
      <w:pPr>
        <w:pStyle w:val="Textoindependiente"/>
        <w:rPr>
          <w:b/>
          <w:sz w:val="22"/>
        </w:rPr>
      </w:pPr>
    </w:p>
    <w:p w:rsidR="00BC29A0" w:rsidRDefault="00BC29A0">
      <w:pPr>
        <w:pStyle w:val="Textoindependiente"/>
        <w:spacing w:before="202"/>
        <w:rPr>
          <w:b/>
          <w:sz w:val="22"/>
        </w:rPr>
      </w:pPr>
    </w:p>
    <w:p w:rsidR="00BC29A0" w:rsidRDefault="00000000">
      <w:pPr>
        <w:pStyle w:val="Ttulo1"/>
        <w:numPr>
          <w:ilvl w:val="0"/>
          <w:numId w:val="1"/>
        </w:numPr>
        <w:tabs>
          <w:tab w:val="left" w:pos="1341"/>
        </w:tabs>
        <w:spacing w:before="1"/>
        <w:ind w:left="1341"/>
      </w:pPr>
      <w:r>
        <w:rPr>
          <w:spacing w:val="-2"/>
        </w:rPr>
        <w:t>Fundamentos</w:t>
      </w:r>
    </w:p>
    <w:p w:rsidR="00BC29A0" w:rsidRDefault="00BC29A0">
      <w:pPr>
        <w:pStyle w:val="Textoindependiente"/>
        <w:spacing w:before="77"/>
        <w:rPr>
          <w:b/>
        </w:rPr>
      </w:pPr>
    </w:p>
    <w:p w:rsidR="00BC29A0" w:rsidRDefault="00000000">
      <w:pPr>
        <w:pStyle w:val="Textoindependiente"/>
        <w:ind w:left="161" w:right="137"/>
        <w:jc w:val="both"/>
      </w:pPr>
      <w:r>
        <w:t>El</w:t>
      </w:r>
      <w:r>
        <w:rPr>
          <w:spacing w:val="-6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2025,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sujetos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nacionalidad</w:t>
      </w:r>
      <w:r>
        <w:rPr>
          <w:spacing w:val="-6"/>
        </w:rPr>
        <w:t xml:space="preserve"> </w:t>
      </w:r>
      <w:r>
        <w:t>boliviana</w:t>
      </w:r>
      <w:r>
        <w:rPr>
          <w:spacing w:val="-6"/>
        </w:rPr>
        <w:t xml:space="preserve"> </w:t>
      </w:r>
      <w:r>
        <w:t>fueron</w:t>
      </w:r>
      <w:r>
        <w:rPr>
          <w:spacing w:val="-6"/>
        </w:rPr>
        <w:t xml:space="preserve"> </w:t>
      </w:r>
      <w:r>
        <w:t>sorprendidos al</w:t>
      </w:r>
      <w:r>
        <w:rPr>
          <w:spacing w:val="-6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militar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Aérea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Chile,</w:t>
      </w:r>
      <w:r>
        <w:rPr>
          <w:spacing w:val="-6"/>
        </w:rPr>
        <w:t xml:space="preserve"> </w:t>
      </w:r>
      <w:r>
        <w:t>ubicada</w:t>
      </w:r>
      <w:r>
        <w:rPr>
          <w:spacing w:val="-6"/>
        </w:rPr>
        <w:t xml:space="preserve"> </w:t>
      </w:r>
      <w:r>
        <w:t>cerca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reserva Pampa del Tamarugal, en la comuna de Pozo Almonte, de la Región de Tarapacá. Personal de la FACh habría detectado a ambos sujetos al interior de la base, pero al intentar controlarlos estos se dieron a la fuga. No obstante, fueron interceptados y detenidos por Carabineros, para luego ser entregados a la Policía de Investigaciones, por instrucción del Ministerio Público.</w:t>
      </w:r>
    </w:p>
    <w:p w:rsidR="00BC29A0" w:rsidRDefault="00BC29A0">
      <w:pPr>
        <w:pStyle w:val="Textoindependiente"/>
        <w:spacing w:before="2"/>
      </w:pPr>
    </w:p>
    <w:p w:rsidR="00BC29A0" w:rsidRDefault="00000000">
      <w:pPr>
        <w:pStyle w:val="Textoindependiente"/>
        <w:ind w:left="161" w:right="132"/>
        <w:jc w:val="both"/>
      </w:pPr>
      <w:r>
        <w:t>Un aspecto muy grave del caso fue que los sujetos portaban un “croquis" que dio pie a que la fiscalía sospechara de espionaje. Sin embargo, el día jueves 15 de mayo, la fiscalía resolvió formalizarlos e imputarles solamente el delito contemplado en el artículo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17.798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Armas,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sanciona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“toda</w:t>
      </w:r>
      <w:r>
        <w:rPr>
          <w:spacing w:val="-8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sin estar</w:t>
      </w:r>
      <w:r>
        <w:rPr>
          <w:spacing w:val="-4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fuere</w:t>
      </w:r>
      <w:r>
        <w:rPr>
          <w:spacing w:val="-5"/>
        </w:rPr>
        <w:t xml:space="preserve"> </w:t>
      </w:r>
      <w:r>
        <w:t>sorprendida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polvorines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depósitos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armas,</w:t>
      </w:r>
      <w:r>
        <w:rPr>
          <w:spacing w:val="-2"/>
        </w:rPr>
        <w:t xml:space="preserve"> </w:t>
      </w:r>
      <w:r>
        <w:t>sean estos</w:t>
      </w:r>
      <w:r>
        <w:rPr>
          <w:spacing w:val="-3"/>
        </w:rPr>
        <w:t xml:space="preserve"> </w:t>
      </w:r>
      <w:r>
        <w:t>militares,</w:t>
      </w:r>
      <w:r>
        <w:rPr>
          <w:spacing w:val="-2"/>
        </w:rPr>
        <w:t xml:space="preserve"> </w:t>
      </w:r>
      <w:r>
        <w:t>policiales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civiles, o en</w:t>
      </w:r>
      <w:r>
        <w:rPr>
          <w:spacing w:val="-2"/>
        </w:rPr>
        <w:t xml:space="preserve"> </w:t>
      </w:r>
      <w:r>
        <w:t>recintos</w:t>
      </w:r>
      <w:r>
        <w:rPr>
          <w:spacing w:val="-3"/>
        </w:rPr>
        <w:t xml:space="preserve"> </w:t>
      </w:r>
      <w:r>
        <w:t>militares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policiales</w:t>
      </w:r>
      <w:r>
        <w:rPr>
          <w:spacing w:val="-3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esté prohibido” con la pena de presidio o relegación menores en su grado mínimo.</w:t>
      </w:r>
    </w:p>
    <w:p w:rsidR="00BC29A0" w:rsidRDefault="00000000">
      <w:pPr>
        <w:pStyle w:val="Textoindependiente"/>
        <w:spacing w:before="323"/>
        <w:ind w:left="161" w:right="137"/>
        <w:jc w:val="both"/>
      </w:pPr>
      <w:r>
        <w:t>La imputación anterior se explica por la forma en que funciona nuestro sistema de justicia</w:t>
      </w:r>
      <w:r>
        <w:rPr>
          <w:spacing w:val="-4"/>
        </w:rPr>
        <w:t xml:space="preserve"> </w:t>
      </w:r>
      <w:r>
        <w:t>militar.</w:t>
      </w:r>
      <w:r>
        <w:rPr>
          <w:spacing w:val="-4"/>
        </w:rPr>
        <w:t xml:space="preserve"> </w:t>
      </w:r>
      <w:r>
        <w:t>Tras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20.477</w:t>
      </w:r>
      <w:r>
        <w:rPr>
          <w:spacing w:val="-4"/>
        </w:rPr>
        <w:t xml:space="preserve"> </w:t>
      </w:r>
      <w:r>
        <w:t>(de</w:t>
      </w:r>
      <w:r>
        <w:rPr>
          <w:spacing w:val="-4"/>
        </w:rPr>
        <w:t xml:space="preserve"> </w:t>
      </w:r>
      <w:r>
        <w:t>2010)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castrense quedó</w:t>
      </w:r>
      <w:r>
        <w:rPr>
          <w:spacing w:val="-1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restringida,</w:t>
      </w:r>
      <w:r>
        <w:rPr>
          <w:spacing w:val="-1"/>
        </w:rPr>
        <w:t xml:space="preserve"> </w:t>
      </w:r>
      <w:r>
        <w:t>limitándose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“delitos</w:t>
      </w:r>
      <w:r>
        <w:rPr>
          <w:spacing w:val="-2"/>
        </w:rPr>
        <w:t xml:space="preserve"> </w:t>
      </w:r>
      <w:r>
        <w:t>militares”</w:t>
      </w:r>
      <w:r>
        <w:rPr>
          <w:spacing w:val="-1"/>
        </w:rPr>
        <w:t xml:space="preserve"> </w:t>
      </w:r>
      <w:r>
        <w:t>codificados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 de</w:t>
      </w:r>
      <w:r>
        <w:rPr>
          <w:spacing w:val="-1"/>
        </w:rPr>
        <w:t xml:space="preserve"> </w:t>
      </w:r>
      <w:r>
        <w:t>Justicia</w:t>
      </w:r>
      <w:r>
        <w:rPr>
          <w:spacing w:val="-1"/>
        </w:rPr>
        <w:t xml:space="preserve"> </w:t>
      </w:r>
      <w:r>
        <w:t>Militar que fueran</w:t>
      </w:r>
      <w:r>
        <w:rPr>
          <w:spacing w:val="-2"/>
        </w:rPr>
        <w:t xml:space="preserve"> </w:t>
      </w:r>
      <w:r>
        <w:t>cometidos</w:t>
      </w:r>
      <w:r>
        <w:rPr>
          <w:spacing w:val="-2"/>
        </w:rPr>
        <w:t xml:space="preserve"> </w:t>
      </w:r>
      <w:r>
        <w:t>por personal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servicio.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civiles, los</w:t>
      </w:r>
      <w:r>
        <w:rPr>
          <w:spacing w:val="-7"/>
        </w:rPr>
        <w:t xml:space="preserve"> </w:t>
      </w:r>
      <w:r>
        <w:t>tribunales</w:t>
      </w:r>
      <w:r>
        <w:rPr>
          <w:spacing w:val="-5"/>
        </w:rPr>
        <w:t xml:space="preserve"> </w:t>
      </w:r>
      <w:r>
        <w:t>militares</w:t>
      </w:r>
      <w:r>
        <w:rPr>
          <w:spacing w:val="-7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intervenir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guerra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conflicto</w:t>
      </w:r>
      <w:r>
        <w:rPr>
          <w:spacing w:val="-6"/>
        </w:rPr>
        <w:t xml:space="preserve"> </w:t>
      </w:r>
      <w:r>
        <w:t>armado declarado.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t>palabras,</w:t>
      </w:r>
      <w:r>
        <w:rPr>
          <w:spacing w:val="-13"/>
        </w:rPr>
        <w:t xml:space="preserve"> </w:t>
      </w:r>
      <w:r>
        <w:t>dado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civiles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pueden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imputados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delitos del</w:t>
      </w:r>
      <w:r>
        <w:rPr>
          <w:spacing w:val="-15"/>
        </w:rPr>
        <w:t xml:space="preserve"> </w:t>
      </w:r>
      <w:r>
        <w:t>Código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Justicia</w:t>
      </w:r>
      <w:r>
        <w:rPr>
          <w:spacing w:val="-15"/>
        </w:rPr>
        <w:t xml:space="preserve"> </w:t>
      </w:r>
      <w:r>
        <w:t>Militar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tiempos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paz,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fiscalía</w:t>
      </w:r>
      <w:r>
        <w:rPr>
          <w:spacing w:val="-14"/>
        </w:rPr>
        <w:t xml:space="preserve"> </w:t>
      </w:r>
      <w:r>
        <w:t>solo</w:t>
      </w:r>
      <w:r>
        <w:rPr>
          <w:spacing w:val="-15"/>
        </w:rPr>
        <w:t xml:space="preserve"> </w:t>
      </w:r>
      <w:r>
        <w:t>puede</w:t>
      </w:r>
      <w:r>
        <w:rPr>
          <w:spacing w:val="-15"/>
        </w:rPr>
        <w:t xml:space="preserve"> </w:t>
      </w:r>
      <w:r>
        <w:t>imputarles</w:t>
      </w:r>
      <w:r>
        <w:rPr>
          <w:spacing w:val="-15"/>
        </w:rPr>
        <w:t xml:space="preserve"> </w:t>
      </w:r>
      <w:r>
        <w:t>tipos penales “ordinarios”.</w:t>
      </w:r>
    </w:p>
    <w:p w:rsidR="00BC29A0" w:rsidRDefault="00BC29A0">
      <w:pPr>
        <w:pStyle w:val="Textoindependiente"/>
      </w:pPr>
    </w:p>
    <w:p w:rsidR="00BC29A0" w:rsidRDefault="00000000">
      <w:pPr>
        <w:pStyle w:val="Textoindependiente"/>
        <w:ind w:left="161" w:right="141"/>
        <w:jc w:val="both"/>
      </w:pPr>
      <w:r>
        <w:t>El</w:t>
      </w:r>
      <w:r>
        <w:rPr>
          <w:spacing w:val="-4"/>
        </w:rPr>
        <w:t xml:space="preserve"> </w:t>
      </w:r>
      <w:r>
        <w:t>problema,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espionaje,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precisamente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dificultad</w:t>
      </w:r>
      <w:r>
        <w:rPr>
          <w:spacing w:val="-4"/>
        </w:rPr>
        <w:t xml:space="preserve"> </w:t>
      </w:r>
      <w:r>
        <w:t>de distinguir la calidad de civil o de militar de un eventual espía, diligencia que solo puede desarrollarse adecuadamente de la mano de la justicia militar.</w:t>
      </w:r>
    </w:p>
    <w:p w:rsidR="00BC29A0" w:rsidRDefault="00BC29A0">
      <w:pPr>
        <w:pStyle w:val="Textoindependiente"/>
        <w:spacing w:before="1"/>
      </w:pPr>
    </w:p>
    <w:p w:rsidR="00BC29A0" w:rsidRDefault="00000000">
      <w:pPr>
        <w:pStyle w:val="Textoindependiente"/>
        <w:ind w:left="161" w:right="132"/>
        <w:jc w:val="both"/>
      </w:pPr>
      <w:r>
        <w:t>Lo anterior no es trivial, por cuanto los casos de presunto espionaje, como el citado, comprometen gravemente la seguridad nacional y no dejan adecuadamente resguardada la información que los posibles espías hubieren recabado. En efecto, de las</w:t>
      </w:r>
      <w:r>
        <w:rPr>
          <w:spacing w:val="-9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fueron</w:t>
      </w:r>
      <w:r>
        <w:rPr>
          <w:spacing w:val="-9"/>
        </w:rPr>
        <w:t xml:space="preserve"> </w:t>
      </w:r>
      <w:r>
        <w:t>sorprendidas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FACH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luego</w:t>
      </w:r>
      <w:r>
        <w:rPr>
          <w:spacing w:val="-8"/>
        </w:rPr>
        <w:t xml:space="preserve"> </w:t>
      </w:r>
      <w:r>
        <w:t>formalizadas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delito</w:t>
      </w:r>
      <w:r>
        <w:rPr>
          <w:spacing w:val="-8"/>
        </w:rPr>
        <w:t xml:space="preserve"> </w:t>
      </w:r>
      <w:r>
        <w:t>de Ley de Armas (y no de espionaje) tan solo una de ellas fue dejada en prisión preventiva, dejándose a la otra en libertad con las medidas cautelares de arraigo y firma mensual.</w:t>
      </w:r>
    </w:p>
    <w:p w:rsidR="00BC29A0" w:rsidRDefault="00BC29A0">
      <w:pPr>
        <w:pStyle w:val="Textoindependiente"/>
      </w:pPr>
    </w:p>
    <w:p w:rsidR="00BC29A0" w:rsidRDefault="00000000">
      <w:pPr>
        <w:pStyle w:val="Textoindependiente"/>
        <w:ind w:left="161" w:right="137"/>
        <w:jc w:val="both"/>
      </w:pPr>
      <w:r>
        <w:t>En</w:t>
      </w:r>
      <w:r>
        <w:rPr>
          <w:spacing w:val="-4"/>
        </w:rPr>
        <w:t xml:space="preserve"> </w:t>
      </w:r>
      <w:r>
        <w:t>consecuencia,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introducir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nuestro Código</w:t>
      </w:r>
      <w:r>
        <w:rPr>
          <w:spacing w:val="46"/>
        </w:rPr>
        <w:t xml:space="preserve"> </w:t>
      </w:r>
      <w:r>
        <w:t>Penal</w:t>
      </w:r>
      <w:r>
        <w:rPr>
          <w:spacing w:val="48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que,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casos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sospecha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espionaje,</w:t>
      </w:r>
      <w:r>
        <w:rPr>
          <w:spacing w:val="48"/>
        </w:rPr>
        <w:t xml:space="preserve"> </w:t>
      </w:r>
      <w:r>
        <w:t>sea</w:t>
      </w:r>
      <w:r>
        <w:rPr>
          <w:spacing w:val="48"/>
        </w:rPr>
        <w:t xml:space="preserve"> </w:t>
      </w:r>
      <w:r>
        <w:t>obligatoria</w:t>
      </w:r>
      <w:r>
        <w:rPr>
          <w:spacing w:val="49"/>
        </w:rPr>
        <w:t xml:space="preserve"> </w:t>
      </w:r>
      <w:r>
        <w:rPr>
          <w:spacing w:val="-5"/>
        </w:rPr>
        <w:t>la</w:t>
      </w:r>
    </w:p>
    <w:p w:rsidR="00BC29A0" w:rsidRDefault="00BC29A0">
      <w:pPr>
        <w:pStyle w:val="Textoindependiente"/>
        <w:jc w:val="both"/>
        <w:sectPr w:rsidR="00BC29A0">
          <w:headerReference w:type="default" r:id="rId7"/>
          <w:footerReference w:type="default" r:id="rId8"/>
          <w:type w:val="continuous"/>
          <w:pgSz w:w="12240" w:h="18720"/>
          <w:pgMar w:top="2220" w:right="1440" w:bottom="1200" w:left="1440" w:header="429" w:footer="1013" w:gutter="0"/>
          <w:pgNumType w:start="1"/>
          <w:cols w:space="720"/>
        </w:sectPr>
      </w:pPr>
    </w:p>
    <w:p w:rsidR="00BC29A0" w:rsidRDefault="00000000">
      <w:pPr>
        <w:pStyle w:val="Textoindependiente"/>
        <w:spacing w:before="125"/>
        <w:ind w:left="161" w:right="140"/>
        <w:jc w:val="both"/>
      </w:pPr>
      <w:r>
        <w:lastRenderedPageBreak/>
        <w:t>intervención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militar</w:t>
      </w:r>
      <w:r>
        <w:rPr>
          <w:spacing w:val="-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resolver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estima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imputar</w:t>
      </w:r>
      <w:r>
        <w:rPr>
          <w:spacing w:val="-9"/>
        </w:rPr>
        <w:t xml:space="preserve"> </w:t>
      </w:r>
      <w:r>
        <w:t>alguno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los delitos del Código de Justicia Militar por tratarse, potencialmente, de un militar </w:t>
      </w:r>
      <w:r>
        <w:rPr>
          <w:spacing w:val="-2"/>
        </w:rPr>
        <w:t>encubierto.</w:t>
      </w:r>
    </w:p>
    <w:p w:rsidR="00BC29A0" w:rsidRDefault="00BC29A0">
      <w:pPr>
        <w:pStyle w:val="Textoindependiente"/>
        <w:spacing w:before="47"/>
      </w:pPr>
    </w:p>
    <w:p w:rsidR="00BC29A0" w:rsidRDefault="00000000">
      <w:pPr>
        <w:pStyle w:val="Ttulo1"/>
        <w:numPr>
          <w:ilvl w:val="0"/>
          <w:numId w:val="1"/>
        </w:numPr>
        <w:tabs>
          <w:tab w:val="left" w:pos="1341"/>
        </w:tabs>
        <w:ind w:left="1341"/>
      </w:pPr>
      <w:r>
        <w:t>Idea</w:t>
      </w:r>
      <w:r>
        <w:rPr>
          <w:spacing w:val="-7"/>
        </w:rPr>
        <w:t xml:space="preserve"> </w:t>
      </w:r>
      <w:r>
        <w:rPr>
          <w:spacing w:val="-2"/>
        </w:rPr>
        <w:t>matriz</w:t>
      </w:r>
    </w:p>
    <w:p w:rsidR="00BC29A0" w:rsidRDefault="00BC29A0">
      <w:pPr>
        <w:pStyle w:val="Textoindependiente"/>
        <w:spacing w:before="98"/>
        <w:rPr>
          <w:b/>
        </w:rPr>
      </w:pPr>
    </w:p>
    <w:p w:rsidR="00BC29A0" w:rsidRDefault="00000000">
      <w:pPr>
        <w:pStyle w:val="Textoindependiente"/>
        <w:spacing w:before="1" w:line="276" w:lineRule="auto"/>
        <w:ind w:left="264" w:firstLine="280"/>
      </w:pPr>
      <w:r>
        <w:t>El proyecto de ley busca introducir el involucramiento obligatorio de un fiscal</w:t>
      </w:r>
      <w:r>
        <w:rPr>
          <w:spacing w:val="40"/>
        </w:rPr>
        <w:t xml:space="preserve"> </w:t>
      </w:r>
      <w:r>
        <w:t>militar cuando exista sospecha del delito de espionaje.</w:t>
      </w:r>
    </w:p>
    <w:p w:rsidR="00BC29A0" w:rsidRDefault="00BC29A0">
      <w:pPr>
        <w:pStyle w:val="Textoindependiente"/>
        <w:spacing w:before="49"/>
      </w:pPr>
    </w:p>
    <w:p w:rsidR="00BC29A0" w:rsidRDefault="00000000">
      <w:pPr>
        <w:pStyle w:val="Textoindependiente"/>
        <w:spacing w:before="1"/>
        <w:ind w:left="545"/>
      </w:pPr>
      <w:r>
        <w:t>En</w:t>
      </w:r>
      <w:r>
        <w:rPr>
          <w:spacing w:val="-10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expuesto,</w:t>
      </w:r>
      <w:r>
        <w:rPr>
          <w:spacing w:val="-3"/>
        </w:rPr>
        <w:t xml:space="preserve"> </w:t>
      </w:r>
      <w:r>
        <w:t>vengo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siguiente:</w:t>
      </w:r>
    </w:p>
    <w:p w:rsidR="00BC29A0" w:rsidRDefault="00000000">
      <w:pPr>
        <w:pStyle w:val="Ttulo1"/>
        <w:numPr>
          <w:ilvl w:val="0"/>
          <w:numId w:val="1"/>
        </w:numPr>
        <w:tabs>
          <w:tab w:val="left" w:pos="1341"/>
        </w:tabs>
        <w:spacing w:before="320"/>
        <w:ind w:left="1341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5"/>
        </w:rPr>
        <w:t>ley</w:t>
      </w:r>
    </w:p>
    <w:p w:rsidR="00BC29A0" w:rsidRDefault="00BC29A0">
      <w:pPr>
        <w:pStyle w:val="Textoindependiente"/>
        <w:spacing w:before="96"/>
        <w:rPr>
          <w:b/>
        </w:rPr>
      </w:pPr>
    </w:p>
    <w:p w:rsidR="00BC29A0" w:rsidRDefault="00000000">
      <w:pPr>
        <w:pStyle w:val="Textoindependiente"/>
        <w:spacing w:line="280" w:lineRule="auto"/>
        <w:ind w:left="264" w:right="206"/>
        <w:jc w:val="both"/>
      </w:pPr>
      <w:r>
        <w:rPr>
          <w:b/>
        </w:rPr>
        <w:t>Artículo</w:t>
      </w:r>
      <w:r>
        <w:rPr>
          <w:b/>
          <w:spacing w:val="36"/>
        </w:rPr>
        <w:t xml:space="preserve"> </w:t>
      </w:r>
      <w:r>
        <w:rPr>
          <w:b/>
        </w:rPr>
        <w:t>único.</w:t>
      </w:r>
      <w:r>
        <w:rPr>
          <w:b/>
          <w:spacing w:val="36"/>
        </w:rPr>
        <w:t xml:space="preserve"> </w:t>
      </w:r>
      <w:r>
        <w:t>Agregase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109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</w:t>
      </w:r>
      <w:r>
        <w:rPr>
          <w:spacing w:val="-3"/>
        </w:rPr>
        <w:t xml:space="preserve"> </w:t>
      </w:r>
      <w:r>
        <w:t>del siguiente tenor.</w:t>
      </w:r>
    </w:p>
    <w:p w:rsidR="00BC29A0" w:rsidRDefault="00BC29A0">
      <w:pPr>
        <w:pStyle w:val="Textoindependiente"/>
        <w:spacing w:before="46"/>
      </w:pPr>
    </w:p>
    <w:p w:rsidR="00BC29A0" w:rsidRDefault="00000000">
      <w:pPr>
        <w:pStyle w:val="Textoindependiente"/>
        <w:spacing w:line="278" w:lineRule="auto"/>
        <w:ind w:left="264" w:right="134" w:firstLine="616"/>
        <w:jc w:val="both"/>
      </w:pPr>
      <w:r>
        <w:t>“En la investigación de los delitos contemplados en el presente artículo, o de aquel contemplado en el artículo 17 de la ley 17.988 sobre control de armas, cuando ellos fueran cometidos en instalaciones, bienes o información de carácter militar, la causa deberá ser remitida a la fiscalía militar para su conocimiento. Si durante el conocimiento de la causa se establece que la persona sospechosa no pertenece a las Fuerzas</w:t>
      </w:r>
      <w:r>
        <w:rPr>
          <w:spacing w:val="-8"/>
        </w:rPr>
        <w:t xml:space="preserve"> </w:t>
      </w:r>
      <w:r>
        <w:t>Armadas,</w:t>
      </w:r>
      <w:r>
        <w:rPr>
          <w:spacing w:val="-7"/>
        </w:rPr>
        <w:t xml:space="preserve"> </w:t>
      </w:r>
      <w:r>
        <w:t>nacionales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extranjeras,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remitidos</w:t>
      </w:r>
      <w:r>
        <w:rPr>
          <w:spacing w:val="-7"/>
        </w:rPr>
        <w:t xml:space="preserve"> </w:t>
      </w:r>
      <w:r>
        <w:t>al Ministerio Público para que la causa sea conocida por la justicia ordinaria.”</w:t>
      </w:r>
    </w:p>
    <w:p w:rsidR="00BC29A0" w:rsidRDefault="00BC29A0">
      <w:pPr>
        <w:pStyle w:val="Textoindependiente"/>
      </w:pPr>
    </w:p>
    <w:p w:rsidR="00BC29A0" w:rsidRDefault="00BC29A0">
      <w:pPr>
        <w:pStyle w:val="Textoindependiente"/>
      </w:pPr>
    </w:p>
    <w:p w:rsidR="00BC29A0" w:rsidRDefault="00BC29A0">
      <w:pPr>
        <w:pStyle w:val="Textoindependiente"/>
      </w:pPr>
    </w:p>
    <w:p w:rsidR="00BC29A0" w:rsidRDefault="00BC29A0">
      <w:pPr>
        <w:pStyle w:val="Textoindependiente"/>
      </w:pPr>
    </w:p>
    <w:p w:rsidR="00BC29A0" w:rsidRDefault="00BC29A0">
      <w:pPr>
        <w:pStyle w:val="Textoindependiente"/>
      </w:pPr>
    </w:p>
    <w:p w:rsidR="00BC29A0" w:rsidRDefault="00BC29A0">
      <w:pPr>
        <w:pStyle w:val="Textoindependiente"/>
      </w:pPr>
    </w:p>
    <w:p w:rsidR="00BC29A0" w:rsidRDefault="00BC29A0">
      <w:pPr>
        <w:pStyle w:val="Textoindependiente"/>
        <w:spacing w:before="77"/>
      </w:pPr>
    </w:p>
    <w:p w:rsidR="00BC29A0" w:rsidRDefault="00000000">
      <w:pPr>
        <w:ind w:left="23"/>
        <w:jc w:val="center"/>
        <w:rPr>
          <w:b/>
        </w:rPr>
      </w:pPr>
      <w:r>
        <w:rPr>
          <w:b/>
        </w:rPr>
        <w:t>LUIS</w:t>
      </w:r>
      <w:r>
        <w:rPr>
          <w:b/>
          <w:spacing w:val="-8"/>
        </w:rPr>
        <w:t xml:space="preserve"> </w:t>
      </w:r>
      <w:r>
        <w:rPr>
          <w:b/>
        </w:rPr>
        <w:t>FERNANDO</w:t>
      </w:r>
      <w:r>
        <w:rPr>
          <w:b/>
          <w:spacing w:val="-5"/>
        </w:rPr>
        <w:t xml:space="preserve"> </w:t>
      </w:r>
      <w:r>
        <w:rPr>
          <w:b/>
        </w:rPr>
        <w:t>SÁNCHEZ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OSSA</w:t>
      </w:r>
    </w:p>
    <w:p w:rsidR="00BC29A0" w:rsidRDefault="00000000">
      <w:pPr>
        <w:spacing w:before="1"/>
        <w:ind w:left="3253"/>
        <w:rPr>
          <w:b/>
        </w:rPr>
      </w:pPr>
      <w:r>
        <w:rPr>
          <w:b/>
        </w:rPr>
        <w:t>H.</w:t>
      </w:r>
      <w:r>
        <w:rPr>
          <w:b/>
          <w:spacing w:val="-3"/>
        </w:rPr>
        <w:t xml:space="preserve"> </w:t>
      </w:r>
      <w:r>
        <w:rPr>
          <w:b/>
        </w:rPr>
        <w:t>Diputado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República</w:t>
      </w:r>
    </w:p>
    <w:sectPr w:rsidR="00BC29A0">
      <w:pgSz w:w="12240" w:h="18720"/>
      <w:pgMar w:top="2220" w:right="1440" w:bottom="1200" w:left="1440" w:header="429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BCD" w:rsidRDefault="00DC2BCD">
      <w:r>
        <w:separator/>
      </w:r>
    </w:p>
  </w:endnote>
  <w:endnote w:type="continuationSeparator" w:id="0">
    <w:p w:rsidR="00DC2BCD" w:rsidRDefault="00D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9A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3815207</wp:posOffset>
              </wp:positionH>
              <wp:positionV relativeFrom="page">
                <wp:posOffset>11104060</wp:posOffset>
              </wp:positionV>
              <wp:extent cx="159385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29A0" w:rsidRDefault="00000000">
                          <w:pPr>
                            <w:spacing w:line="247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4pt;margin-top:874.35pt;width:12.55pt;height:13.2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" filled="f" stroked="f">
              <v:textbox inset="0,0,0,0">
                <w:txbxContent>
                  <w:p w:rsidR="00BC29A0" w:rsidRDefault="00000000">
                    <w:pPr>
                      <w:spacing w:line="247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BCD" w:rsidRDefault="00DC2BCD">
      <w:r>
        <w:separator/>
      </w:r>
    </w:p>
  </w:footnote>
  <w:footnote w:type="continuationSeparator" w:id="0">
    <w:p w:rsidR="00DC2BCD" w:rsidRDefault="00DC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29A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8416" behindDoc="1" locked="0" layoutInCell="1" allowOverlap="1">
          <wp:simplePos x="0" y="0"/>
          <wp:positionH relativeFrom="page">
            <wp:posOffset>3377565</wp:posOffset>
          </wp:positionH>
          <wp:positionV relativeFrom="page">
            <wp:posOffset>272415</wp:posOffset>
          </wp:positionV>
          <wp:extent cx="1029969" cy="10299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969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FF4"/>
    <w:multiLevelType w:val="hybridMultilevel"/>
    <w:tmpl w:val="D40C80C4"/>
    <w:lvl w:ilvl="0" w:tplc="3D58D29C">
      <w:start w:val="1"/>
      <w:numFmt w:val="lowerRoman"/>
      <w:lvlText w:val="%1."/>
      <w:lvlJc w:val="left"/>
      <w:pPr>
        <w:ind w:left="1342" w:hanging="72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36804244">
      <w:numFmt w:val="bullet"/>
      <w:lvlText w:val="•"/>
      <w:lvlJc w:val="left"/>
      <w:pPr>
        <w:ind w:left="2142" w:hanging="720"/>
      </w:pPr>
      <w:rPr>
        <w:rFonts w:hint="default"/>
        <w:lang w:val="es-ES" w:eastAsia="en-US" w:bidi="ar-SA"/>
      </w:rPr>
    </w:lvl>
    <w:lvl w:ilvl="2" w:tplc="7A6E52BC">
      <w:numFmt w:val="bullet"/>
      <w:lvlText w:val="•"/>
      <w:lvlJc w:val="left"/>
      <w:pPr>
        <w:ind w:left="2944" w:hanging="720"/>
      </w:pPr>
      <w:rPr>
        <w:rFonts w:hint="default"/>
        <w:lang w:val="es-ES" w:eastAsia="en-US" w:bidi="ar-SA"/>
      </w:rPr>
    </w:lvl>
    <w:lvl w:ilvl="3" w:tplc="6BF2BBA0"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 w:tplc="7758DA0A">
      <w:numFmt w:val="bullet"/>
      <w:lvlText w:val="•"/>
      <w:lvlJc w:val="left"/>
      <w:pPr>
        <w:ind w:left="4548" w:hanging="720"/>
      </w:pPr>
      <w:rPr>
        <w:rFonts w:hint="default"/>
        <w:lang w:val="es-ES" w:eastAsia="en-US" w:bidi="ar-SA"/>
      </w:rPr>
    </w:lvl>
    <w:lvl w:ilvl="5" w:tplc="60F2BDFE">
      <w:numFmt w:val="bullet"/>
      <w:lvlText w:val="•"/>
      <w:lvlJc w:val="left"/>
      <w:pPr>
        <w:ind w:left="5350" w:hanging="720"/>
      </w:pPr>
      <w:rPr>
        <w:rFonts w:hint="default"/>
        <w:lang w:val="es-ES" w:eastAsia="en-US" w:bidi="ar-SA"/>
      </w:rPr>
    </w:lvl>
    <w:lvl w:ilvl="6" w:tplc="3FAC3F0E">
      <w:numFmt w:val="bullet"/>
      <w:lvlText w:val="•"/>
      <w:lvlJc w:val="left"/>
      <w:pPr>
        <w:ind w:left="6152" w:hanging="720"/>
      </w:pPr>
      <w:rPr>
        <w:rFonts w:hint="default"/>
        <w:lang w:val="es-ES" w:eastAsia="en-US" w:bidi="ar-SA"/>
      </w:rPr>
    </w:lvl>
    <w:lvl w:ilvl="7" w:tplc="49FE24B6">
      <w:numFmt w:val="bullet"/>
      <w:lvlText w:val="•"/>
      <w:lvlJc w:val="left"/>
      <w:pPr>
        <w:ind w:left="6954" w:hanging="720"/>
      </w:pPr>
      <w:rPr>
        <w:rFonts w:hint="default"/>
        <w:lang w:val="es-ES" w:eastAsia="en-US" w:bidi="ar-SA"/>
      </w:rPr>
    </w:lvl>
    <w:lvl w:ilvl="8" w:tplc="D2FED1E8">
      <w:numFmt w:val="bullet"/>
      <w:lvlText w:val="•"/>
      <w:lvlJc w:val="left"/>
      <w:pPr>
        <w:ind w:left="7756" w:hanging="720"/>
      </w:pPr>
      <w:rPr>
        <w:rFonts w:hint="default"/>
        <w:lang w:val="es-ES" w:eastAsia="en-US" w:bidi="ar-SA"/>
      </w:rPr>
    </w:lvl>
  </w:abstractNum>
  <w:num w:numId="1" w16cid:durableId="104598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9A0"/>
    <w:rsid w:val="00461EB0"/>
    <w:rsid w:val="004B3D3D"/>
    <w:rsid w:val="00BC29A0"/>
    <w:rsid w:val="00D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8E446-225D-4519-92E4-5C1AAF71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1341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43"/>
      <w:ind w:left="1918" w:hanging="119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34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de Tezanos Pinto</dc:creator>
  <cp:lastModifiedBy>Guillermo Diaz Vallejos</cp:lastModifiedBy>
  <cp:revision>1</cp:revision>
  <dcterms:created xsi:type="dcterms:W3CDTF">2025-06-11T22:18:00Z</dcterms:created>
  <dcterms:modified xsi:type="dcterms:W3CDTF">2025-07-15T15:43:00Z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2016</vt:lpwstr>
  </property>
</Properties>
</file>