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BFDC" w14:textId="77777777" w:rsidR="00C55976" w:rsidRDefault="00C55976">
      <w:pPr>
        <w:rPr>
          <w:rFonts w:ascii="Bookman Old Style" w:hAnsi="Bookman Old Style"/>
          <w:sz w:val="24"/>
          <w:szCs w:val="24"/>
        </w:rPr>
      </w:pPr>
    </w:p>
    <w:p w14:paraId="1F07A113" w14:textId="164DE659" w:rsidR="000E74F5" w:rsidRPr="00BD6C9A" w:rsidRDefault="00C55976" w:rsidP="00C55976">
      <w:pPr>
        <w:spacing w:line="360" w:lineRule="auto"/>
        <w:jc w:val="both"/>
        <w:rPr>
          <w:rFonts w:ascii="Bookman Old Style" w:hAnsi="Bookman Old Style"/>
          <w:b/>
          <w:bCs/>
          <w:sz w:val="24"/>
          <w:szCs w:val="24"/>
        </w:rPr>
      </w:pPr>
      <w:r w:rsidRPr="00BD6C9A">
        <w:rPr>
          <w:rFonts w:ascii="Bookman Old Style" w:hAnsi="Bookman Old Style"/>
          <w:b/>
          <w:bCs/>
          <w:sz w:val="24"/>
          <w:szCs w:val="24"/>
        </w:rPr>
        <w:t xml:space="preserve">PROYECTO DE LEY QUE MODIFICA </w:t>
      </w:r>
      <w:r w:rsidR="00B94EDA" w:rsidRPr="00BD6C9A">
        <w:rPr>
          <w:rFonts w:ascii="Bookman Old Style" w:hAnsi="Bookman Old Style"/>
          <w:b/>
          <w:bCs/>
          <w:sz w:val="24"/>
          <w:szCs w:val="24"/>
        </w:rPr>
        <w:t>EL DFL N° 1, DEL MINISTERIO DE TRANSPORTES Y TELECOMUNICACIONES, QUE FIJA EL TEXTO REFUNDIDO, COORDINADO Y SISTEMATIZADO DE LA LEY DE TRÁNSITO, EN MATERIA DEL USO DE LA TARJETA NACIONAL ESTUDIANTIL (TNE).</w:t>
      </w:r>
    </w:p>
    <w:p w14:paraId="1027A82B" w14:textId="77777777" w:rsidR="00B94EDA" w:rsidRDefault="00B94EDA" w:rsidP="00C55976">
      <w:pPr>
        <w:spacing w:line="360" w:lineRule="auto"/>
        <w:jc w:val="both"/>
        <w:rPr>
          <w:rFonts w:ascii="Bookman Old Style" w:hAnsi="Bookman Old Style"/>
          <w:sz w:val="24"/>
          <w:szCs w:val="24"/>
        </w:rPr>
      </w:pPr>
    </w:p>
    <w:p w14:paraId="65143380" w14:textId="46F9B761" w:rsidR="00C55976" w:rsidRDefault="00C55976" w:rsidP="00C55976">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Antecedentes</w:t>
      </w:r>
    </w:p>
    <w:p w14:paraId="72BE8060" w14:textId="10F17741" w:rsidR="00C55976" w:rsidRDefault="00E669C1" w:rsidP="00C55976">
      <w:pPr>
        <w:spacing w:line="360" w:lineRule="auto"/>
        <w:jc w:val="both"/>
        <w:rPr>
          <w:rFonts w:ascii="Bookman Old Style" w:hAnsi="Bookman Old Style"/>
          <w:sz w:val="24"/>
          <w:szCs w:val="24"/>
        </w:rPr>
      </w:pPr>
      <w:r>
        <w:rPr>
          <w:rFonts w:ascii="Bookman Old Style" w:hAnsi="Bookman Old Style"/>
          <w:sz w:val="24"/>
          <w:szCs w:val="24"/>
        </w:rPr>
        <w:t xml:space="preserve">Desde hace bastantes décadas, en Chile se ha legislado sobre distintas rebajas en los precios del transporte público de pasajeros para estudiantes de la educación básica, media y superior. El primer antecedente normativo data del año 1953, el DFL N°54 del Ministerio de Hacienda, que crea la Empresa de Transporte Colectivo del Estado. En ella se faculta a la empresa a vender pases libres y establecer una tarifa escolar diferenciada. Luego, en 1956, se publica la primera resolución relativa a lo que fue el “carnet escolar” y se señala que este se otorgará </w:t>
      </w:r>
      <w:r w:rsidR="00C55976">
        <w:rPr>
          <w:rFonts w:ascii="Bookman Old Style" w:hAnsi="Bookman Old Style"/>
          <w:sz w:val="24"/>
          <w:szCs w:val="24"/>
        </w:rPr>
        <w:t>para ser utilizado en la movilización colectiva fiscal y particular a los estudiantes primarios, secundarios, universitarios y técnicos en todo el país.</w:t>
      </w:r>
    </w:p>
    <w:p w14:paraId="2368E26F" w14:textId="0F50425F" w:rsidR="00E669C1" w:rsidRDefault="00E669C1" w:rsidP="00C55976">
      <w:pPr>
        <w:spacing w:line="360" w:lineRule="auto"/>
        <w:jc w:val="both"/>
        <w:rPr>
          <w:rFonts w:ascii="Bookman Old Style" w:hAnsi="Bookman Old Style"/>
          <w:sz w:val="24"/>
          <w:szCs w:val="24"/>
        </w:rPr>
      </w:pPr>
      <w:r>
        <w:rPr>
          <w:rFonts w:ascii="Bookman Old Style" w:hAnsi="Bookman Old Style"/>
          <w:sz w:val="24"/>
          <w:szCs w:val="24"/>
        </w:rPr>
        <w:t>Este era de dos tipos: los diurnos, que podían ser utilizado entre las 7 y 19 horas; y los nocturnos, que se utilizaban entre las 19 y las 24 horas. Su vigencia correspondía exclusivamente para el periodo de clase, es decir, los días hábiles hasta el 31 de diciembre de cada año. Posteriormente, se extiende su validez para los días sábado hasta las 14 horas.</w:t>
      </w:r>
    </w:p>
    <w:p w14:paraId="011746C7" w14:textId="65B2BF88" w:rsidR="00A10E87" w:rsidRDefault="00220322" w:rsidP="00C55976">
      <w:pPr>
        <w:spacing w:line="360" w:lineRule="auto"/>
        <w:jc w:val="both"/>
        <w:rPr>
          <w:rFonts w:ascii="Bookman Old Style" w:hAnsi="Bookman Old Style"/>
          <w:sz w:val="24"/>
          <w:szCs w:val="24"/>
        </w:rPr>
      </w:pPr>
      <w:r>
        <w:rPr>
          <w:rFonts w:ascii="Bookman Old Style" w:hAnsi="Bookman Old Style"/>
          <w:sz w:val="24"/>
          <w:szCs w:val="24"/>
        </w:rPr>
        <w:t>En</w:t>
      </w:r>
      <w:r w:rsidR="00A10E87">
        <w:rPr>
          <w:rFonts w:ascii="Bookman Old Style" w:hAnsi="Bookman Old Style"/>
          <w:sz w:val="24"/>
          <w:szCs w:val="24"/>
        </w:rPr>
        <w:t xml:space="preserve"> 1974</w:t>
      </w:r>
      <w:r>
        <w:rPr>
          <w:rFonts w:ascii="Bookman Old Style" w:hAnsi="Bookman Old Style"/>
          <w:sz w:val="24"/>
          <w:szCs w:val="24"/>
        </w:rPr>
        <w:t xml:space="preserve"> </w:t>
      </w:r>
      <w:r w:rsidR="00A10E87">
        <w:rPr>
          <w:rFonts w:ascii="Bookman Old Style" w:hAnsi="Bookman Old Style"/>
          <w:sz w:val="24"/>
          <w:szCs w:val="24"/>
        </w:rPr>
        <w:t xml:space="preserve">se publica el Decreto N°307 que busca modificar la normativa vigente. Se establece que el Ministerio de Educación Pública será el único organismo autorizado para acreditar la calidad del estudiante regular, y se comienza a utilizar la expresión “pase escolar”, que servirá únicamente para </w:t>
      </w:r>
      <w:r w:rsidR="00A10E87">
        <w:rPr>
          <w:rFonts w:ascii="Bookman Old Style" w:hAnsi="Bookman Old Style"/>
          <w:sz w:val="24"/>
          <w:szCs w:val="24"/>
        </w:rPr>
        <w:lastRenderedPageBreak/>
        <w:t>trasladar a los alumnos desde su residencia hasta su establecimiento educacional y viceversa. Asimismo, se establec</w:t>
      </w:r>
      <w:r w:rsidR="00E669C1">
        <w:rPr>
          <w:rFonts w:ascii="Bookman Old Style" w:hAnsi="Bookman Old Style"/>
          <w:sz w:val="24"/>
          <w:szCs w:val="24"/>
        </w:rPr>
        <w:t>e</w:t>
      </w:r>
      <w:r w:rsidR="00A10E87">
        <w:rPr>
          <w:rFonts w:ascii="Bookman Old Style" w:hAnsi="Bookman Old Style"/>
          <w:sz w:val="24"/>
          <w:szCs w:val="24"/>
        </w:rPr>
        <w:t xml:space="preserve"> que el pase e</w:t>
      </w:r>
      <w:r w:rsidR="00E669C1">
        <w:rPr>
          <w:rFonts w:ascii="Bookman Old Style" w:hAnsi="Bookman Old Style"/>
          <w:sz w:val="24"/>
          <w:szCs w:val="24"/>
        </w:rPr>
        <w:t xml:space="preserve">s </w:t>
      </w:r>
      <w:r w:rsidR="00A10E87">
        <w:rPr>
          <w:rFonts w:ascii="Bookman Old Style" w:hAnsi="Bookman Old Style"/>
          <w:sz w:val="24"/>
          <w:szCs w:val="24"/>
        </w:rPr>
        <w:t xml:space="preserve">un documento público, personal e intransferible; si un chofer sorprendía a algún estudiante incumpliendo dichas exigencias, se permitía que procediera a quitarle su documento y se aplicaban sanciones correspondientes. </w:t>
      </w:r>
      <w:r w:rsidR="004E3CE7">
        <w:rPr>
          <w:rFonts w:ascii="Bookman Old Style" w:hAnsi="Bookman Old Style"/>
          <w:sz w:val="24"/>
          <w:szCs w:val="24"/>
        </w:rPr>
        <w:t>A su vez, los conductores que no aceptaran la tarjeta de rebaja también serían sancionados.</w:t>
      </w:r>
    </w:p>
    <w:p w14:paraId="6A08CC17" w14:textId="7A42ED3E" w:rsidR="00E669C1" w:rsidRDefault="00E669C1" w:rsidP="00C55976">
      <w:pPr>
        <w:spacing w:line="360" w:lineRule="auto"/>
        <w:jc w:val="both"/>
        <w:rPr>
          <w:rFonts w:ascii="Bookman Old Style" w:hAnsi="Bookman Old Style"/>
          <w:sz w:val="24"/>
          <w:szCs w:val="24"/>
        </w:rPr>
      </w:pPr>
      <w:r>
        <w:rPr>
          <w:rFonts w:ascii="Bookman Old Style" w:hAnsi="Bookman Old Style"/>
          <w:sz w:val="24"/>
          <w:szCs w:val="24"/>
        </w:rPr>
        <w:t xml:space="preserve">Actualmente, la normativa vigente corresponde al Decreto N°20 de 1982, el cual ha sido latamente modificado a lo largo de las décadas para responder ante los profundos cambios en la educación. </w:t>
      </w:r>
    </w:p>
    <w:p w14:paraId="0CEF34E3" w14:textId="5F5702DF" w:rsidR="00224E76" w:rsidRDefault="00343FDE" w:rsidP="00C55976">
      <w:pPr>
        <w:spacing w:line="360" w:lineRule="auto"/>
        <w:jc w:val="both"/>
        <w:rPr>
          <w:rFonts w:ascii="Bookman Old Style" w:hAnsi="Bookman Old Style"/>
          <w:sz w:val="24"/>
          <w:szCs w:val="24"/>
        </w:rPr>
      </w:pPr>
      <w:r>
        <w:rPr>
          <w:rFonts w:ascii="Bookman Old Style" w:hAnsi="Bookman Old Style"/>
          <w:sz w:val="24"/>
          <w:szCs w:val="24"/>
        </w:rPr>
        <w:t>La última modificación relevante ocurrió e</w:t>
      </w:r>
      <w:r w:rsidR="00224E76">
        <w:rPr>
          <w:rFonts w:ascii="Bookman Old Style" w:hAnsi="Bookman Old Style"/>
          <w:sz w:val="24"/>
          <w:szCs w:val="24"/>
        </w:rPr>
        <w:t>n 2014,</w:t>
      </w:r>
      <w:r>
        <w:rPr>
          <w:rFonts w:ascii="Bookman Old Style" w:hAnsi="Bookman Old Style"/>
          <w:sz w:val="24"/>
          <w:szCs w:val="24"/>
        </w:rPr>
        <w:t xml:space="preserve"> cuando</w:t>
      </w:r>
      <w:r w:rsidR="00224E76">
        <w:rPr>
          <w:rFonts w:ascii="Bookman Old Style" w:hAnsi="Bookman Old Style"/>
          <w:sz w:val="24"/>
          <w:szCs w:val="24"/>
        </w:rPr>
        <w:t xml:space="preserve"> la expresidenta Michelle Bachelet anunció</w:t>
      </w:r>
      <w:r>
        <w:rPr>
          <w:rFonts w:ascii="Bookman Old Style" w:hAnsi="Bookman Old Style"/>
          <w:sz w:val="24"/>
          <w:szCs w:val="24"/>
        </w:rPr>
        <w:t xml:space="preserve"> </w:t>
      </w:r>
      <w:r w:rsidR="00224E76">
        <w:rPr>
          <w:rFonts w:ascii="Bookman Old Style" w:hAnsi="Bookman Old Style"/>
          <w:sz w:val="24"/>
          <w:szCs w:val="24"/>
        </w:rPr>
        <w:t>en la Cuenta Pública que se extendería el periodo en que se podría utilizar la Tarjeta Nacional Estudiantil (TNE)</w:t>
      </w:r>
      <w:r w:rsidR="00F70A9E">
        <w:rPr>
          <w:rFonts w:ascii="Bookman Old Style" w:hAnsi="Bookman Old Style"/>
          <w:sz w:val="24"/>
          <w:szCs w:val="24"/>
        </w:rPr>
        <w:t xml:space="preserve">. Hasta ese momento, esta podía ser utilizada de lunes a domingo, las 24 horas del día, durante el año académico, es decir, entre marzo a diciembre para los estudiantes de básica y media, y de marzo a enero para la educación superior. Con ello, la exmandataria extendió el periodo para el uso de la tarjeta a los 12 meses del año. </w:t>
      </w:r>
    </w:p>
    <w:p w14:paraId="2A02AF6C" w14:textId="7B9C7F65" w:rsidR="00224E76" w:rsidRDefault="00F70A9E" w:rsidP="00C55976">
      <w:pPr>
        <w:spacing w:line="360" w:lineRule="auto"/>
        <w:jc w:val="both"/>
        <w:rPr>
          <w:rFonts w:ascii="Bookman Old Style" w:hAnsi="Bookman Old Style"/>
          <w:sz w:val="24"/>
          <w:szCs w:val="24"/>
        </w:rPr>
      </w:pPr>
      <w:r>
        <w:rPr>
          <w:rFonts w:ascii="Bookman Old Style" w:hAnsi="Bookman Old Style"/>
          <w:sz w:val="24"/>
          <w:szCs w:val="24"/>
        </w:rPr>
        <w:t xml:space="preserve">Este anuncio se materializó en diciembre de 2014, con la publicación del Decreto N°239 del Ministerio de Transportes y Telecomunicaciones. </w:t>
      </w:r>
      <w:r w:rsidR="006E1DA3">
        <w:rPr>
          <w:rFonts w:ascii="Bookman Old Style" w:hAnsi="Bookman Old Style"/>
          <w:sz w:val="24"/>
          <w:szCs w:val="24"/>
        </w:rPr>
        <w:t>Este señala, en su artículo 3°, que el pase escolar “permite el traslado de los alumnos en sus viajes realizados con motivo de estudio durante el año escolar; y en todo caso durante los demás meses del año, incluidos enero y febrero, en cualquiera de los medios de transporte público de pasajeros de la región…”</w:t>
      </w:r>
      <w:r w:rsidR="006E1DA3">
        <w:rPr>
          <w:rStyle w:val="Refdenotaalpie"/>
          <w:rFonts w:ascii="Bookman Old Style" w:hAnsi="Bookman Old Style"/>
          <w:sz w:val="24"/>
          <w:szCs w:val="24"/>
        </w:rPr>
        <w:footnoteReference w:id="1"/>
      </w:r>
      <w:r w:rsidR="006E1DA3">
        <w:rPr>
          <w:rFonts w:ascii="Bookman Old Style" w:hAnsi="Bookman Old Style"/>
          <w:sz w:val="24"/>
          <w:szCs w:val="24"/>
        </w:rPr>
        <w:t>.</w:t>
      </w:r>
      <w:r w:rsidR="00C06AC0">
        <w:rPr>
          <w:rFonts w:ascii="Bookman Old Style" w:hAnsi="Bookman Old Style"/>
          <w:sz w:val="24"/>
          <w:szCs w:val="24"/>
        </w:rPr>
        <w:t xml:space="preserve"> Por su parte, en su artículo 4°, el Decreto establece, a su vez, que el pase escolar tendrá validez de lunes a domingo las 24 horas del día. </w:t>
      </w:r>
    </w:p>
    <w:p w14:paraId="48174E11" w14:textId="4E478AA3" w:rsidR="00DA57C1" w:rsidRDefault="00DA57C1" w:rsidP="00F72D6C">
      <w:pPr>
        <w:spacing w:line="360" w:lineRule="auto"/>
        <w:jc w:val="both"/>
        <w:rPr>
          <w:rFonts w:ascii="Bookman Old Style" w:hAnsi="Bookman Old Style"/>
          <w:sz w:val="24"/>
          <w:szCs w:val="24"/>
        </w:rPr>
      </w:pPr>
      <w:r>
        <w:rPr>
          <w:rFonts w:ascii="Bookman Old Style" w:hAnsi="Bookman Old Style"/>
          <w:sz w:val="24"/>
          <w:szCs w:val="24"/>
        </w:rPr>
        <w:lastRenderedPageBreak/>
        <w:t>E</w:t>
      </w:r>
      <w:r w:rsidR="000275DC">
        <w:rPr>
          <w:rFonts w:ascii="Bookman Old Style" w:hAnsi="Bookman Old Style"/>
          <w:sz w:val="24"/>
          <w:szCs w:val="24"/>
        </w:rPr>
        <w:t>n esta misma línea, el d</w:t>
      </w:r>
      <w:r>
        <w:rPr>
          <w:rFonts w:ascii="Bookman Old Style" w:hAnsi="Bookman Old Style"/>
          <w:sz w:val="24"/>
          <w:szCs w:val="24"/>
        </w:rPr>
        <w:t xml:space="preserve">ía 5 de agosto de 2025, la Contraloría General de la República emitió un dictamen en el cual reafirma lo establecido en el Decreto N°20, de 1982, del Ministerio de Transportes y Telecomunicaciones, </w:t>
      </w:r>
      <w:r w:rsidR="00B94EDA">
        <w:rPr>
          <w:rFonts w:ascii="Bookman Old Style" w:hAnsi="Bookman Old Style"/>
          <w:sz w:val="24"/>
          <w:szCs w:val="24"/>
        </w:rPr>
        <w:t>señalando que tanto el pase escolar como el pase de educación superior permiten el traslado de estudiantes únicamente para viajes realizados “con motivo de estudios”.</w:t>
      </w:r>
    </w:p>
    <w:p w14:paraId="4404E3C2" w14:textId="20DDCAC4" w:rsidR="00E60F79" w:rsidRDefault="000275DC" w:rsidP="00F72D6C">
      <w:pPr>
        <w:spacing w:line="360" w:lineRule="auto"/>
        <w:jc w:val="both"/>
        <w:rPr>
          <w:rFonts w:ascii="Bookman Old Style" w:hAnsi="Bookman Old Style"/>
          <w:sz w:val="24"/>
          <w:szCs w:val="24"/>
        </w:rPr>
      </w:pPr>
      <w:r>
        <w:rPr>
          <w:rFonts w:ascii="Bookman Old Style" w:hAnsi="Bookman Old Style"/>
          <w:sz w:val="24"/>
          <w:szCs w:val="24"/>
        </w:rPr>
        <w:t xml:space="preserve">Esta situación genera una incongruencia evidente. Si el beneficio está establecido para ser utilizado los 365 días del año, se entiende, entonces, que no puede ser supeditado al traslado con motivo de estudio. </w:t>
      </w:r>
      <w:r w:rsidR="00E60F79">
        <w:rPr>
          <w:rFonts w:ascii="Bookman Old Style" w:hAnsi="Bookman Old Style"/>
          <w:sz w:val="24"/>
          <w:szCs w:val="24"/>
        </w:rPr>
        <w:t>Asimismo, en la práctica, las empresas de transporte de pasajeros carecen de facultades para exigir al estudiante acreditar el motivo del viaje, por lo que no pueden verificar si el estudiante realmente se dirige a una actividad educacional. Esta situación vuelve poco operativa la restricción reafirmada por la CGR.</w:t>
      </w:r>
    </w:p>
    <w:p w14:paraId="5218B95E" w14:textId="7579540B" w:rsidR="00E60F79" w:rsidRDefault="00E60F79" w:rsidP="00F72D6C">
      <w:pPr>
        <w:spacing w:line="360" w:lineRule="auto"/>
        <w:jc w:val="both"/>
        <w:rPr>
          <w:rFonts w:ascii="Bookman Old Style" w:hAnsi="Bookman Old Style"/>
          <w:sz w:val="24"/>
          <w:szCs w:val="24"/>
        </w:rPr>
      </w:pPr>
      <w:r>
        <w:rPr>
          <w:rFonts w:ascii="Bookman Old Style" w:hAnsi="Bookman Old Style"/>
          <w:sz w:val="24"/>
          <w:szCs w:val="24"/>
        </w:rPr>
        <w:t>Para</w:t>
      </w:r>
      <w:r w:rsidR="00883FE2">
        <w:rPr>
          <w:rFonts w:ascii="Bookman Old Style" w:hAnsi="Bookman Old Style"/>
          <w:sz w:val="24"/>
          <w:szCs w:val="24"/>
        </w:rPr>
        <w:t xml:space="preserve"> gran parte de la comunidad estudiantil, e</w:t>
      </w:r>
      <w:r>
        <w:rPr>
          <w:rFonts w:ascii="Bookman Old Style" w:hAnsi="Bookman Old Style"/>
          <w:sz w:val="24"/>
          <w:szCs w:val="24"/>
        </w:rPr>
        <w:t>l</w:t>
      </w:r>
      <w:r w:rsidR="00883FE2">
        <w:rPr>
          <w:rFonts w:ascii="Bookman Old Style" w:hAnsi="Bookman Old Style"/>
          <w:sz w:val="24"/>
          <w:szCs w:val="24"/>
        </w:rPr>
        <w:t xml:space="preserve"> dictamen</w:t>
      </w:r>
      <w:r>
        <w:rPr>
          <w:rFonts w:ascii="Bookman Old Style" w:hAnsi="Bookman Old Style"/>
          <w:sz w:val="24"/>
          <w:szCs w:val="24"/>
        </w:rPr>
        <w:t xml:space="preserve"> de la CGR</w:t>
      </w:r>
      <w:r w:rsidR="00883FE2">
        <w:rPr>
          <w:rFonts w:ascii="Bookman Old Style" w:hAnsi="Bookman Old Style"/>
          <w:sz w:val="24"/>
          <w:szCs w:val="24"/>
        </w:rPr>
        <w:t xml:space="preserve"> representa un retroceso. Durante años, </w:t>
      </w:r>
      <w:r>
        <w:rPr>
          <w:rFonts w:ascii="Bookman Old Style" w:hAnsi="Bookman Old Style"/>
          <w:sz w:val="24"/>
          <w:szCs w:val="24"/>
        </w:rPr>
        <w:t>la TNE se ha transformado en un apoyo esencial para la movilidad diaria de estudiantes, facilitando su acceso a distintas actividades y espacios, independientemente de que sean estrictamente académicas, proporcionando además una ayuda económica importante.</w:t>
      </w:r>
    </w:p>
    <w:p w14:paraId="27123769" w14:textId="04EC900C" w:rsidR="00883FE2" w:rsidRDefault="00E60F79" w:rsidP="00F72D6C">
      <w:pPr>
        <w:spacing w:line="360" w:lineRule="auto"/>
        <w:jc w:val="both"/>
        <w:rPr>
          <w:rFonts w:ascii="Bookman Old Style" w:hAnsi="Bookman Old Style"/>
          <w:sz w:val="24"/>
          <w:szCs w:val="24"/>
        </w:rPr>
      </w:pPr>
      <w:r>
        <w:rPr>
          <w:rFonts w:ascii="Bookman Old Style" w:hAnsi="Bookman Old Style"/>
          <w:sz w:val="24"/>
          <w:szCs w:val="24"/>
        </w:rPr>
        <w:t xml:space="preserve">Esta situación abre el debate respecto a la necesidad de actualizar y unificar las normativas vigentes respecto del uso del pase escolar, con el fin de garantizar un derecho claro, coherente y efectivo que responda a las necesidades reales de la comunidad estudiantil, evitando retrocesos normativos importantes y, además, problemáticos para su implementación. </w:t>
      </w:r>
    </w:p>
    <w:p w14:paraId="0A74D520" w14:textId="78CB906F" w:rsidR="00E60F79" w:rsidRDefault="00C44F77" w:rsidP="00F72D6C">
      <w:pPr>
        <w:spacing w:line="360" w:lineRule="auto"/>
        <w:jc w:val="both"/>
        <w:rPr>
          <w:rFonts w:ascii="Bookman Old Style" w:hAnsi="Bookman Old Style"/>
          <w:sz w:val="24"/>
          <w:szCs w:val="24"/>
        </w:rPr>
      </w:pPr>
      <w:r>
        <w:rPr>
          <w:rFonts w:ascii="Bookman Old Style" w:hAnsi="Bookman Old Style"/>
          <w:sz w:val="24"/>
          <w:szCs w:val="24"/>
        </w:rPr>
        <w:t xml:space="preserve">Por otro lado, en la práctica, esta ambigüedad normativa genera conflictos y rechazo hacia estudiantes por parte de conductores del transporte público de pasajeros, quienes muchas veces no respetan el derecho al uso de la TNE, </w:t>
      </w:r>
      <w:r>
        <w:rPr>
          <w:rFonts w:ascii="Bookman Old Style" w:hAnsi="Bookman Old Style"/>
          <w:sz w:val="24"/>
          <w:szCs w:val="24"/>
        </w:rPr>
        <w:lastRenderedPageBreak/>
        <w:t>evidenciando la falta de un mecanismo efectivo para garantizar el cumplimiento de su uso</w:t>
      </w:r>
      <w:r w:rsidR="00056B77">
        <w:rPr>
          <w:rFonts w:ascii="Bookman Old Style" w:hAnsi="Bookman Old Style"/>
          <w:sz w:val="24"/>
          <w:szCs w:val="24"/>
        </w:rPr>
        <w:t>.</w:t>
      </w:r>
    </w:p>
    <w:p w14:paraId="7DE4EB6E" w14:textId="66498497" w:rsidR="00C44F77" w:rsidRDefault="008B03D7" w:rsidP="00F72D6C">
      <w:pPr>
        <w:spacing w:line="360" w:lineRule="auto"/>
        <w:jc w:val="both"/>
        <w:rPr>
          <w:rFonts w:ascii="Bookman Old Style" w:hAnsi="Bookman Old Style"/>
          <w:sz w:val="24"/>
          <w:szCs w:val="24"/>
        </w:rPr>
      </w:pPr>
      <w:r>
        <w:rPr>
          <w:rFonts w:ascii="Bookman Old Style" w:hAnsi="Bookman Old Style"/>
          <w:sz w:val="24"/>
          <w:szCs w:val="24"/>
        </w:rPr>
        <w:t>Especialmente en regiones, la ausencia de tecnologías como los validadores electrónicos en el transporte público dificulta la fiscalización y reconocimiento automático de la TNE, lo que deja a los estudiantes en una situación vulnerable frente a la discrecionalidad de los conductores, aumentando la posibilidad de que se niegue o rechace injustamente el uso de la tarjeta.</w:t>
      </w:r>
    </w:p>
    <w:p w14:paraId="753300B9" w14:textId="3925B781" w:rsidR="00B94EDA" w:rsidRDefault="008B03D7" w:rsidP="00F72D6C">
      <w:pPr>
        <w:spacing w:line="360" w:lineRule="auto"/>
        <w:jc w:val="both"/>
        <w:rPr>
          <w:rFonts w:ascii="Bookman Old Style" w:hAnsi="Bookman Old Style"/>
          <w:sz w:val="24"/>
          <w:szCs w:val="24"/>
        </w:rPr>
      </w:pPr>
      <w:r>
        <w:rPr>
          <w:rFonts w:ascii="Bookman Old Style" w:hAnsi="Bookman Old Style"/>
          <w:sz w:val="24"/>
          <w:szCs w:val="24"/>
        </w:rPr>
        <w:t xml:space="preserve">Así, se vuelve fundamental </w:t>
      </w:r>
      <w:r w:rsidR="00343FDE">
        <w:rPr>
          <w:rFonts w:ascii="Bookman Old Style" w:hAnsi="Bookman Old Style"/>
          <w:sz w:val="24"/>
          <w:szCs w:val="24"/>
        </w:rPr>
        <w:t>actualizar la normativa para garantizar un sistema público respetuoso de los derechos de la comunidad estudiantil, evitando retrocesos que complican su aplicación y afectan a los estudiantes a nivel nacional.</w:t>
      </w:r>
    </w:p>
    <w:p w14:paraId="15A2D34F" w14:textId="609BDFCF" w:rsidR="00C55976" w:rsidRDefault="00C55976" w:rsidP="00C55976">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Idea matriz</w:t>
      </w:r>
    </w:p>
    <w:p w14:paraId="315FF7C5" w14:textId="6EA09683" w:rsidR="00B94EDA" w:rsidRPr="00B94EDA" w:rsidRDefault="00B94EDA" w:rsidP="00B94EDA">
      <w:pPr>
        <w:spacing w:line="360" w:lineRule="auto"/>
        <w:jc w:val="both"/>
        <w:rPr>
          <w:rFonts w:ascii="Bookman Old Style" w:hAnsi="Bookman Old Style"/>
          <w:sz w:val="24"/>
          <w:szCs w:val="24"/>
        </w:rPr>
      </w:pPr>
      <w:r>
        <w:rPr>
          <w:rFonts w:ascii="Bookman Old Style" w:hAnsi="Bookman Old Style"/>
          <w:sz w:val="24"/>
          <w:szCs w:val="24"/>
        </w:rPr>
        <w:t>El presente proyecto de ley tiene como objetivo</w:t>
      </w:r>
      <w:r w:rsidR="00343FDE">
        <w:rPr>
          <w:rFonts w:ascii="Bookman Old Style" w:hAnsi="Bookman Old Style"/>
          <w:sz w:val="24"/>
          <w:szCs w:val="24"/>
        </w:rPr>
        <w:t xml:space="preserve"> extender la validez de la Tarjeta Nacional Estudiantil (TNE) sin condiciones a su uso.</w:t>
      </w:r>
    </w:p>
    <w:p w14:paraId="4CB2E494" w14:textId="26E14874" w:rsidR="00C55976" w:rsidRDefault="00C55976" w:rsidP="00C55976">
      <w:pPr>
        <w:spacing w:line="360" w:lineRule="auto"/>
        <w:jc w:val="both"/>
        <w:rPr>
          <w:rFonts w:ascii="Bookman Old Style" w:hAnsi="Bookman Old Style"/>
          <w:sz w:val="24"/>
          <w:szCs w:val="24"/>
        </w:rPr>
      </w:pPr>
      <w:r>
        <w:rPr>
          <w:rFonts w:ascii="Bookman Old Style" w:hAnsi="Bookman Old Style"/>
          <w:sz w:val="24"/>
          <w:szCs w:val="24"/>
        </w:rPr>
        <w:t>En virtud de lo expuesto precedentemente, se pone a disposición el siguiente</w:t>
      </w:r>
    </w:p>
    <w:p w14:paraId="2220533F" w14:textId="77777777" w:rsidR="00E60F79" w:rsidRDefault="00E60F79" w:rsidP="00C55976">
      <w:pPr>
        <w:spacing w:line="360" w:lineRule="auto"/>
        <w:jc w:val="both"/>
        <w:rPr>
          <w:rFonts w:ascii="Bookman Old Style" w:hAnsi="Bookman Old Style"/>
          <w:sz w:val="24"/>
          <w:szCs w:val="24"/>
        </w:rPr>
      </w:pPr>
    </w:p>
    <w:p w14:paraId="013BF0E8" w14:textId="1B1AC483" w:rsidR="00C55976" w:rsidRPr="00E60F79" w:rsidRDefault="00C55976" w:rsidP="00C55976">
      <w:pPr>
        <w:spacing w:line="360" w:lineRule="auto"/>
        <w:jc w:val="center"/>
        <w:rPr>
          <w:rFonts w:ascii="Bookman Old Style" w:hAnsi="Bookman Old Style"/>
          <w:b/>
          <w:bCs/>
          <w:sz w:val="24"/>
          <w:szCs w:val="24"/>
        </w:rPr>
      </w:pPr>
      <w:r w:rsidRPr="00E60F79">
        <w:rPr>
          <w:rFonts w:ascii="Bookman Old Style" w:hAnsi="Bookman Old Style"/>
          <w:b/>
          <w:bCs/>
          <w:sz w:val="24"/>
          <w:szCs w:val="24"/>
        </w:rPr>
        <w:t>Proyecto de Ley</w:t>
      </w:r>
    </w:p>
    <w:p w14:paraId="612E303F" w14:textId="28BB6BDD" w:rsidR="00A95601" w:rsidRDefault="00573A13" w:rsidP="00573A13">
      <w:pPr>
        <w:spacing w:line="360" w:lineRule="auto"/>
        <w:jc w:val="both"/>
        <w:rPr>
          <w:rFonts w:ascii="Bookman Old Style" w:hAnsi="Bookman Old Style"/>
          <w:sz w:val="24"/>
          <w:szCs w:val="24"/>
        </w:rPr>
      </w:pPr>
      <w:r>
        <w:rPr>
          <w:rFonts w:ascii="Bookman Old Style" w:hAnsi="Bookman Old Style"/>
          <w:sz w:val="24"/>
          <w:szCs w:val="24"/>
        </w:rPr>
        <w:t xml:space="preserve">Artículo único.- </w:t>
      </w:r>
      <w:r w:rsidR="00A95601">
        <w:rPr>
          <w:rFonts w:ascii="Bookman Old Style" w:hAnsi="Bookman Old Style"/>
          <w:sz w:val="24"/>
          <w:szCs w:val="24"/>
        </w:rPr>
        <w:t xml:space="preserve">Modifíquese </w:t>
      </w:r>
      <w:r w:rsidR="00343FDE">
        <w:rPr>
          <w:rFonts w:ascii="Bookman Old Style" w:hAnsi="Bookman Old Style"/>
          <w:sz w:val="24"/>
          <w:szCs w:val="24"/>
        </w:rPr>
        <w:t>el DFL N°1, del Ministerio de Transportes y Telecomunicaciones, que Fija el texto refundido, coordinado y sistematizado de la Ley de Tránsito,</w:t>
      </w:r>
      <w:r w:rsidR="00A95601">
        <w:rPr>
          <w:rFonts w:ascii="Bookman Old Style" w:hAnsi="Bookman Old Style"/>
          <w:sz w:val="24"/>
          <w:szCs w:val="24"/>
        </w:rPr>
        <w:t xml:space="preserve"> el siguiente sentido:</w:t>
      </w:r>
    </w:p>
    <w:p w14:paraId="314F6417" w14:textId="5CF70214" w:rsidR="00573A13" w:rsidRPr="00F03D75" w:rsidRDefault="00573A13" w:rsidP="00F03D75">
      <w:pPr>
        <w:pStyle w:val="Prrafodelista"/>
        <w:numPr>
          <w:ilvl w:val="0"/>
          <w:numId w:val="2"/>
        </w:numPr>
        <w:spacing w:line="360" w:lineRule="auto"/>
        <w:jc w:val="both"/>
        <w:rPr>
          <w:rFonts w:ascii="Bookman Old Style" w:hAnsi="Bookman Old Style"/>
          <w:sz w:val="24"/>
          <w:szCs w:val="24"/>
        </w:rPr>
      </w:pPr>
      <w:r w:rsidRPr="00F03D75">
        <w:rPr>
          <w:rFonts w:ascii="Bookman Old Style" w:hAnsi="Bookman Old Style"/>
          <w:sz w:val="24"/>
          <w:szCs w:val="24"/>
        </w:rPr>
        <w:t>Agréguese un inciso segundo</w:t>
      </w:r>
      <w:r w:rsidR="00220322" w:rsidRPr="00F03D75">
        <w:rPr>
          <w:rFonts w:ascii="Bookman Old Style" w:hAnsi="Bookman Old Style"/>
          <w:sz w:val="24"/>
          <w:szCs w:val="24"/>
        </w:rPr>
        <w:t xml:space="preserve"> nuevo, pasando el actual inciso segundo a ser tercero y así sucesivamente,</w:t>
      </w:r>
      <w:r w:rsidRPr="00F03D75">
        <w:rPr>
          <w:rFonts w:ascii="Bookman Old Style" w:hAnsi="Bookman Old Style"/>
          <w:sz w:val="24"/>
          <w:szCs w:val="24"/>
        </w:rPr>
        <w:t xml:space="preserve"> en el artículo 88 bis </w:t>
      </w:r>
      <w:r w:rsidR="00F03D75">
        <w:rPr>
          <w:rFonts w:ascii="Bookman Old Style" w:hAnsi="Bookman Old Style"/>
          <w:sz w:val="24"/>
          <w:szCs w:val="24"/>
        </w:rPr>
        <w:t>del siguiente tenor:</w:t>
      </w:r>
    </w:p>
    <w:p w14:paraId="2BE97528" w14:textId="0757E8D1" w:rsidR="00220322" w:rsidRDefault="00573A13" w:rsidP="00573A13">
      <w:pPr>
        <w:spacing w:line="360" w:lineRule="auto"/>
        <w:jc w:val="both"/>
        <w:rPr>
          <w:rFonts w:ascii="Bookman Old Style" w:hAnsi="Bookman Old Style"/>
          <w:color w:val="000000" w:themeColor="text1"/>
          <w:sz w:val="24"/>
          <w:szCs w:val="24"/>
        </w:rPr>
      </w:pPr>
      <w:r w:rsidRPr="00DA57C1">
        <w:rPr>
          <w:rFonts w:ascii="Bookman Old Style" w:hAnsi="Bookman Old Style"/>
          <w:color w:val="000000" w:themeColor="text1"/>
          <w:sz w:val="24"/>
          <w:szCs w:val="24"/>
        </w:rPr>
        <w:lastRenderedPageBreak/>
        <w:t>“Con todo, se establecerá que el pase escolar o pase de educación superior</w:t>
      </w:r>
      <w:r w:rsidR="00220322" w:rsidRPr="00DA57C1">
        <w:rPr>
          <w:rFonts w:ascii="Bookman Old Style" w:hAnsi="Bookman Old Style"/>
          <w:color w:val="000000" w:themeColor="text1"/>
          <w:sz w:val="24"/>
          <w:szCs w:val="24"/>
        </w:rPr>
        <w:t xml:space="preserve"> podrá ser utilizado por los beneficiarios todos los días del año, </w:t>
      </w:r>
      <w:r w:rsidR="00B94EDA">
        <w:rPr>
          <w:rFonts w:ascii="Bookman Old Style" w:hAnsi="Bookman Old Style"/>
          <w:color w:val="000000" w:themeColor="text1"/>
          <w:sz w:val="24"/>
          <w:szCs w:val="24"/>
        </w:rPr>
        <w:t>de lunes a domingo</w:t>
      </w:r>
      <w:r w:rsidR="00224E76">
        <w:rPr>
          <w:rFonts w:ascii="Bookman Old Style" w:hAnsi="Bookman Old Style"/>
          <w:color w:val="000000" w:themeColor="text1"/>
          <w:sz w:val="24"/>
          <w:szCs w:val="24"/>
        </w:rPr>
        <w:t xml:space="preserve"> </w:t>
      </w:r>
      <w:r w:rsidR="00B94EDA">
        <w:rPr>
          <w:rFonts w:ascii="Bookman Old Style" w:hAnsi="Bookman Old Style"/>
          <w:color w:val="000000" w:themeColor="text1"/>
          <w:sz w:val="24"/>
          <w:szCs w:val="24"/>
        </w:rPr>
        <w:t xml:space="preserve">las 24 hora del día, </w:t>
      </w:r>
      <w:r w:rsidR="00220322" w:rsidRPr="00DA57C1">
        <w:rPr>
          <w:rFonts w:ascii="Bookman Old Style" w:hAnsi="Bookman Old Style"/>
          <w:color w:val="000000" w:themeColor="text1"/>
          <w:sz w:val="24"/>
          <w:szCs w:val="24"/>
        </w:rPr>
        <w:t xml:space="preserve">y no estará condicionado a la </w:t>
      </w:r>
      <w:r w:rsidR="00DA57C1">
        <w:rPr>
          <w:rFonts w:ascii="Bookman Old Style" w:hAnsi="Bookman Old Style"/>
          <w:color w:val="000000" w:themeColor="text1"/>
          <w:sz w:val="24"/>
          <w:szCs w:val="24"/>
        </w:rPr>
        <w:t>asistencia a</w:t>
      </w:r>
      <w:r w:rsidR="00220322" w:rsidRPr="00DA57C1">
        <w:rPr>
          <w:rFonts w:ascii="Bookman Old Style" w:hAnsi="Bookman Old Style"/>
          <w:color w:val="000000" w:themeColor="text1"/>
          <w:sz w:val="24"/>
          <w:szCs w:val="24"/>
        </w:rPr>
        <w:t xml:space="preserve"> actividades </w:t>
      </w:r>
      <w:r w:rsidR="00B94EDA">
        <w:rPr>
          <w:rFonts w:ascii="Bookman Old Style" w:hAnsi="Bookman Old Style"/>
          <w:color w:val="000000" w:themeColor="text1"/>
          <w:sz w:val="24"/>
          <w:szCs w:val="24"/>
        </w:rPr>
        <w:t>educacionales.</w:t>
      </w:r>
      <w:r w:rsidR="00220322" w:rsidRPr="00DA57C1">
        <w:rPr>
          <w:rFonts w:ascii="Bookman Old Style" w:hAnsi="Bookman Old Style"/>
          <w:color w:val="000000" w:themeColor="text1"/>
          <w:sz w:val="24"/>
          <w:szCs w:val="24"/>
        </w:rPr>
        <w:t>”</w:t>
      </w:r>
    </w:p>
    <w:p w14:paraId="41F9D3D0" w14:textId="4400FA1C" w:rsidR="00F03D75" w:rsidRDefault="00F03D75" w:rsidP="00F03D75">
      <w:pPr>
        <w:pStyle w:val="Prrafodelista"/>
        <w:numPr>
          <w:ilvl w:val="0"/>
          <w:numId w:val="2"/>
        </w:numPr>
        <w:spacing w:line="360" w:lineRule="auto"/>
        <w:jc w:val="both"/>
        <w:rPr>
          <w:rFonts w:ascii="Bookman Old Style" w:hAnsi="Bookman Old Style"/>
          <w:sz w:val="24"/>
          <w:szCs w:val="24"/>
        </w:rPr>
      </w:pPr>
      <w:r>
        <w:rPr>
          <w:rFonts w:ascii="Bookman Old Style" w:hAnsi="Bookman Old Style"/>
          <w:sz w:val="24"/>
          <w:szCs w:val="24"/>
        </w:rPr>
        <w:t>Agréguese un numeral quinto nuev</w:t>
      </w:r>
      <w:r w:rsidR="00B6408D">
        <w:rPr>
          <w:rFonts w:ascii="Bookman Old Style" w:hAnsi="Bookman Old Style"/>
          <w:sz w:val="24"/>
          <w:szCs w:val="24"/>
        </w:rPr>
        <w:t>o</w:t>
      </w:r>
      <w:r>
        <w:rPr>
          <w:rFonts w:ascii="Bookman Old Style" w:hAnsi="Bookman Old Style"/>
          <w:sz w:val="24"/>
          <w:szCs w:val="24"/>
        </w:rPr>
        <w:t>, pasando el actual quinto a ser sexto y así sucesivamente,</w:t>
      </w:r>
      <w:r w:rsidR="00B6408D">
        <w:rPr>
          <w:rFonts w:ascii="Bookman Old Style" w:hAnsi="Bookman Old Style"/>
          <w:sz w:val="24"/>
          <w:szCs w:val="24"/>
        </w:rPr>
        <w:t xml:space="preserve"> en el artículo 199</w:t>
      </w:r>
      <w:r>
        <w:rPr>
          <w:rFonts w:ascii="Bookman Old Style" w:hAnsi="Bookman Old Style"/>
          <w:sz w:val="24"/>
          <w:szCs w:val="24"/>
        </w:rPr>
        <w:t xml:space="preserve"> del siguiente tenor:</w:t>
      </w:r>
    </w:p>
    <w:p w14:paraId="283FAFB3" w14:textId="5923C19D" w:rsidR="00F03D75" w:rsidRPr="00224E76" w:rsidRDefault="00F03D75" w:rsidP="00F03D75">
      <w:pPr>
        <w:spacing w:line="360" w:lineRule="auto"/>
        <w:jc w:val="both"/>
        <w:rPr>
          <w:rFonts w:ascii="Bookman Old Style" w:hAnsi="Bookman Old Style"/>
          <w:color w:val="000000" w:themeColor="text1"/>
          <w:sz w:val="24"/>
          <w:szCs w:val="24"/>
        </w:rPr>
      </w:pPr>
      <w:r w:rsidRPr="00224E76">
        <w:rPr>
          <w:rFonts w:ascii="Bookman Old Style" w:hAnsi="Bookman Old Style"/>
          <w:color w:val="000000" w:themeColor="text1"/>
          <w:sz w:val="24"/>
          <w:szCs w:val="24"/>
        </w:rPr>
        <w:t xml:space="preserve">“5. </w:t>
      </w:r>
      <w:r w:rsidR="00224E76" w:rsidRPr="00224E76">
        <w:rPr>
          <w:rFonts w:ascii="Bookman Old Style" w:hAnsi="Bookman Old Style"/>
          <w:color w:val="000000" w:themeColor="text1"/>
          <w:sz w:val="24"/>
          <w:szCs w:val="24"/>
        </w:rPr>
        <w:t>Negar el pago de la tarifa diferenciada mediante el uso del pase escolar o pase de educación superior a los usuarios debidamente autorizados según la legislación vigente.”</w:t>
      </w:r>
    </w:p>
    <w:p w14:paraId="47812F21" w14:textId="2C8F9AB0" w:rsidR="00F03D75" w:rsidRPr="00DA57C1" w:rsidRDefault="00343FDE" w:rsidP="00573A13">
      <w:pPr>
        <w:spacing w:line="360" w:lineRule="auto"/>
        <w:jc w:val="both"/>
        <w:rPr>
          <w:rFonts w:ascii="Bookman Old Style" w:hAnsi="Bookman Old Style"/>
          <w:color w:val="000000" w:themeColor="text1"/>
          <w:sz w:val="24"/>
          <w:szCs w:val="24"/>
        </w:rPr>
      </w:pPr>
      <w:r w:rsidRPr="00DA57C1">
        <w:rPr>
          <w:rFonts w:ascii="Bookman Old Style" w:hAnsi="Bookman Old Style"/>
          <w:noProof/>
          <w:color w:val="000000" w:themeColor="text1"/>
          <w:sz w:val="24"/>
          <w:szCs w:val="24"/>
        </w:rPr>
        <w:drawing>
          <wp:anchor distT="0" distB="0" distL="114300" distR="114300" simplePos="0" relativeHeight="251658240" behindDoc="0" locked="0" layoutInCell="1" allowOverlap="1" wp14:anchorId="372AB1DF" wp14:editId="521741EF">
            <wp:simplePos x="0" y="0"/>
            <wp:positionH relativeFrom="column">
              <wp:posOffset>1502366</wp:posOffset>
            </wp:positionH>
            <wp:positionV relativeFrom="paragraph">
              <wp:posOffset>253365</wp:posOffset>
            </wp:positionV>
            <wp:extent cx="3377928" cy="1966827"/>
            <wp:effectExtent l="0" t="0" r="0" b="0"/>
            <wp:wrapNone/>
            <wp:docPr id="632925177" name="Imagen 2" descr="Imagen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25177" name="Imagen 2" descr="Imagen en blanco y negr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7928" cy="1966827"/>
                    </a:xfrm>
                    <a:prstGeom prst="rect">
                      <a:avLst/>
                    </a:prstGeom>
                  </pic:spPr>
                </pic:pic>
              </a:graphicData>
            </a:graphic>
            <wp14:sizeRelH relativeFrom="page">
              <wp14:pctWidth>0</wp14:pctWidth>
            </wp14:sizeRelH>
            <wp14:sizeRelV relativeFrom="page">
              <wp14:pctHeight>0</wp14:pctHeight>
            </wp14:sizeRelV>
          </wp:anchor>
        </w:drawing>
      </w:r>
    </w:p>
    <w:p w14:paraId="0BC4C497" w14:textId="5C11A90F" w:rsidR="00C55976" w:rsidRDefault="00C55976" w:rsidP="00C55976">
      <w:pPr>
        <w:spacing w:line="360" w:lineRule="auto"/>
        <w:jc w:val="both"/>
        <w:rPr>
          <w:rFonts w:ascii="Bookman Old Style" w:hAnsi="Bookman Old Style"/>
          <w:sz w:val="24"/>
          <w:szCs w:val="24"/>
        </w:rPr>
      </w:pPr>
    </w:p>
    <w:p w14:paraId="6D5B4436" w14:textId="3F73903F" w:rsidR="00F72D6C" w:rsidRDefault="00F72D6C" w:rsidP="00C55976">
      <w:pPr>
        <w:spacing w:line="360" w:lineRule="auto"/>
        <w:jc w:val="both"/>
        <w:rPr>
          <w:rFonts w:ascii="Bookman Old Style" w:hAnsi="Bookman Old Style"/>
          <w:sz w:val="24"/>
          <w:szCs w:val="24"/>
        </w:rPr>
      </w:pPr>
    </w:p>
    <w:p w14:paraId="185EBF38" w14:textId="3A5621A4" w:rsidR="00F72D6C" w:rsidRDefault="00F72D6C" w:rsidP="00F72D6C">
      <w:pPr>
        <w:spacing w:after="0" w:line="360" w:lineRule="auto"/>
        <w:jc w:val="center"/>
        <w:rPr>
          <w:rFonts w:ascii="Bookman Old Style" w:hAnsi="Bookman Old Style"/>
          <w:sz w:val="24"/>
          <w:szCs w:val="24"/>
        </w:rPr>
      </w:pPr>
      <w:r>
        <w:rPr>
          <w:rFonts w:ascii="Bookman Old Style" w:hAnsi="Bookman Old Style"/>
          <w:sz w:val="24"/>
          <w:szCs w:val="24"/>
        </w:rPr>
        <w:t>RICARDO CIFUENTES L.</w:t>
      </w:r>
    </w:p>
    <w:p w14:paraId="05F7DE0B" w14:textId="5913E2FB" w:rsidR="00F72D6C" w:rsidRPr="00C55976" w:rsidRDefault="00F72D6C" w:rsidP="00F72D6C">
      <w:pPr>
        <w:spacing w:after="0" w:line="360" w:lineRule="auto"/>
        <w:jc w:val="center"/>
        <w:rPr>
          <w:rFonts w:ascii="Bookman Old Style" w:hAnsi="Bookman Old Style"/>
          <w:sz w:val="24"/>
          <w:szCs w:val="24"/>
        </w:rPr>
      </w:pPr>
      <w:r>
        <w:rPr>
          <w:rFonts w:ascii="Bookman Old Style" w:hAnsi="Bookman Old Style"/>
          <w:sz w:val="24"/>
          <w:szCs w:val="24"/>
        </w:rPr>
        <w:t>DISTRITO 5</w:t>
      </w:r>
    </w:p>
    <w:sectPr w:rsidR="00F72D6C" w:rsidRPr="00C5597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DF78C" w14:textId="77777777" w:rsidR="00063125" w:rsidRDefault="00063125" w:rsidP="00C55976">
      <w:pPr>
        <w:spacing w:after="0" w:line="240" w:lineRule="auto"/>
      </w:pPr>
      <w:r>
        <w:separator/>
      </w:r>
    </w:p>
  </w:endnote>
  <w:endnote w:type="continuationSeparator" w:id="0">
    <w:p w14:paraId="6856D6DD" w14:textId="77777777" w:rsidR="00063125" w:rsidRDefault="00063125" w:rsidP="00C5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49DA8" w14:textId="77777777" w:rsidR="00063125" w:rsidRDefault="00063125" w:rsidP="00C55976">
      <w:pPr>
        <w:spacing w:after="0" w:line="240" w:lineRule="auto"/>
      </w:pPr>
      <w:r>
        <w:separator/>
      </w:r>
    </w:p>
  </w:footnote>
  <w:footnote w:type="continuationSeparator" w:id="0">
    <w:p w14:paraId="0E507594" w14:textId="77777777" w:rsidR="00063125" w:rsidRDefault="00063125" w:rsidP="00C55976">
      <w:pPr>
        <w:spacing w:after="0" w:line="240" w:lineRule="auto"/>
      </w:pPr>
      <w:r>
        <w:continuationSeparator/>
      </w:r>
    </w:p>
  </w:footnote>
  <w:footnote w:id="1">
    <w:p w14:paraId="62A832F3" w14:textId="2B54C210" w:rsidR="006E1DA3" w:rsidRDefault="006E1DA3">
      <w:pPr>
        <w:pStyle w:val="Textonotapie"/>
      </w:pPr>
      <w:r>
        <w:rPr>
          <w:rStyle w:val="Refdenotaalpie"/>
        </w:rPr>
        <w:footnoteRef/>
      </w:r>
      <w:r>
        <w:t xml:space="preserve"> </w:t>
      </w:r>
      <w:r w:rsidR="00343FDE" w:rsidRPr="00343FDE">
        <w:t>Ministerio de Transportes y Telecomunicaciones de Chile. (2014, diciembre). Decreto N°239. Biblioteca del Congreso Nacional de Chile. </w:t>
      </w:r>
      <w:hyperlink r:id="rId1" w:tgtFrame="_blank" w:history="1">
        <w:r w:rsidR="00343FDE" w:rsidRPr="00343FDE">
          <w:rPr>
            <w:rStyle w:val="Hipervnculo"/>
          </w:rPr>
          <w:t>https://www.bcn.cl/leychile/navegar?idNorma=1072844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D488" w14:textId="6A91C079" w:rsidR="00C55976" w:rsidRDefault="00C55976" w:rsidP="00C55976">
    <w:pPr>
      <w:pStyle w:val="Encabezado"/>
      <w:jc w:val="center"/>
    </w:pPr>
    <w:r>
      <w:rPr>
        <w:noProof/>
      </w:rPr>
      <w:drawing>
        <wp:inline distT="0" distB="0" distL="0" distR="0" wp14:anchorId="7491E3F4" wp14:editId="74B8BACC">
          <wp:extent cx="824230" cy="824230"/>
          <wp:effectExtent l="0" t="0" r="0" b="0"/>
          <wp:docPr id="22718359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83591"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24230" cy="82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80F"/>
    <w:multiLevelType w:val="hybridMultilevel"/>
    <w:tmpl w:val="3822CAE4"/>
    <w:lvl w:ilvl="0" w:tplc="4F9099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F6B2547"/>
    <w:multiLevelType w:val="hybridMultilevel"/>
    <w:tmpl w:val="87543E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2050A61"/>
    <w:multiLevelType w:val="hybridMultilevel"/>
    <w:tmpl w:val="87543E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2495726">
    <w:abstractNumId w:val="0"/>
  </w:num>
  <w:num w:numId="2" w16cid:durableId="1634679482">
    <w:abstractNumId w:val="1"/>
  </w:num>
  <w:num w:numId="3" w16cid:durableId="186897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76"/>
    <w:rsid w:val="000275DC"/>
    <w:rsid w:val="00056B77"/>
    <w:rsid w:val="00063125"/>
    <w:rsid w:val="00090E8E"/>
    <w:rsid w:val="000C1099"/>
    <w:rsid w:val="000E74F5"/>
    <w:rsid w:val="00102DCC"/>
    <w:rsid w:val="001E6707"/>
    <w:rsid w:val="00220322"/>
    <w:rsid w:val="00224E76"/>
    <w:rsid w:val="002A7738"/>
    <w:rsid w:val="00343FDE"/>
    <w:rsid w:val="004E3CE7"/>
    <w:rsid w:val="00560013"/>
    <w:rsid w:val="00573A13"/>
    <w:rsid w:val="005D0D20"/>
    <w:rsid w:val="00614642"/>
    <w:rsid w:val="006B7D1E"/>
    <w:rsid w:val="006E1DA3"/>
    <w:rsid w:val="00741A52"/>
    <w:rsid w:val="00883FE2"/>
    <w:rsid w:val="008B03D7"/>
    <w:rsid w:val="008E44D9"/>
    <w:rsid w:val="00930967"/>
    <w:rsid w:val="00A10E87"/>
    <w:rsid w:val="00A22B6A"/>
    <w:rsid w:val="00A95601"/>
    <w:rsid w:val="00B6408D"/>
    <w:rsid w:val="00B94EDA"/>
    <w:rsid w:val="00BD6C9A"/>
    <w:rsid w:val="00C06AC0"/>
    <w:rsid w:val="00C44F77"/>
    <w:rsid w:val="00C55976"/>
    <w:rsid w:val="00D501E0"/>
    <w:rsid w:val="00DA57C1"/>
    <w:rsid w:val="00E13801"/>
    <w:rsid w:val="00E60F79"/>
    <w:rsid w:val="00E669C1"/>
    <w:rsid w:val="00F03D75"/>
    <w:rsid w:val="00F70A9E"/>
    <w:rsid w:val="00F72D6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8BFA"/>
  <w15:chartTrackingRefBased/>
  <w15:docId w15:val="{E10B19AD-7C22-4544-BA98-1311536A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59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559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5597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5597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5597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5597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597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597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597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597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5597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5597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5597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5597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559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59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59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5976"/>
    <w:rPr>
      <w:rFonts w:eastAsiaTheme="majorEastAsia" w:cstheme="majorBidi"/>
      <w:color w:val="272727" w:themeColor="text1" w:themeTint="D8"/>
    </w:rPr>
  </w:style>
  <w:style w:type="paragraph" w:styleId="Ttulo">
    <w:name w:val="Title"/>
    <w:basedOn w:val="Normal"/>
    <w:next w:val="Normal"/>
    <w:link w:val="TtuloCar"/>
    <w:uiPriority w:val="10"/>
    <w:qFormat/>
    <w:rsid w:val="00C55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59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59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59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5976"/>
    <w:pPr>
      <w:spacing w:before="160"/>
      <w:jc w:val="center"/>
    </w:pPr>
    <w:rPr>
      <w:i/>
      <w:iCs/>
      <w:color w:val="404040" w:themeColor="text1" w:themeTint="BF"/>
    </w:rPr>
  </w:style>
  <w:style w:type="character" w:customStyle="1" w:styleId="CitaCar">
    <w:name w:val="Cita Car"/>
    <w:basedOn w:val="Fuentedeprrafopredeter"/>
    <w:link w:val="Cita"/>
    <w:uiPriority w:val="29"/>
    <w:rsid w:val="00C55976"/>
    <w:rPr>
      <w:i/>
      <w:iCs/>
      <w:color w:val="404040" w:themeColor="text1" w:themeTint="BF"/>
    </w:rPr>
  </w:style>
  <w:style w:type="paragraph" w:styleId="Prrafodelista">
    <w:name w:val="List Paragraph"/>
    <w:basedOn w:val="Normal"/>
    <w:uiPriority w:val="34"/>
    <w:qFormat/>
    <w:rsid w:val="00C55976"/>
    <w:pPr>
      <w:ind w:left="720"/>
      <w:contextualSpacing/>
    </w:pPr>
  </w:style>
  <w:style w:type="character" w:styleId="nfasisintenso">
    <w:name w:val="Intense Emphasis"/>
    <w:basedOn w:val="Fuentedeprrafopredeter"/>
    <w:uiPriority w:val="21"/>
    <w:qFormat/>
    <w:rsid w:val="00C55976"/>
    <w:rPr>
      <w:i/>
      <w:iCs/>
      <w:color w:val="2F5496" w:themeColor="accent1" w:themeShade="BF"/>
    </w:rPr>
  </w:style>
  <w:style w:type="paragraph" w:styleId="Citadestacada">
    <w:name w:val="Intense Quote"/>
    <w:basedOn w:val="Normal"/>
    <w:next w:val="Normal"/>
    <w:link w:val="CitadestacadaCar"/>
    <w:uiPriority w:val="30"/>
    <w:qFormat/>
    <w:rsid w:val="00C55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55976"/>
    <w:rPr>
      <w:i/>
      <w:iCs/>
      <w:color w:val="2F5496" w:themeColor="accent1" w:themeShade="BF"/>
    </w:rPr>
  </w:style>
  <w:style w:type="character" w:styleId="Referenciaintensa">
    <w:name w:val="Intense Reference"/>
    <w:basedOn w:val="Fuentedeprrafopredeter"/>
    <w:uiPriority w:val="32"/>
    <w:qFormat/>
    <w:rsid w:val="00C55976"/>
    <w:rPr>
      <w:b/>
      <w:bCs/>
      <w:smallCaps/>
      <w:color w:val="2F5496" w:themeColor="accent1" w:themeShade="BF"/>
      <w:spacing w:val="5"/>
    </w:rPr>
  </w:style>
  <w:style w:type="paragraph" w:styleId="Encabezado">
    <w:name w:val="header"/>
    <w:basedOn w:val="Normal"/>
    <w:link w:val="EncabezadoCar"/>
    <w:uiPriority w:val="99"/>
    <w:unhideWhenUsed/>
    <w:rsid w:val="00C559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976"/>
  </w:style>
  <w:style w:type="paragraph" w:styleId="Piedepgina">
    <w:name w:val="footer"/>
    <w:basedOn w:val="Normal"/>
    <w:link w:val="PiedepginaCar"/>
    <w:uiPriority w:val="99"/>
    <w:unhideWhenUsed/>
    <w:rsid w:val="00C559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976"/>
  </w:style>
  <w:style w:type="paragraph" w:styleId="Textonotapie">
    <w:name w:val="footnote text"/>
    <w:basedOn w:val="Normal"/>
    <w:link w:val="TextonotapieCar"/>
    <w:uiPriority w:val="99"/>
    <w:semiHidden/>
    <w:unhideWhenUsed/>
    <w:rsid w:val="006E1D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1DA3"/>
    <w:rPr>
      <w:sz w:val="20"/>
      <w:szCs w:val="20"/>
    </w:rPr>
  </w:style>
  <w:style w:type="character" w:styleId="Refdenotaalpie">
    <w:name w:val="footnote reference"/>
    <w:basedOn w:val="Fuentedeprrafopredeter"/>
    <w:uiPriority w:val="99"/>
    <w:semiHidden/>
    <w:unhideWhenUsed/>
    <w:rsid w:val="006E1DA3"/>
    <w:rPr>
      <w:vertAlign w:val="superscript"/>
    </w:rPr>
  </w:style>
  <w:style w:type="character" w:styleId="Hipervnculo">
    <w:name w:val="Hyperlink"/>
    <w:basedOn w:val="Fuentedeprrafopredeter"/>
    <w:uiPriority w:val="99"/>
    <w:unhideWhenUsed/>
    <w:rsid w:val="006E1DA3"/>
    <w:rPr>
      <w:color w:val="0563C1" w:themeColor="hyperlink"/>
      <w:u w:val="single"/>
    </w:rPr>
  </w:style>
  <w:style w:type="character" w:styleId="Mencinsinresolver">
    <w:name w:val="Unresolved Mention"/>
    <w:basedOn w:val="Fuentedeprrafopredeter"/>
    <w:uiPriority w:val="99"/>
    <w:semiHidden/>
    <w:unhideWhenUsed/>
    <w:rsid w:val="006E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7920">
      <w:bodyDiv w:val="1"/>
      <w:marLeft w:val="0"/>
      <w:marRight w:val="0"/>
      <w:marTop w:val="0"/>
      <w:marBottom w:val="0"/>
      <w:divBdr>
        <w:top w:val="none" w:sz="0" w:space="0" w:color="auto"/>
        <w:left w:val="none" w:sz="0" w:space="0" w:color="auto"/>
        <w:bottom w:val="none" w:sz="0" w:space="0" w:color="auto"/>
        <w:right w:val="none" w:sz="0" w:space="0" w:color="auto"/>
      </w:divBdr>
    </w:div>
    <w:div w:id="16690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cn.cl/leychile/navegar?idNorma=10728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02D51-3385-42EF-8AF1-155CB64C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5</Pages>
  <Words>1098</Words>
  <Characters>6043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Farías</dc:creator>
  <cp:keywords/>
  <dc:description/>
  <cp:lastModifiedBy>Guillermo Diaz Vallejos</cp:lastModifiedBy>
  <cp:revision>1</cp:revision>
  <dcterms:created xsi:type="dcterms:W3CDTF">2025-08-06T11:55:00Z</dcterms:created>
  <dcterms:modified xsi:type="dcterms:W3CDTF">2025-08-13T16:56:00Z</dcterms:modified>
</cp:coreProperties>
</file>