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7C2D" w14:textId="461222BB" w:rsidR="00A36949" w:rsidRPr="00A36949" w:rsidRDefault="00A36949" w:rsidP="00B056C6">
      <w:pPr>
        <w:spacing w:line="360" w:lineRule="auto"/>
        <w:jc w:val="center"/>
        <w:rPr>
          <w:rFonts w:ascii="Bookman Old Style" w:hAnsi="Bookman Old Style"/>
          <w:b/>
          <w:bCs/>
        </w:rPr>
      </w:pPr>
      <w:r w:rsidRPr="00A36949">
        <w:rPr>
          <w:rFonts w:ascii="Bookman Old Style" w:hAnsi="Bookman Old Style"/>
          <w:b/>
          <w:bCs/>
          <w:lang w:val="es-ES"/>
        </w:rPr>
        <w:t xml:space="preserve">PROYECTO DE LEY QUE MODIFICA LA LEY </w:t>
      </w:r>
      <w:r w:rsidR="00256450" w:rsidRPr="00A36949">
        <w:rPr>
          <w:rFonts w:ascii="Bookman Old Style" w:hAnsi="Bookman Old Style"/>
          <w:b/>
          <w:bCs/>
        </w:rPr>
        <w:t>N.º</w:t>
      </w:r>
      <w:r w:rsidRPr="00A36949">
        <w:rPr>
          <w:rFonts w:ascii="Bookman Old Style" w:hAnsi="Bookman Old Style"/>
          <w:b/>
          <w:bCs/>
        </w:rPr>
        <w:t xml:space="preserve"> 21</w:t>
      </w:r>
      <w:r w:rsidR="00C557C4">
        <w:rPr>
          <w:rFonts w:ascii="Bookman Old Style" w:hAnsi="Bookman Old Style"/>
          <w:b/>
          <w:bCs/>
        </w:rPr>
        <w:t>.</w:t>
      </w:r>
      <w:r w:rsidRPr="00A36949">
        <w:rPr>
          <w:rFonts w:ascii="Bookman Old Style" w:hAnsi="Bookman Old Style"/>
          <w:b/>
          <w:bCs/>
        </w:rPr>
        <w:t>349, QUE ESTABLECE NORMAS SOBRE COMPOSICIÓN, ETIQUETADO Y COMERCIALIZACIÓN DE LOS FERTILIZANTES Y BIOESTIMULANTES, EN MATERIA DE SANCIONES</w:t>
      </w:r>
    </w:p>
    <w:p w14:paraId="391C7CC6" w14:textId="77777777" w:rsidR="00A36949" w:rsidRDefault="00A36949" w:rsidP="00DC3088">
      <w:pPr>
        <w:spacing w:line="360" w:lineRule="auto"/>
      </w:pPr>
    </w:p>
    <w:p w14:paraId="14EB9B23" w14:textId="77777777" w:rsidR="00A36949" w:rsidRDefault="00A36949" w:rsidP="00DC3088">
      <w:pPr>
        <w:pStyle w:val="Prrafodelista"/>
        <w:numPr>
          <w:ilvl w:val="0"/>
          <w:numId w:val="1"/>
        </w:numPr>
        <w:spacing w:line="360" w:lineRule="auto"/>
        <w:jc w:val="both"/>
        <w:rPr>
          <w:rFonts w:ascii="Bookman Old Style" w:hAnsi="Bookman Old Style"/>
          <w:b/>
          <w:bCs/>
        </w:rPr>
      </w:pPr>
      <w:r w:rsidRPr="00A36949">
        <w:rPr>
          <w:rFonts w:ascii="Bookman Old Style" w:hAnsi="Bookman Old Style"/>
          <w:b/>
          <w:bCs/>
        </w:rPr>
        <w:t>FUNDAMENTOS</w:t>
      </w:r>
    </w:p>
    <w:p w14:paraId="2DAB5413" w14:textId="77777777" w:rsidR="00A36949" w:rsidRDefault="00A36949" w:rsidP="00DC3088">
      <w:pPr>
        <w:spacing w:line="360" w:lineRule="auto"/>
        <w:jc w:val="both"/>
        <w:rPr>
          <w:rFonts w:ascii="Bookman Old Style" w:hAnsi="Bookman Old Style"/>
          <w:b/>
          <w:bCs/>
        </w:rPr>
      </w:pPr>
    </w:p>
    <w:p w14:paraId="20C525E2" w14:textId="305C90EF" w:rsidR="00957AFE" w:rsidRDefault="00A2537D" w:rsidP="00FB2126">
      <w:pPr>
        <w:spacing w:line="360" w:lineRule="auto"/>
        <w:ind w:firstLine="360"/>
        <w:jc w:val="both"/>
        <w:rPr>
          <w:rFonts w:ascii="Bookman Old Style" w:hAnsi="Bookman Old Style"/>
        </w:rPr>
      </w:pPr>
      <w:r>
        <w:rPr>
          <w:rFonts w:ascii="Bookman Old Style" w:hAnsi="Bookman Old Style"/>
        </w:rPr>
        <w:t xml:space="preserve">Durante el trabajo legislativo de la comisión de Agricultura de la Cámara de Diputados, quedó de manifiesto que actualmente la </w:t>
      </w:r>
      <w:r w:rsidR="00256450">
        <w:rPr>
          <w:rFonts w:ascii="Bookman Old Style" w:hAnsi="Bookman Old Style"/>
        </w:rPr>
        <w:t>ley N. ª ª</w:t>
      </w:r>
      <w:r>
        <w:rPr>
          <w:rFonts w:ascii="Bookman Old Style" w:hAnsi="Bookman Old Style"/>
        </w:rPr>
        <w:t xml:space="preserve"> 21.349, que establece normas sobre composición, etiquetado y comercialización de los fertilizantes y bioestimulantes, establece sanciones muy elevadas </w:t>
      </w:r>
      <w:r w:rsidR="0087093A">
        <w:rPr>
          <w:rFonts w:ascii="Bookman Old Style" w:hAnsi="Bookman Old Style"/>
        </w:rPr>
        <w:t>a quienes infrinjan la normativa,</w:t>
      </w:r>
      <w:r w:rsidR="00A74504">
        <w:rPr>
          <w:rFonts w:ascii="Bookman Old Style" w:hAnsi="Bookman Old Style"/>
        </w:rPr>
        <w:t xml:space="preserve"> existiendo una desproporcionalidad entre la infracción y la sanción </w:t>
      </w:r>
      <w:r w:rsidR="00EC2979">
        <w:rPr>
          <w:rFonts w:ascii="Bookman Old Style" w:hAnsi="Bookman Old Style"/>
        </w:rPr>
        <w:t xml:space="preserve">aparejada. </w:t>
      </w:r>
    </w:p>
    <w:p w14:paraId="464B25CB" w14:textId="77777777" w:rsidR="00957AFE" w:rsidRDefault="00957AFE" w:rsidP="00DC3088">
      <w:pPr>
        <w:spacing w:line="360" w:lineRule="auto"/>
        <w:jc w:val="both"/>
        <w:rPr>
          <w:rFonts w:ascii="Bookman Old Style" w:hAnsi="Bookman Old Style"/>
        </w:rPr>
      </w:pPr>
    </w:p>
    <w:p w14:paraId="4BF5BCA7" w14:textId="77777777" w:rsidR="00750683" w:rsidRDefault="00957AFE" w:rsidP="00FB2126">
      <w:pPr>
        <w:spacing w:line="360" w:lineRule="auto"/>
        <w:ind w:firstLine="360"/>
        <w:jc w:val="both"/>
        <w:rPr>
          <w:rFonts w:ascii="Bookman Old Style" w:hAnsi="Bookman Old Style"/>
        </w:rPr>
      </w:pPr>
      <w:r>
        <w:rPr>
          <w:rFonts w:ascii="Bookman Old Style" w:hAnsi="Bookman Old Style"/>
        </w:rPr>
        <w:t xml:space="preserve">En sesión de la comisión del día 24 de marzo del año 2025, actores del </w:t>
      </w:r>
      <w:r w:rsidR="00FB2126">
        <w:rPr>
          <w:rFonts w:ascii="Bookman Old Style" w:hAnsi="Bookman Old Style"/>
        </w:rPr>
        <w:t>sector</w:t>
      </w:r>
      <w:r>
        <w:rPr>
          <w:rFonts w:ascii="Bookman Old Style" w:hAnsi="Bookman Old Style"/>
        </w:rPr>
        <w:t xml:space="preserve"> expusieron sobre la problemática mencionada. En es</w:t>
      </w:r>
      <w:r w:rsidR="00AB3004">
        <w:rPr>
          <w:rFonts w:ascii="Bookman Old Style" w:hAnsi="Bookman Old Style"/>
        </w:rPr>
        <w:t>a línea</w:t>
      </w:r>
      <w:r>
        <w:rPr>
          <w:rFonts w:ascii="Bookman Old Style" w:hAnsi="Bookman Old Style"/>
        </w:rPr>
        <w:t xml:space="preserve">, la Asociación Gremial de Importadores y Productores Fitosanitarios, </w:t>
      </w:r>
      <w:r w:rsidRPr="00A2537D">
        <w:rPr>
          <w:rFonts w:ascii="Bookman Old Style" w:hAnsi="Bookman Old Style"/>
        </w:rPr>
        <w:t>Fertilizantes y Bioestimulantes para la Agricultura (IMPAA A.G.</w:t>
      </w:r>
      <w:r>
        <w:rPr>
          <w:rFonts w:ascii="Bookman Old Style" w:hAnsi="Bookman Old Style"/>
        </w:rPr>
        <w:t>)</w:t>
      </w:r>
      <w:r w:rsidR="00750683">
        <w:rPr>
          <w:rStyle w:val="Refdenotaalpie"/>
          <w:rFonts w:ascii="Bookman Old Style" w:hAnsi="Bookman Old Style"/>
        </w:rPr>
        <w:footnoteReference w:id="1"/>
      </w:r>
      <w:r>
        <w:rPr>
          <w:rFonts w:ascii="Bookman Old Style" w:hAnsi="Bookman Old Style"/>
        </w:rPr>
        <w:t>, expuso que</w:t>
      </w:r>
      <w:r w:rsidR="00FB2126">
        <w:rPr>
          <w:rFonts w:ascii="Bookman Old Style" w:hAnsi="Bookman Old Style"/>
        </w:rPr>
        <w:t xml:space="preserve"> la ley de fertilizantes ha sido muy importante para asegurar la calidad y trazabilidad de productos que impactan directamente el suelo agrícola. Sin embargo, advirtió que actualmente la aplicación de la ley está perjudicando al sector, especialmente a las pequeñas y medianas empresas que constituyen cerca del 90% del rubro, debido a las altas multas que se establecen por infracciones a la normativa. En e</w:t>
      </w:r>
      <w:r w:rsidR="00AB3004">
        <w:rPr>
          <w:rFonts w:ascii="Bookman Old Style" w:hAnsi="Bookman Old Style"/>
        </w:rPr>
        <w:t>fecto</w:t>
      </w:r>
      <w:r w:rsidR="00FB2126">
        <w:rPr>
          <w:rFonts w:ascii="Bookman Old Style" w:hAnsi="Bookman Old Style"/>
        </w:rPr>
        <w:t>, el artículo 16 del mencionado cuerpo legal</w:t>
      </w:r>
      <w:r w:rsidR="005227E1">
        <w:rPr>
          <w:rFonts w:ascii="Bookman Old Style" w:hAnsi="Bookman Old Style"/>
        </w:rPr>
        <w:t xml:space="preserve">, en sus letras a) y b), </w:t>
      </w:r>
      <w:r w:rsidR="00FB2126">
        <w:rPr>
          <w:rFonts w:ascii="Bookman Old Style" w:hAnsi="Bookman Old Style"/>
        </w:rPr>
        <w:t>contempla sanciones de entre</w:t>
      </w:r>
      <w:r w:rsidR="005227E1">
        <w:rPr>
          <w:rFonts w:ascii="Bookman Old Style" w:hAnsi="Bookman Old Style"/>
        </w:rPr>
        <w:t xml:space="preserve"> 100 y </w:t>
      </w:r>
      <w:r w:rsidR="00750683">
        <w:rPr>
          <w:rFonts w:ascii="Bookman Old Style" w:hAnsi="Bookman Old Style"/>
        </w:rPr>
        <w:t>1.00</w:t>
      </w:r>
      <w:r w:rsidR="005227E1">
        <w:rPr>
          <w:rFonts w:ascii="Bookman Old Style" w:hAnsi="Bookman Old Style"/>
        </w:rPr>
        <w:t>0 UTM</w:t>
      </w:r>
      <w:r w:rsidR="00FB2126">
        <w:rPr>
          <w:rFonts w:ascii="Bookman Old Style" w:hAnsi="Bookman Old Style"/>
        </w:rPr>
        <w:t xml:space="preserve">, lo cual puede equivaler </w:t>
      </w:r>
      <w:r w:rsidR="009C2A61">
        <w:rPr>
          <w:rFonts w:ascii="Bookman Old Style" w:hAnsi="Bookman Old Style"/>
        </w:rPr>
        <w:t>al 18% de ingresos anuales y</w:t>
      </w:r>
      <w:r w:rsidR="00FB2126">
        <w:rPr>
          <w:rFonts w:ascii="Bookman Old Style" w:hAnsi="Bookman Old Style"/>
        </w:rPr>
        <w:t xml:space="preserve"> al 50% del margen de ganancia de una empresa, obligando a muchas de ellas a </w:t>
      </w:r>
      <w:r w:rsidR="00C418D0">
        <w:rPr>
          <w:rFonts w:ascii="Bookman Old Style" w:hAnsi="Bookman Old Style"/>
        </w:rPr>
        <w:t>abandonar</w:t>
      </w:r>
      <w:r w:rsidR="00FB2126">
        <w:rPr>
          <w:rFonts w:ascii="Bookman Old Style" w:hAnsi="Bookman Old Style"/>
        </w:rPr>
        <w:t xml:space="preserve"> el mercado</w:t>
      </w:r>
      <w:r w:rsidR="00750683">
        <w:rPr>
          <w:rFonts w:ascii="Bookman Old Style" w:hAnsi="Bookman Old Style"/>
        </w:rPr>
        <w:t xml:space="preserve"> cuando se les imponen estas multas</w:t>
      </w:r>
      <w:r w:rsidR="00FB2126">
        <w:rPr>
          <w:rFonts w:ascii="Bookman Old Style" w:hAnsi="Bookman Old Style"/>
        </w:rPr>
        <w:t xml:space="preserve">. </w:t>
      </w:r>
      <w:r w:rsidR="00750683">
        <w:rPr>
          <w:rFonts w:ascii="Bookman Old Style" w:hAnsi="Bookman Old Style"/>
        </w:rPr>
        <w:t xml:space="preserve">Cabe </w:t>
      </w:r>
      <w:r w:rsidR="00750683">
        <w:rPr>
          <w:rFonts w:ascii="Bookman Old Style" w:hAnsi="Bookman Old Style"/>
        </w:rPr>
        <w:lastRenderedPageBreak/>
        <w:t>considerar que</w:t>
      </w:r>
      <w:r w:rsidR="008E64D7">
        <w:rPr>
          <w:rFonts w:ascii="Bookman Old Style" w:hAnsi="Bookman Old Style"/>
        </w:rPr>
        <w:t>, en términos generales,</w:t>
      </w:r>
      <w:r w:rsidR="00750683">
        <w:rPr>
          <w:rFonts w:ascii="Bookman Old Style" w:hAnsi="Bookman Old Style"/>
        </w:rPr>
        <w:t xml:space="preserve"> la letra a) del artículo 16 </w:t>
      </w:r>
      <w:r w:rsidR="008E64D7">
        <w:rPr>
          <w:rFonts w:ascii="Bookman Old Style" w:hAnsi="Bookman Old Style"/>
        </w:rPr>
        <w:t xml:space="preserve">sanciona el incumplimiento de inscribirse en el Registro Único Nacional en el caso de </w:t>
      </w:r>
      <w:r w:rsidR="008E64D7" w:rsidRPr="008E64D7">
        <w:rPr>
          <w:rFonts w:ascii="Bookman Old Style" w:hAnsi="Bookman Old Style"/>
        </w:rPr>
        <w:t>lo</w:t>
      </w:r>
      <w:r w:rsidR="008E64D7">
        <w:rPr>
          <w:rFonts w:ascii="Bookman Old Style" w:hAnsi="Bookman Old Style"/>
        </w:rPr>
        <w:t xml:space="preserve">s productores, </w:t>
      </w:r>
      <w:r w:rsidR="008E64D7" w:rsidRPr="008E64D7">
        <w:rPr>
          <w:rFonts w:ascii="Bookman Old Style" w:hAnsi="Bookman Old Style"/>
        </w:rPr>
        <w:t>fabricantes, formuladores, comercializadores, envasadores, importadores y exportadores de fertilizantes y bioestimulantes</w:t>
      </w:r>
      <w:r w:rsidR="008E64D7">
        <w:rPr>
          <w:rFonts w:ascii="Bookman Old Style" w:hAnsi="Bookman Old Style"/>
        </w:rPr>
        <w:t>, y aquellas personas que los utilicen para fines distintos de la agricultura; y la letra b) sanciona el incumplimiento de normas de etiquetado y trazabilidad de los productos</w:t>
      </w:r>
      <w:r w:rsidR="008E64D7">
        <w:rPr>
          <w:rStyle w:val="Refdenotaalpie"/>
          <w:rFonts w:ascii="Bookman Old Style" w:hAnsi="Bookman Old Style"/>
        </w:rPr>
        <w:footnoteReference w:id="2"/>
      </w:r>
      <w:r w:rsidR="008E64D7">
        <w:rPr>
          <w:rFonts w:ascii="Bookman Old Style" w:hAnsi="Bookman Old Style"/>
        </w:rPr>
        <w:t>.</w:t>
      </w:r>
    </w:p>
    <w:p w14:paraId="2D533FB1" w14:textId="77777777" w:rsidR="00750683" w:rsidRDefault="00750683" w:rsidP="00FB2126">
      <w:pPr>
        <w:spacing w:line="360" w:lineRule="auto"/>
        <w:ind w:firstLine="360"/>
        <w:jc w:val="both"/>
        <w:rPr>
          <w:rFonts w:ascii="Bookman Old Style" w:hAnsi="Bookman Old Style"/>
        </w:rPr>
      </w:pPr>
    </w:p>
    <w:p w14:paraId="6DBF27CA" w14:textId="77777777" w:rsidR="005227E1" w:rsidRDefault="00FB2126" w:rsidP="00FB2126">
      <w:pPr>
        <w:spacing w:line="360" w:lineRule="auto"/>
        <w:ind w:firstLine="360"/>
        <w:jc w:val="both"/>
        <w:rPr>
          <w:rFonts w:ascii="Bookman Old Style" w:hAnsi="Bookman Old Style"/>
        </w:rPr>
      </w:pPr>
      <w:r>
        <w:rPr>
          <w:rFonts w:ascii="Bookman Old Style" w:hAnsi="Bookman Old Style"/>
        </w:rPr>
        <w:t xml:space="preserve">Señalaron, además, que el problema de esto es que el mercado nacional de fertilizantes es </w:t>
      </w:r>
      <w:r w:rsidR="009C2A61">
        <w:rPr>
          <w:rFonts w:ascii="Bookman Old Style" w:hAnsi="Bookman Old Style"/>
        </w:rPr>
        <w:t>altamente</w:t>
      </w:r>
      <w:r>
        <w:rPr>
          <w:rFonts w:ascii="Bookman Old Style" w:hAnsi="Bookman Old Style"/>
        </w:rPr>
        <w:t xml:space="preserve"> atomizado</w:t>
      </w:r>
      <w:r w:rsidR="009C2A61">
        <w:rPr>
          <w:rFonts w:ascii="Bookman Old Style" w:hAnsi="Bookman Old Style"/>
        </w:rPr>
        <w:t xml:space="preserve">, con cerca de 56 empresas en operación, y </w:t>
      </w:r>
      <w:r w:rsidR="00C418D0">
        <w:rPr>
          <w:rFonts w:ascii="Bookman Old Style" w:hAnsi="Bookman Old Style"/>
        </w:rPr>
        <w:t xml:space="preserve">la salida de empresas formales </w:t>
      </w:r>
      <w:r w:rsidR="009C2A61">
        <w:rPr>
          <w:rFonts w:ascii="Bookman Old Style" w:hAnsi="Bookman Old Style"/>
        </w:rPr>
        <w:t>fomenta el crecimiento del mercado ilegal, afectando tanto a la competencia leal como a los agricultores</w:t>
      </w:r>
      <w:r w:rsidR="007B0414">
        <w:rPr>
          <w:rFonts w:ascii="Bookman Old Style" w:hAnsi="Bookman Old Style"/>
        </w:rPr>
        <w:t>, ya que al haber menor competencia aumentan los precios de los fertilizantes</w:t>
      </w:r>
      <w:r w:rsidR="00C418D0">
        <w:rPr>
          <w:rFonts w:ascii="Bookman Old Style" w:hAnsi="Bookman Old Style"/>
        </w:rPr>
        <w:t xml:space="preserve"> y además no se cumple el objetivo de la ley de garantizar la calidad de los productos.</w:t>
      </w:r>
      <w:r w:rsidR="005227E1">
        <w:rPr>
          <w:rFonts w:ascii="Bookman Old Style" w:hAnsi="Bookman Old Style"/>
        </w:rPr>
        <w:t xml:space="preserve"> En definitiva, </w:t>
      </w:r>
      <w:r w:rsidR="00C557C4">
        <w:rPr>
          <w:rFonts w:ascii="Bookman Old Style" w:hAnsi="Bookman Old Style"/>
        </w:rPr>
        <w:t xml:space="preserve">esta situación </w:t>
      </w:r>
      <w:r w:rsidR="005227E1">
        <w:rPr>
          <w:rFonts w:ascii="Bookman Old Style" w:hAnsi="Bookman Old Style"/>
        </w:rPr>
        <w:t xml:space="preserve">está llevando a la quiebra a empresas de pequeños distribuidores locales que entregan productos a la agricultura familiar campesina. </w:t>
      </w:r>
    </w:p>
    <w:p w14:paraId="59665CF4" w14:textId="77777777" w:rsidR="007B0414" w:rsidRDefault="007B0414" w:rsidP="007B0414">
      <w:pPr>
        <w:spacing w:line="360" w:lineRule="auto"/>
        <w:jc w:val="both"/>
        <w:rPr>
          <w:rFonts w:ascii="Bookman Old Style" w:hAnsi="Bookman Old Style"/>
        </w:rPr>
      </w:pPr>
    </w:p>
    <w:p w14:paraId="4708DE1F" w14:textId="77777777" w:rsidR="00C418D0" w:rsidRDefault="007B0414" w:rsidP="00C418D0">
      <w:pPr>
        <w:spacing w:line="360" w:lineRule="auto"/>
        <w:ind w:firstLine="360"/>
        <w:jc w:val="both"/>
        <w:rPr>
          <w:rFonts w:ascii="Bookman Old Style" w:hAnsi="Bookman Old Style"/>
        </w:rPr>
      </w:pPr>
      <w:r>
        <w:rPr>
          <w:rFonts w:ascii="Bookman Old Style" w:hAnsi="Bookman Old Style"/>
        </w:rPr>
        <w:t>En cuanto al análisis de los incumplimientos detectados por el SAG</w:t>
      </w:r>
      <w:r w:rsidR="00C557C4">
        <w:rPr>
          <w:rFonts w:ascii="Bookman Old Style" w:hAnsi="Bookman Old Style"/>
        </w:rPr>
        <w:t xml:space="preserve"> a la ley de fertilizantes</w:t>
      </w:r>
      <w:r>
        <w:rPr>
          <w:rFonts w:ascii="Bookman Old Style" w:hAnsi="Bookman Old Style"/>
        </w:rPr>
        <w:t>, expusieron que en el año 2023, de 190 fiscalizaciones efectuadas, el 70% presentó incumplimientos a la ley. De ellas, el 85% tenía relación con problemas de etiquetado y falta de información en el envase, y la multa que más se repitió fue de 100 UTM, es decir, casi 7 millones de pesos por incumplir aspectos formales que no afectan la calidad del producto y, por tanto, no significan un riesgo elevado para la agricultura. En base a ello, concluyeron que las multas son desproporcionales respecto de los incumplimientos detectados</w:t>
      </w:r>
      <w:r w:rsidR="00C418D0">
        <w:rPr>
          <w:rFonts w:ascii="Bookman Old Style" w:hAnsi="Bookman Old Style"/>
        </w:rPr>
        <w:t>, siendo contraproducente con el objetivo que se pretende alcanzar con la normativa</w:t>
      </w:r>
      <w:r w:rsidR="00AB3004">
        <w:rPr>
          <w:rFonts w:ascii="Bookman Old Style" w:hAnsi="Bookman Old Style"/>
        </w:rPr>
        <w:t>.</w:t>
      </w:r>
    </w:p>
    <w:p w14:paraId="3A3E312A" w14:textId="77777777" w:rsidR="00C418D0" w:rsidRDefault="00C418D0" w:rsidP="00C418D0">
      <w:pPr>
        <w:spacing w:line="360" w:lineRule="auto"/>
        <w:ind w:firstLine="360"/>
        <w:jc w:val="both"/>
        <w:rPr>
          <w:rFonts w:ascii="Bookman Old Style" w:hAnsi="Bookman Old Style"/>
        </w:rPr>
      </w:pPr>
    </w:p>
    <w:p w14:paraId="7EF0F34B" w14:textId="69F4B644" w:rsidR="007B0414" w:rsidRDefault="00C418D0" w:rsidP="00C418D0">
      <w:pPr>
        <w:spacing w:line="360" w:lineRule="auto"/>
        <w:ind w:firstLine="360"/>
        <w:jc w:val="both"/>
        <w:rPr>
          <w:rFonts w:ascii="Bookman Old Style" w:hAnsi="Bookman Old Style"/>
        </w:rPr>
      </w:pPr>
      <w:r>
        <w:rPr>
          <w:rFonts w:ascii="Bookman Old Style" w:hAnsi="Bookman Old Style"/>
        </w:rPr>
        <w:lastRenderedPageBreak/>
        <w:t>Finalmente, advirtieron que esta desproporcionalidad también se puede evidenciar cuando se analizan otras actividades agrícolas fiscalizadas por el SAG</w:t>
      </w:r>
      <w:r w:rsidR="005227E1">
        <w:rPr>
          <w:rFonts w:ascii="Bookman Old Style" w:hAnsi="Bookman Old Style"/>
        </w:rPr>
        <w:t xml:space="preserve"> con sanciones mucho menores en comparación a la ley de fertilizantes</w:t>
      </w:r>
      <w:r>
        <w:rPr>
          <w:rFonts w:ascii="Bookman Old Style" w:hAnsi="Bookman Old Style"/>
        </w:rPr>
        <w:t xml:space="preserve">. Ejemplo de ello, es el decreto </w:t>
      </w:r>
      <w:r w:rsidR="008F4F7A">
        <w:rPr>
          <w:rFonts w:ascii="Bookman Old Style" w:hAnsi="Bookman Old Style"/>
        </w:rPr>
        <w:t>N.º</w:t>
      </w:r>
      <w:r>
        <w:rPr>
          <w:rFonts w:ascii="Bookman Old Style" w:hAnsi="Bookman Old Style"/>
        </w:rPr>
        <w:t xml:space="preserve"> </w:t>
      </w:r>
      <w:r w:rsidR="005227E1">
        <w:rPr>
          <w:rFonts w:ascii="Bookman Old Style" w:hAnsi="Bookman Old Style"/>
        </w:rPr>
        <w:t xml:space="preserve">3.557, que establece disposiciones sobre protección agrícola, que </w:t>
      </w:r>
      <w:r w:rsidR="00C557C4">
        <w:rPr>
          <w:rFonts w:ascii="Bookman Old Style" w:hAnsi="Bookman Old Style"/>
        </w:rPr>
        <w:t>contempla</w:t>
      </w:r>
      <w:r w:rsidR="005227E1">
        <w:rPr>
          <w:rFonts w:ascii="Bookman Old Style" w:hAnsi="Bookman Old Style"/>
        </w:rPr>
        <w:t xml:space="preserve"> multas de entre 1 y 50 UTM, y el decreto </w:t>
      </w:r>
      <w:r w:rsidR="008F4F7A">
        <w:rPr>
          <w:rFonts w:ascii="Bookman Old Style" w:hAnsi="Bookman Old Style"/>
        </w:rPr>
        <w:t>N.º</w:t>
      </w:r>
      <w:r w:rsidR="005227E1">
        <w:rPr>
          <w:rFonts w:ascii="Bookman Old Style" w:hAnsi="Bookman Old Style"/>
        </w:rPr>
        <w:t xml:space="preserve"> 16, de sanidad y protección animal, que contempla multas de entre 5 y 100 UTM. </w:t>
      </w:r>
    </w:p>
    <w:p w14:paraId="7CB278AE" w14:textId="77777777" w:rsidR="005B16B7" w:rsidRDefault="005B16B7" w:rsidP="00C418D0">
      <w:pPr>
        <w:spacing w:line="360" w:lineRule="auto"/>
        <w:ind w:firstLine="360"/>
        <w:jc w:val="both"/>
        <w:rPr>
          <w:rFonts w:ascii="Bookman Old Style" w:hAnsi="Bookman Old Style"/>
        </w:rPr>
      </w:pPr>
    </w:p>
    <w:p w14:paraId="65CCB5E7" w14:textId="77777777" w:rsidR="00A36949" w:rsidRDefault="005B16B7" w:rsidP="005B16B7">
      <w:pPr>
        <w:spacing w:line="360" w:lineRule="auto"/>
        <w:ind w:firstLine="360"/>
        <w:jc w:val="both"/>
        <w:rPr>
          <w:rFonts w:ascii="Bookman Old Style" w:hAnsi="Bookman Old Style"/>
        </w:rPr>
      </w:pPr>
      <w:r>
        <w:rPr>
          <w:rFonts w:ascii="Bookman Old Style" w:hAnsi="Bookman Old Style"/>
        </w:rPr>
        <w:t>A raíz de todos los antecedentes expuestos, urge modificar las sanciones establecidas en la letra a) y b) del artículo 16 de la ley de fertilizantes, para resguardar la operatividad del sector e impulsar el mercado formal en este</w:t>
      </w:r>
      <w:r w:rsidR="00AB3004">
        <w:rPr>
          <w:rFonts w:ascii="Bookman Old Style" w:hAnsi="Bookman Old Style"/>
        </w:rPr>
        <w:t xml:space="preserve"> rubro</w:t>
      </w:r>
      <w:r>
        <w:rPr>
          <w:rFonts w:ascii="Bookman Old Style" w:hAnsi="Bookman Old Style"/>
        </w:rPr>
        <w:t xml:space="preserve">. </w:t>
      </w:r>
      <w:r w:rsidR="00AB3004">
        <w:rPr>
          <w:rFonts w:ascii="Bookman Old Style" w:hAnsi="Bookman Old Style"/>
        </w:rPr>
        <w:t>Por tanto</w:t>
      </w:r>
      <w:r>
        <w:rPr>
          <w:rFonts w:ascii="Bookman Old Style" w:hAnsi="Bookman Old Style"/>
        </w:rPr>
        <w:t xml:space="preserve">, es </w:t>
      </w:r>
      <w:r w:rsidR="00C73825">
        <w:rPr>
          <w:rFonts w:ascii="Bookman Old Style" w:hAnsi="Bookman Old Style"/>
        </w:rPr>
        <w:t>sumamente importante</w:t>
      </w:r>
      <w:r>
        <w:rPr>
          <w:rFonts w:ascii="Bookman Old Style" w:hAnsi="Bookman Old Style"/>
        </w:rPr>
        <w:t xml:space="preserve"> </w:t>
      </w:r>
      <w:r w:rsidR="00C73825">
        <w:rPr>
          <w:rFonts w:ascii="Bookman Old Style" w:hAnsi="Bookman Old Style"/>
        </w:rPr>
        <w:t xml:space="preserve">que se moderen las multas y se establezcan parámetros mínimos en la ley para determinar la cuantía de las mismas. </w:t>
      </w:r>
    </w:p>
    <w:p w14:paraId="796B4125" w14:textId="77777777" w:rsidR="005B16B7" w:rsidRPr="005B16B7" w:rsidRDefault="005B16B7" w:rsidP="005B16B7">
      <w:pPr>
        <w:spacing w:line="360" w:lineRule="auto"/>
        <w:ind w:firstLine="360"/>
        <w:jc w:val="both"/>
        <w:rPr>
          <w:rFonts w:ascii="Bookman Old Style" w:hAnsi="Bookman Old Style"/>
        </w:rPr>
      </w:pPr>
    </w:p>
    <w:p w14:paraId="22AF2DAB" w14:textId="77777777" w:rsidR="00A36949" w:rsidRDefault="00A36949" w:rsidP="00DC3088">
      <w:pPr>
        <w:pStyle w:val="Prrafodelista"/>
        <w:numPr>
          <w:ilvl w:val="0"/>
          <w:numId w:val="1"/>
        </w:numPr>
        <w:spacing w:line="360" w:lineRule="auto"/>
        <w:jc w:val="both"/>
        <w:rPr>
          <w:rFonts w:ascii="Bookman Old Style" w:hAnsi="Bookman Old Style"/>
          <w:b/>
          <w:bCs/>
        </w:rPr>
      </w:pPr>
      <w:r w:rsidRPr="00A36949">
        <w:rPr>
          <w:rFonts w:ascii="Bookman Old Style" w:hAnsi="Bookman Old Style"/>
          <w:b/>
          <w:bCs/>
        </w:rPr>
        <w:t>IDEA MATRIZ</w:t>
      </w:r>
    </w:p>
    <w:p w14:paraId="3577AB19" w14:textId="77777777" w:rsidR="005D3333" w:rsidRDefault="005D3333" w:rsidP="005D3333">
      <w:pPr>
        <w:spacing w:line="360" w:lineRule="auto"/>
        <w:jc w:val="both"/>
        <w:rPr>
          <w:rFonts w:ascii="Bookman Old Style" w:hAnsi="Bookman Old Style"/>
          <w:b/>
          <w:bCs/>
        </w:rPr>
      </w:pPr>
    </w:p>
    <w:p w14:paraId="4AEBBDD7" w14:textId="25213A78" w:rsidR="005D3333" w:rsidRPr="005D3333" w:rsidRDefault="005D3333" w:rsidP="00C557C4">
      <w:pPr>
        <w:spacing w:line="360" w:lineRule="auto"/>
        <w:ind w:firstLine="360"/>
        <w:jc w:val="both"/>
        <w:rPr>
          <w:rFonts w:ascii="Bookman Old Style" w:hAnsi="Bookman Old Style"/>
        </w:rPr>
      </w:pPr>
      <w:r>
        <w:rPr>
          <w:rFonts w:ascii="Bookman Old Style" w:hAnsi="Bookman Old Style"/>
        </w:rPr>
        <w:t xml:space="preserve">El presente proyecto de ley tiene por objeto ajustar las sanciones de la ley </w:t>
      </w:r>
      <w:r w:rsidR="00256450">
        <w:rPr>
          <w:rFonts w:ascii="Bookman Old Style" w:hAnsi="Bookman Old Style"/>
        </w:rPr>
        <w:t>N.º</w:t>
      </w:r>
      <w:r w:rsidR="00C73825">
        <w:rPr>
          <w:rFonts w:ascii="Bookman Old Style" w:hAnsi="Bookman Old Style"/>
        </w:rPr>
        <w:t xml:space="preserve"> 21.349, que establece normas sobre composición, etiquetado y comercialización de los</w:t>
      </w:r>
      <w:r>
        <w:rPr>
          <w:rFonts w:ascii="Bookman Old Style" w:hAnsi="Bookman Old Style"/>
        </w:rPr>
        <w:t xml:space="preserve"> fertilizantes</w:t>
      </w:r>
      <w:r w:rsidR="00C73825">
        <w:rPr>
          <w:rFonts w:ascii="Bookman Old Style" w:hAnsi="Bookman Old Style"/>
        </w:rPr>
        <w:t xml:space="preserve"> y bioestimulantes</w:t>
      </w:r>
      <w:r>
        <w:rPr>
          <w:rFonts w:ascii="Bookman Old Style" w:hAnsi="Bookman Old Style"/>
        </w:rPr>
        <w:t>, para lograr mayor proporcionalidad en relación a las infracciones sancionadas</w:t>
      </w:r>
      <w:r w:rsidR="00C73825">
        <w:rPr>
          <w:rFonts w:ascii="Bookman Old Style" w:hAnsi="Bookman Old Style"/>
        </w:rPr>
        <w:t xml:space="preserve"> y resguardar el cumplimiento de los estándares de calidad de los productos</w:t>
      </w:r>
      <w:r w:rsidR="00C557C4">
        <w:rPr>
          <w:rFonts w:ascii="Bookman Old Style" w:hAnsi="Bookman Old Style"/>
        </w:rPr>
        <w:t xml:space="preserve"> comercializados</w:t>
      </w:r>
      <w:r w:rsidR="00C73825">
        <w:rPr>
          <w:rFonts w:ascii="Bookman Old Style" w:hAnsi="Bookman Old Style"/>
        </w:rPr>
        <w:t>.</w:t>
      </w:r>
    </w:p>
    <w:p w14:paraId="50DEC030" w14:textId="77777777" w:rsidR="005D3333" w:rsidRPr="005D3333" w:rsidRDefault="005D3333" w:rsidP="005D3333">
      <w:pPr>
        <w:spacing w:line="360" w:lineRule="auto"/>
        <w:jc w:val="both"/>
        <w:rPr>
          <w:rFonts w:ascii="Bookman Old Style" w:hAnsi="Bookman Old Style"/>
          <w:b/>
          <w:bCs/>
        </w:rPr>
      </w:pPr>
    </w:p>
    <w:p w14:paraId="0C7FDE89" w14:textId="77777777" w:rsidR="00A36949" w:rsidRDefault="00A36949" w:rsidP="00DC3088">
      <w:pPr>
        <w:pStyle w:val="Prrafodelista"/>
        <w:numPr>
          <w:ilvl w:val="0"/>
          <w:numId w:val="1"/>
        </w:numPr>
        <w:spacing w:line="360" w:lineRule="auto"/>
        <w:jc w:val="both"/>
        <w:rPr>
          <w:rFonts w:ascii="Bookman Old Style" w:hAnsi="Bookman Old Style"/>
          <w:b/>
          <w:bCs/>
        </w:rPr>
      </w:pPr>
      <w:r w:rsidRPr="00A36949">
        <w:rPr>
          <w:rFonts w:ascii="Bookman Old Style" w:hAnsi="Bookman Old Style"/>
          <w:b/>
          <w:bCs/>
        </w:rPr>
        <w:t>PROYECTO DE LEY</w:t>
      </w:r>
    </w:p>
    <w:p w14:paraId="2088F33B" w14:textId="77777777" w:rsidR="005D3333" w:rsidRDefault="005D3333" w:rsidP="005D3333">
      <w:pPr>
        <w:spacing w:line="360" w:lineRule="auto"/>
        <w:jc w:val="both"/>
        <w:rPr>
          <w:rFonts w:ascii="Bookman Old Style" w:hAnsi="Bookman Old Style"/>
          <w:b/>
          <w:bCs/>
        </w:rPr>
      </w:pPr>
    </w:p>
    <w:p w14:paraId="40E7E085" w14:textId="16C9F65D" w:rsidR="005D3333" w:rsidRDefault="005D3333" w:rsidP="00C557C4">
      <w:pPr>
        <w:spacing w:line="360" w:lineRule="auto"/>
        <w:ind w:firstLine="360"/>
        <w:jc w:val="both"/>
        <w:rPr>
          <w:rFonts w:ascii="Bookman Old Style" w:hAnsi="Bookman Old Style"/>
        </w:rPr>
      </w:pPr>
      <w:r>
        <w:rPr>
          <w:rFonts w:ascii="Bookman Old Style" w:hAnsi="Bookman Old Style"/>
          <w:b/>
          <w:bCs/>
        </w:rPr>
        <w:t>“</w:t>
      </w:r>
      <w:r w:rsidRPr="005D3333">
        <w:rPr>
          <w:rFonts w:ascii="Bookman Old Style" w:hAnsi="Bookman Old Style"/>
          <w:b/>
          <w:bCs/>
        </w:rPr>
        <w:t xml:space="preserve">Artículo </w:t>
      </w:r>
      <w:r w:rsidR="00256450" w:rsidRPr="005D3333">
        <w:rPr>
          <w:rFonts w:ascii="Bookman Old Style" w:hAnsi="Bookman Old Style"/>
          <w:b/>
          <w:bCs/>
        </w:rPr>
        <w:t>único. -</w:t>
      </w:r>
      <w:r>
        <w:rPr>
          <w:rFonts w:ascii="Bookman Old Style" w:hAnsi="Bookman Old Style"/>
        </w:rPr>
        <w:t xml:space="preserve"> Modifícase el artículo 16 de la ley </w:t>
      </w:r>
      <w:r w:rsidR="008F4F7A">
        <w:rPr>
          <w:rFonts w:ascii="Bookman Old Style" w:hAnsi="Bookman Old Style"/>
        </w:rPr>
        <w:t>N.º</w:t>
      </w:r>
      <w:r>
        <w:rPr>
          <w:rFonts w:ascii="Bookman Old Style" w:hAnsi="Bookman Old Style"/>
        </w:rPr>
        <w:t xml:space="preserve"> 21.349, que establece normas sobre composición, etiquetado y comercialización de los fertilizantes y bioestimulantes, en el siguiente sentido:</w:t>
      </w:r>
    </w:p>
    <w:p w14:paraId="1A9D301A" w14:textId="77777777" w:rsidR="00A92F02" w:rsidRDefault="00A92F02" w:rsidP="005D3333">
      <w:pPr>
        <w:spacing w:line="360" w:lineRule="auto"/>
        <w:jc w:val="both"/>
        <w:rPr>
          <w:rFonts w:ascii="Bookman Old Style" w:hAnsi="Bookman Old Style"/>
        </w:rPr>
      </w:pPr>
    </w:p>
    <w:p w14:paraId="1B4B0A7F" w14:textId="77777777" w:rsidR="00A92F02" w:rsidRDefault="0057788B" w:rsidP="00AB3004">
      <w:pPr>
        <w:pStyle w:val="Prrafodelista"/>
        <w:numPr>
          <w:ilvl w:val="0"/>
          <w:numId w:val="3"/>
        </w:numPr>
        <w:spacing w:line="360" w:lineRule="auto"/>
        <w:jc w:val="both"/>
        <w:rPr>
          <w:rFonts w:ascii="Bookman Old Style" w:hAnsi="Bookman Old Style"/>
        </w:rPr>
      </w:pPr>
      <w:r>
        <w:rPr>
          <w:rFonts w:ascii="Bookman Old Style" w:hAnsi="Bookman Old Style"/>
        </w:rPr>
        <w:t>Sustitúyase</w:t>
      </w:r>
      <w:r w:rsidR="00A92F02" w:rsidRPr="00AB3004">
        <w:rPr>
          <w:rFonts w:ascii="Bookman Old Style" w:hAnsi="Bookman Old Style"/>
        </w:rPr>
        <w:t xml:space="preserve">, en la letra a) y b), el número </w:t>
      </w:r>
      <w:r w:rsidR="00A92F02" w:rsidRPr="00AB3004">
        <w:rPr>
          <w:rFonts w:ascii="Bookman Old Style" w:hAnsi="Bookman Old Style"/>
          <w:b/>
          <w:bCs/>
          <w:i/>
          <w:iCs/>
        </w:rPr>
        <w:t>“100”</w:t>
      </w:r>
      <w:r w:rsidR="00A92F02" w:rsidRPr="00AB3004">
        <w:rPr>
          <w:rFonts w:ascii="Bookman Old Style" w:hAnsi="Bookman Old Style"/>
        </w:rPr>
        <w:t xml:space="preserve"> por </w:t>
      </w:r>
      <w:r w:rsidR="00A92F02" w:rsidRPr="00AB3004">
        <w:rPr>
          <w:rFonts w:ascii="Bookman Old Style" w:hAnsi="Bookman Old Style"/>
          <w:b/>
          <w:bCs/>
          <w:i/>
          <w:iCs/>
        </w:rPr>
        <w:t>“10”</w:t>
      </w:r>
      <w:r w:rsidR="00A92F02" w:rsidRPr="00AB3004">
        <w:rPr>
          <w:rFonts w:ascii="Bookman Old Style" w:hAnsi="Bookman Old Style"/>
        </w:rPr>
        <w:t>.</w:t>
      </w:r>
    </w:p>
    <w:p w14:paraId="28DE74B1" w14:textId="77777777" w:rsidR="00AB3004" w:rsidRPr="00AB3004" w:rsidRDefault="00AB3004" w:rsidP="00AB3004">
      <w:pPr>
        <w:pStyle w:val="Prrafodelista"/>
        <w:spacing w:line="360" w:lineRule="auto"/>
        <w:jc w:val="both"/>
        <w:rPr>
          <w:rFonts w:ascii="Bookman Old Style" w:hAnsi="Bookman Old Style"/>
        </w:rPr>
      </w:pPr>
    </w:p>
    <w:p w14:paraId="792F79DF" w14:textId="77777777" w:rsidR="00A92F02" w:rsidRDefault="00A92F02" w:rsidP="00A92F02">
      <w:pPr>
        <w:pStyle w:val="Prrafodelista"/>
        <w:numPr>
          <w:ilvl w:val="0"/>
          <w:numId w:val="3"/>
        </w:numPr>
        <w:spacing w:line="360" w:lineRule="auto"/>
        <w:jc w:val="both"/>
        <w:rPr>
          <w:rFonts w:ascii="Bookman Old Style" w:hAnsi="Bookman Old Style"/>
        </w:rPr>
      </w:pPr>
      <w:r>
        <w:rPr>
          <w:rFonts w:ascii="Bookman Old Style" w:hAnsi="Bookman Old Style"/>
        </w:rPr>
        <w:t>Reemplázase el inciso final por el siguiente:</w:t>
      </w:r>
    </w:p>
    <w:p w14:paraId="2D635C78" w14:textId="77777777" w:rsidR="00A92F02" w:rsidRDefault="00A92F02" w:rsidP="00A92F02">
      <w:pPr>
        <w:spacing w:line="360" w:lineRule="auto"/>
        <w:jc w:val="both"/>
        <w:rPr>
          <w:rFonts w:ascii="Bookman Old Style" w:hAnsi="Bookman Old Style"/>
        </w:rPr>
      </w:pPr>
    </w:p>
    <w:p w14:paraId="57DF3631" w14:textId="77777777" w:rsidR="00A92F02" w:rsidRPr="00C557C4" w:rsidRDefault="00A92F02" w:rsidP="00C557C4">
      <w:pPr>
        <w:spacing w:line="360" w:lineRule="auto"/>
        <w:ind w:firstLine="360"/>
        <w:jc w:val="both"/>
        <w:rPr>
          <w:rFonts w:ascii="Bookman Old Style" w:hAnsi="Bookman Old Style"/>
          <w:i/>
          <w:iCs/>
        </w:rPr>
      </w:pPr>
      <w:r>
        <w:rPr>
          <w:rFonts w:ascii="Bookman Old Style" w:hAnsi="Bookman Old Style"/>
        </w:rPr>
        <w:t>“</w:t>
      </w:r>
      <w:r w:rsidRPr="00C557C4">
        <w:rPr>
          <w:rFonts w:ascii="Bookman Old Style" w:hAnsi="Bookman Old Style"/>
          <w:i/>
          <w:iCs/>
        </w:rPr>
        <w:t xml:space="preserve">La multa por aplicar en virtud de los literales anteriores será a beneficio fiscal y su monto se </w:t>
      </w:r>
      <w:r w:rsidR="0057788B">
        <w:rPr>
          <w:rFonts w:ascii="Bookman Old Style" w:hAnsi="Bookman Old Style"/>
          <w:i/>
          <w:iCs/>
        </w:rPr>
        <w:t xml:space="preserve">determinará considerando la cuantía o valor de los productos comprometidos en la infracción, la gravedad de los daños causados, las providencias que se hubieren tomado para reducir los daños, el beneficio económico que el infractor hubiere obtenido de la infracción, la capacidad económica del infractor y las sanciones aplicadas con anterioridad por el Servicio en las mismas circunstancias.”. </w:t>
      </w:r>
    </w:p>
    <w:p w14:paraId="292EE466" w14:textId="77777777" w:rsidR="00A92F02" w:rsidRPr="00C557C4" w:rsidRDefault="00A92F02" w:rsidP="00A92F02">
      <w:pPr>
        <w:spacing w:line="360" w:lineRule="auto"/>
        <w:jc w:val="both"/>
        <w:rPr>
          <w:rFonts w:ascii="Bookman Old Style" w:hAnsi="Bookman Old Style"/>
          <w:i/>
          <w:iCs/>
        </w:rPr>
      </w:pPr>
    </w:p>
    <w:p w14:paraId="06FCD46E" w14:textId="77777777" w:rsidR="00C557C4" w:rsidRDefault="00C557C4" w:rsidP="0057788B">
      <w:pPr>
        <w:pStyle w:val="Prrafodelista"/>
        <w:spacing w:line="360" w:lineRule="auto"/>
        <w:jc w:val="both"/>
        <w:rPr>
          <w:rFonts w:ascii="Bookman Old Style" w:hAnsi="Bookman Old Style"/>
        </w:rPr>
      </w:pPr>
    </w:p>
    <w:p w14:paraId="2C6E3C5B" w14:textId="77777777" w:rsidR="00C557C4" w:rsidRDefault="00C557C4" w:rsidP="00C557C4">
      <w:pPr>
        <w:spacing w:line="360" w:lineRule="auto"/>
        <w:jc w:val="both"/>
        <w:rPr>
          <w:rFonts w:ascii="Bookman Old Style" w:hAnsi="Bookman Old Style"/>
        </w:rPr>
      </w:pPr>
    </w:p>
    <w:p w14:paraId="1C0E31F9" w14:textId="77777777" w:rsidR="00C557C4" w:rsidRDefault="00C557C4" w:rsidP="00C557C4">
      <w:pPr>
        <w:spacing w:line="360" w:lineRule="auto"/>
        <w:jc w:val="both"/>
        <w:rPr>
          <w:rFonts w:ascii="Bookman Old Style" w:hAnsi="Bookman Old Style"/>
          <w:b/>
          <w:bCs/>
        </w:rPr>
      </w:pPr>
    </w:p>
    <w:p w14:paraId="679FD8CC" w14:textId="77777777" w:rsidR="00C557C4" w:rsidRPr="00C557C4" w:rsidRDefault="00C557C4" w:rsidP="00C557C4">
      <w:pPr>
        <w:spacing w:line="360" w:lineRule="auto"/>
        <w:jc w:val="both"/>
        <w:rPr>
          <w:rFonts w:ascii="Bookman Old Style" w:hAnsi="Bookman Old Style"/>
          <w:b/>
          <w:bCs/>
        </w:rPr>
      </w:pPr>
    </w:p>
    <w:p w14:paraId="7A4D04EA" w14:textId="590B75EB" w:rsidR="00C557C4" w:rsidRPr="00C557C4" w:rsidRDefault="008F4F7A" w:rsidP="00C557C4">
      <w:pPr>
        <w:spacing w:line="360" w:lineRule="auto"/>
        <w:jc w:val="center"/>
        <w:rPr>
          <w:rFonts w:ascii="Bookman Old Style" w:hAnsi="Bookman Old Style"/>
          <w:b/>
          <w:bCs/>
        </w:rPr>
      </w:pPr>
      <w:r>
        <w:rPr>
          <w:rFonts w:ascii="Bookman Old Style" w:hAnsi="Bookman Old Style"/>
          <w:b/>
          <w:bCs/>
        </w:rPr>
        <w:t>Harry Jürgensen Rundshagen</w:t>
      </w:r>
    </w:p>
    <w:p w14:paraId="77C27A0B" w14:textId="2E8D0190" w:rsidR="00C557C4" w:rsidRPr="00C557C4" w:rsidRDefault="00C557C4" w:rsidP="00C557C4">
      <w:pPr>
        <w:spacing w:line="360" w:lineRule="auto"/>
        <w:jc w:val="center"/>
        <w:rPr>
          <w:rFonts w:ascii="Bookman Old Style" w:hAnsi="Bookman Old Style"/>
        </w:rPr>
      </w:pPr>
      <w:r>
        <w:rPr>
          <w:rFonts w:ascii="Bookman Old Style" w:hAnsi="Bookman Old Style"/>
        </w:rPr>
        <w:t>Diputad</w:t>
      </w:r>
      <w:r w:rsidR="008F4F7A">
        <w:rPr>
          <w:rFonts w:ascii="Bookman Old Style" w:hAnsi="Bookman Old Style"/>
        </w:rPr>
        <w:t>o</w:t>
      </w:r>
      <w:r>
        <w:rPr>
          <w:rFonts w:ascii="Bookman Old Style" w:hAnsi="Bookman Old Style"/>
        </w:rPr>
        <w:t xml:space="preserve"> de la República</w:t>
      </w:r>
    </w:p>
    <w:p w14:paraId="7AD0EDB5" w14:textId="77777777" w:rsidR="001F0F00" w:rsidRDefault="001F0F00" w:rsidP="005D3333">
      <w:pPr>
        <w:spacing w:line="360" w:lineRule="auto"/>
        <w:jc w:val="both"/>
        <w:rPr>
          <w:rFonts w:ascii="Bookman Old Style" w:hAnsi="Bookman Old Style"/>
        </w:rPr>
      </w:pPr>
    </w:p>
    <w:p w14:paraId="3C3C2061" w14:textId="77777777" w:rsidR="001F0F00" w:rsidRDefault="001F0F00" w:rsidP="005D3333">
      <w:pPr>
        <w:spacing w:line="360" w:lineRule="auto"/>
        <w:jc w:val="both"/>
        <w:rPr>
          <w:rFonts w:ascii="Bookman Old Style" w:hAnsi="Bookman Old Style"/>
        </w:rPr>
      </w:pPr>
    </w:p>
    <w:p w14:paraId="69B30B2B" w14:textId="77777777" w:rsidR="005D3333" w:rsidRDefault="005D3333" w:rsidP="005D3333">
      <w:pPr>
        <w:spacing w:line="360" w:lineRule="auto"/>
        <w:jc w:val="both"/>
        <w:rPr>
          <w:rFonts w:ascii="Bookman Old Style" w:hAnsi="Bookman Old Style"/>
        </w:rPr>
      </w:pPr>
    </w:p>
    <w:p w14:paraId="14C059F9" w14:textId="77777777" w:rsidR="005D3333" w:rsidRPr="005D3333" w:rsidRDefault="005D3333" w:rsidP="005D3333">
      <w:pPr>
        <w:spacing w:line="360" w:lineRule="auto"/>
        <w:jc w:val="both"/>
        <w:rPr>
          <w:rFonts w:ascii="Bookman Old Style" w:hAnsi="Bookman Old Style"/>
        </w:rPr>
      </w:pPr>
    </w:p>
    <w:sectPr w:rsidR="005D3333" w:rsidRPr="005D3333" w:rsidSect="006140B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6E9B1" w14:textId="77777777" w:rsidR="007A4F8B" w:rsidRDefault="007A4F8B" w:rsidP="00750683">
      <w:r>
        <w:separator/>
      </w:r>
    </w:p>
  </w:endnote>
  <w:endnote w:type="continuationSeparator" w:id="0">
    <w:p w14:paraId="62DA90A8" w14:textId="77777777" w:rsidR="007A4F8B" w:rsidRDefault="007A4F8B" w:rsidP="0075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97E02" w14:textId="77777777" w:rsidR="007A4F8B" w:rsidRDefault="007A4F8B" w:rsidP="00750683">
      <w:r>
        <w:separator/>
      </w:r>
    </w:p>
  </w:footnote>
  <w:footnote w:type="continuationSeparator" w:id="0">
    <w:p w14:paraId="04889821" w14:textId="77777777" w:rsidR="007A4F8B" w:rsidRDefault="007A4F8B" w:rsidP="00750683">
      <w:r>
        <w:continuationSeparator/>
      </w:r>
    </w:p>
  </w:footnote>
  <w:footnote w:id="1">
    <w:p w14:paraId="28C4CF82" w14:textId="77777777" w:rsidR="00750683" w:rsidRDefault="00750683">
      <w:pPr>
        <w:pStyle w:val="Textonotapie"/>
        <w:rPr>
          <w:lang w:val="es-ES"/>
        </w:rPr>
      </w:pPr>
      <w:r>
        <w:rPr>
          <w:rStyle w:val="Refdenotaalpie"/>
        </w:rPr>
        <w:footnoteRef/>
      </w:r>
      <w:r>
        <w:t xml:space="preserve"> </w:t>
      </w:r>
      <w:r>
        <w:rPr>
          <w:lang w:val="es-ES"/>
        </w:rPr>
        <w:t xml:space="preserve">Disponible en: </w:t>
      </w:r>
    </w:p>
    <w:p w14:paraId="21597915" w14:textId="77777777" w:rsidR="00750683" w:rsidRDefault="00750683">
      <w:pPr>
        <w:pStyle w:val="Textonotapie"/>
        <w:rPr>
          <w:lang w:val="es-ES"/>
        </w:rPr>
      </w:pPr>
      <w:hyperlink r:id="rId1" w:history="1">
        <w:r w:rsidRPr="007C2B00">
          <w:rPr>
            <w:rStyle w:val="Hipervnculo"/>
            <w:lang w:val="es-ES"/>
          </w:rPr>
          <w:t>https://www.camara.cl/verDoc.aspx?prmID=343710&amp;prmTipo=DOCUMENTO_COMISION</w:t>
        </w:r>
      </w:hyperlink>
    </w:p>
    <w:p w14:paraId="0086DFB8" w14:textId="77777777" w:rsidR="00750683" w:rsidRPr="00750683" w:rsidRDefault="00750683">
      <w:pPr>
        <w:pStyle w:val="Textonotapie"/>
        <w:rPr>
          <w:lang w:val="es-ES"/>
        </w:rPr>
      </w:pPr>
      <w:hyperlink r:id="rId2" w:history="1">
        <w:r w:rsidRPr="007C2B00">
          <w:rPr>
            <w:rStyle w:val="Hipervnculo"/>
            <w:lang w:val="es-ES"/>
          </w:rPr>
          <w:t>https://www.camara.cl/verDoc.aspx?prmID=345842&amp;prmTipo=DOCUMENTO_COMISION</w:t>
        </w:r>
      </w:hyperlink>
      <w:r>
        <w:rPr>
          <w:lang w:val="es-ES"/>
        </w:rPr>
        <w:t xml:space="preserve"> </w:t>
      </w:r>
    </w:p>
  </w:footnote>
  <w:footnote w:id="2">
    <w:p w14:paraId="51413517" w14:textId="77777777" w:rsidR="008E64D7" w:rsidRPr="008E64D7" w:rsidRDefault="008E64D7">
      <w:pPr>
        <w:pStyle w:val="Textonotapie"/>
        <w:rPr>
          <w:lang w:val="es-ES"/>
        </w:rPr>
      </w:pPr>
      <w:r>
        <w:rPr>
          <w:rStyle w:val="Refdenotaalpie"/>
        </w:rPr>
        <w:footnoteRef/>
      </w:r>
      <w:r>
        <w:t xml:space="preserve"> </w:t>
      </w:r>
      <w:r>
        <w:rPr>
          <w:lang w:val="es-ES"/>
        </w:rPr>
        <w:t xml:space="preserve">Disponible en: </w:t>
      </w:r>
      <w:hyperlink r:id="rId3" w:history="1">
        <w:r w:rsidRPr="007C2B00">
          <w:rPr>
            <w:rStyle w:val="Hipervnculo"/>
            <w:lang w:val="es-ES"/>
          </w:rPr>
          <w:t>https://www.bcn.cl/leychile/navegar?idNorma=1162023</w:t>
        </w:r>
      </w:hyperlink>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345F4"/>
    <w:multiLevelType w:val="hybridMultilevel"/>
    <w:tmpl w:val="546AF364"/>
    <w:lvl w:ilvl="0" w:tplc="C970439E">
      <w:start w:val="1"/>
      <w:numFmt w:val="decimal"/>
      <w:lvlText w:val="%1."/>
      <w:lvlJc w:val="left"/>
      <w:pPr>
        <w:ind w:left="720" w:hanging="360"/>
      </w:pPr>
      <w:rPr>
        <w:rFonts w:ascii="Bookman Old Style" w:eastAsiaTheme="minorHAnsi" w:hAnsi="Bookman Old Styl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3B5A83"/>
    <w:multiLevelType w:val="hybridMultilevel"/>
    <w:tmpl w:val="19BEFBC6"/>
    <w:lvl w:ilvl="0" w:tplc="619647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827711"/>
    <w:multiLevelType w:val="hybridMultilevel"/>
    <w:tmpl w:val="6FF21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3530E5"/>
    <w:multiLevelType w:val="hybridMultilevel"/>
    <w:tmpl w:val="DBC0E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2316915">
    <w:abstractNumId w:val="1"/>
  </w:num>
  <w:num w:numId="2" w16cid:durableId="1420831060">
    <w:abstractNumId w:val="2"/>
  </w:num>
  <w:num w:numId="3" w16cid:durableId="1378092119">
    <w:abstractNumId w:val="0"/>
  </w:num>
  <w:num w:numId="4" w16cid:durableId="1035888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49"/>
    <w:rsid w:val="001B08FB"/>
    <w:rsid w:val="001F0F00"/>
    <w:rsid w:val="00256450"/>
    <w:rsid w:val="002E5E44"/>
    <w:rsid w:val="00460404"/>
    <w:rsid w:val="004E03CB"/>
    <w:rsid w:val="005227E1"/>
    <w:rsid w:val="0057788B"/>
    <w:rsid w:val="005B16B7"/>
    <w:rsid w:val="005D3333"/>
    <w:rsid w:val="006140BC"/>
    <w:rsid w:val="006B4F6E"/>
    <w:rsid w:val="006C14FD"/>
    <w:rsid w:val="0071592E"/>
    <w:rsid w:val="00750683"/>
    <w:rsid w:val="007A4F8B"/>
    <w:rsid w:val="007B0414"/>
    <w:rsid w:val="007B1E89"/>
    <w:rsid w:val="00866C36"/>
    <w:rsid w:val="0087093A"/>
    <w:rsid w:val="008E64D7"/>
    <w:rsid w:val="008F4F7A"/>
    <w:rsid w:val="00957AFE"/>
    <w:rsid w:val="009C2A61"/>
    <w:rsid w:val="00A2537D"/>
    <w:rsid w:val="00A276F7"/>
    <w:rsid w:val="00A36949"/>
    <w:rsid w:val="00A74504"/>
    <w:rsid w:val="00A92F02"/>
    <w:rsid w:val="00AB3004"/>
    <w:rsid w:val="00B056C6"/>
    <w:rsid w:val="00B16582"/>
    <w:rsid w:val="00B8268F"/>
    <w:rsid w:val="00C418D0"/>
    <w:rsid w:val="00C557C4"/>
    <w:rsid w:val="00C73825"/>
    <w:rsid w:val="00C83A7A"/>
    <w:rsid w:val="00D75C08"/>
    <w:rsid w:val="00DC3088"/>
    <w:rsid w:val="00EC2979"/>
    <w:rsid w:val="00FB2126"/>
    <w:rsid w:val="00FB2E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EFAB"/>
  <w15:chartTrackingRefBased/>
  <w15:docId w15:val="{B3107B45-AA93-2F41-B586-D84FB407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694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694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A36949"/>
    <w:pPr>
      <w:ind w:left="720"/>
      <w:contextualSpacing/>
    </w:pPr>
  </w:style>
  <w:style w:type="paragraph" w:styleId="Textonotapie">
    <w:name w:val="footnote text"/>
    <w:basedOn w:val="Normal"/>
    <w:link w:val="TextonotapieCar"/>
    <w:uiPriority w:val="99"/>
    <w:semiHidden/>
    <w:unhideWhenUsed/>
    <w:rsid w:val="00750683"/>
    <w:rPr>
      <w:sz w:val="20"/>
      <w:szCs w:val="20"/>
    </w:rPr>
  </w:style>
  <w:style w:type="character" w:customStyle="1" w:styleId="TextonotapieCar">
    <w:name w:val="Texto nota pie Car"/>
    <w:basedOn w:val="Fuentedeprrafopredeter"/>
    <w:link w:val="Textonotapie"/>
    <w:uiPriority w:val="99"/>
    <w:semiHidden/>
    <w:rsid w:val="00750683"/>
    <w:rPr>
      <w:sz w:val="20"/>
      <w:szCs w:val="20"/>
    </w:rPr>
  </w:style>
  <w:style w:type="character" w:styleId="Refdenotaalpie">
    <w:name w:val="footnote reference"/>
    <w:basedOn w:val="Fuentedeprrafopredeter"/>
    <w:uiPriority w:val="99"/>
    <w:semiHidden/>
    <w:unhideWhenUsed/>
    <w:rsid w:val="00750683"/>
    <w:rPr>
      <w:vertAlign w:val="superscript"/>
    </w:rPr>
  </w:style>
  <w:style w:type="character" w:styleId="Hipervnculo">
    <w:name w:val="Hyperlink"/>
    <w:basedOn w:val="Fuentedeprrafopredeter"/>
    <w:uiPriority w:val="99"/>
    <w:unhideWhenUsed/>
    <w:rsid w:val="00750683"/>
    <w:rPr>
      <w:color w:val="0563C1" w:themeColor="hyperlink"/>
      <w:u w:val="single"/>
    </w:rPr>
  </w:style>
  <w:style w:type="character" w:styleId="Mencinsinresolver">
    <w:name w:val="Unresolved Mention"/>
    <w:basedOn w:val="Fuentedeprrafopredeter"/>
    <w:uiPriority w:val="99"/>
    <w:semiHidden/>
    <w:unhideWhenUsed/>
    <w:rsid w:val="00750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00853">
      <w:bodyDiv w:val="1"/>
      <w:marLeft w:val="0"/>
      <w:marRight w:val="0"/>
      <w:marTop w:val="0"/>
      <w:marBottom w:val="0"/>
      <w:divBdr>
        <w:top w:val="none" w:sz="0" w:space="0" w:color="auto"/>
        <w:left w:val="none" w:sz="0" w:space="0" w:color="auto"/>
        <w:bottom w:val="none" w:sz="0" w:space="0" w:color="auto"/>
        <w:right w:val="none" w:sz="0" w:space="0" w:color="auto"/>
      </w:divBdr>
    </w:div>
    <w:div w:id="21176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cn.cl/leychile/navegar?idNorma=1162023" TargetMode="External"/><Relationship Id="rId2" Type="http://schemas.openxmlformats.org/officeDocument/2006/relationships/hyperlink" Target="https://www.camara.cl/verDoc.aspx?prmID=345842&amp;prmTipo=DOCUMENTO_COMISION" TargetMode="External"/><Relationship Id="rId1" Type="http://schemas.openxmlformats.org/officeDocument/2006/relationships/hyperlink" Target="https://www.camara.cl/verDoc.aspx?prmID=343710&amp;prmTipo=DOCUMENTO_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BB04-D846-7547-ACF7-B07828AD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848</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Guillermo Diaz Vallejos</cp:lastModifiedBy>
  <cp:revision>1</cp:revision>
  <dcterms:created xsi:type="dcterms:W3CDTF">2025-06-13T20:24:00Z</dcterms:created>
  <dcterms:modified xsi:type="dcterms:W3CDTF">2025-08-20T15:27:00Z</dcterms:modified>
</cp:coreProperties>
</file>