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C" w:rsidRPr="00000546" w:rsidRDefault="0003528C">
      <w:pPr>
        <w:pStyle w:val="Ttulo1"/>
        <w:rPr>
          <w:rFonts w:ascii="Arial" w:hAnsi="Arial" w:cs="Arial"/>
          <w:szCs w:val="24"/>
        </w:rPr>
      </w:pPr>
      <w:r w:rsidRPr="00000546">
        <w:rPr>
          <w:rFonts w:ascii="Arial" w:hAnsi="Arial" w:cs="Arial"/>
          <w:szCs w:val="24"/>
        </w:rPr>
        <w:t xml:space="preserve">Valparaíso, </w:t>
      </w:r>
      <w:r w:rsidR="00DC3C17">
        <w:rPr>
          <w:rFonts w:ascii="Arial" w:hAnsi="Arial" w:cs="Arial"/>
          <w:szCs w:val="24"/>
        </w:rPr>
        <w:t>21</w:t>
      </w:r>
      <w:r w:rsidR="007264FB" w:rsidRPr="00000546">
        <w:rPr>
          <w:rFonts w:ascii="Arial" w:hAnsi="Arial" w:cs="Arial"/>
          <w:szCs w:val="24"/>
        </w:rPr>
        <w:t xml:space="preserve"> </w:t>
      </w:r>
      <w:r w:rsidR="008C4480">
        <w:rPr>
          <w:rFonts w:ascii="Arial" w:hAnsi="Arial" w:cs="Arial"/>
          <w:szCs w:val="24"/>
        </w:rPr>
        <w:t xml:space="preserve">de </w:t>
      </w:r>
      <w:r w:rsidR="00DC3C17">
        <w:rPr>
          <w:rFonts w:ascii="Arial" w:hAnsi="Arial" w:cs="Arial"/>
          <w:szCs w:val="24"/>
        </w:rPr>
        <w:t>marzo</w:t>
      </w:r>
      <w:r w:rsidR="00CA4851" w:rsidRPr="00000546">
        <w:rPr>
          <w:rFonts w:ascii="Arial" w:hAnsi="Arial" w:cs="Arial"/>
          <w:szCs w:val="24"/>
        </w:rPr>
        <w:t xml:space="preserve"> de 201</w:t>
      </w:r>
      <w:r w:rsidR="00DC3C17">
        <w:rPr>
          <w:rFonts w:ascii="Arial" w:hAnsi="Arial" w:cs="Arial"/>
          <w:szCs w:val="24"/>
        </w:rPr>
        <w:t>7</w:t>
      </w:r>
      <w:r w:rsidR="005541F1" w:rsidRPr="00000546">
        <w:rPr>
          <w:rFonts w:ascii="Arial" w:hAnsi="Arial" w:cs="Arial"/>
          <w:szCs w:val="24"/>
        </w:rPr>
        <w:t>.</w:t>
      </w: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rsidP="00E0271F">
      <w:pPr>
        <w:tabs>
          <w:tab w:val="left" w:pos="851"/>
          <w:tab w:val="left" w:pos="3402"/>
        </w:tabs>
        <w:spacing w:line="360" w:lineRule="atLeast"/>
        <w:ind w:right="74"/>
        <w:jc w:val="both"/>
        <w:rPr>
          <w:rFonts w:ascii="Arial" w:hAnsi="Arial" w:cs="Arial"/>
          <w:sz w:val="24"/>
          <w:szCs w:val="24"/>
        </w:rPr>
      </w:pPr>
      <w:r w:rsidRPr="00000546">
        <w:rPr>
          <w:rFonts w:ascii="Arial" w:hAnsi="Arial" w:cs="Arial"/>
          <w:sz w:val="24"/>
          <w:szCs w:val="24"/>
        </w:rPr>
        <w:tab/>
        <w:t xml:space="preserve">El </w:t>
      </w:r>
      <w:r w:rsidRPr="00000546">
        <w:rPr>
          <w:rFonts w:ascii="Arial" w:hAnsi="Arial" w:cs="Arial"/>
          <w:spacing w:val="10"/>
          <w:sz w:val="24"/>
          <w:szCs w:val="24"/>
        </w:rPr>
        <w:t>Secretario de Comisiones</w:t>
      </w:r>
      <w:r w:rsidRPr="00000546">
        <w:rPr>
          <w:rFonts w:ascii="Arial" w:hAnsi="Arial" w:cs="Arial"/>
          <w:sz w:val="24"/>
          <w:szCs w:val="24"/>
        </w:rPr>
        <w:t xml:space="preserve"> que suscribe,</w:t>
      </w:r>
      <w:r w:rsidRPr="00000546">
        <w:rPr>
          <w:rFonts w:ascii="Arial" w:hAnsi="Arial" w:cs="Arial"/>
          <w:b/>
          <w:sz w:val="24"/>
          <w:szCs w:val="24"/>
        </w:rPr>
        <w:t xml:space="preserve"> </w:t>
      </w:r>
      <w:r w:rsidRPr="00000546">
        <w:rPr>
          <w:rFonts w:ascii="Arial" w:hAnsi="Arial" w:cs="Arial"/>
          <w:b/>
          <w:spacing w:val="20"/>
          <w:sz w:val="24"/>
          <w:szCs w:val="24"/>
        </w:rPr>
        <w:t>CERTIFICA</w:t>
      </w:r>
      <w:r w:rsidRPr="00000546">
        <w:rPr>
          <w:rFonts w:ascii="Arial" w:hAnsi="Arial" w:cs="Arial"/>
          <w:b/>
          <w:sz w:val="24"/>
          <w:szCs w:val="24"/>
        </w:rPr>
        <w:t>:</w:t>
      </w:r>
    </w:p>
    <w:p w:rsidR="0003528C" w:rsidRPr="00000546" w:rsidRDefault="0003528C" w:rsidP="00E0271F">
      <w:pPr>
        <w:tabs>
          <w:tab w:val="left" w:pos="851"/>
          <w:tab w:val="left" w:pos="3686"/>
        </w:tabs>
        <w:spacing w:line="360" w:lineRule="atLeast"/>
        <w:ind w:right="74"/>
        <w:jc w:val="both"/>
        <w:rPr>
          <w:rFonts w:ascii="Arial" w:hAnsi="Arial" w:cs="Arial"/>
          <w:sz w:val="24"/>
          <w:szCs w:val="24"/>
        </w:rPr>
      </w:pPr>
    </w:p>
    <w:p w:rsidR="009523A2" w:rsidRDefault="005541F1" w:rsidP="006B33E8">
      <w:pPr>
        <w:tabs>
          <w:tab w:val="left" w:pos="851"/>
          <w:tab w:val="left" w:pos="3402"/>
        </w:tabs>
        <w:spacing w:line="360" w:lineRule="atLeast"/>
        <w:ind w:right="51"/>
        <w:jc w:val="both"/>
        <w:rPr>
          <w:rFonts w:ascii="Arial" w:hAnsi="Arial" w:cs="Arial"/>
          <w:sz w:val="24"/>
          <w:szCs w:val="24"/>
        </w:rPr>
      </w:pPr>
      <w:r w:rsidRPr="00000546">
        <w:rPr>
          <w:rFonts w:ascii="Arial" w:hAnsi="Arial" w:cs="Arial"/>
          <w:sz w:val="24"/>
          <w:szCs w:val="24"/>
        </w:rPr>
        <w:tab/>
      </w:r>
      <w:r w:rsidR="009523A2" w:rsidRPr="00000546">
        <w:rPr>
          <w:rFonts w:ascii="Arial" w:hAnsi="Arial" w:cs="Arial"/>
          <w:sz w:val="24"/>
          <w:szCs w:val="24"/>
        </w:rPr>
        <w:t xml:space="preserve">1.- </w:t>
      </w:r>
      <w:r w:rsidRPr="00000546">
        <w:rPr>
          <w:rFonts w:ascii="Arial" w:hAnsi="Arial" w:cs="Arial"/>
          <w:sz w:val="24"/>
          <w:szCs w:val="24"/>
        </w:rPr>
        <w:t>Que e</w:t>
      </w:r>
      <w:r w:rsidR="0003528C" w:rsidRPr="00000546">
        <w:rPr>
          <w:rFonts w:ascii="Arial" w:hAnsi="Arial" w:cs="Arial"/>
          <w:sz w:val="24"/>
          <w:szCs w:val="24"/>
        </w:rPr>
        <w:t xml:space="preserve">l proyecto </w:t>
      </w:r>
      <w:r w:rsidR="009846C0" w:rsidRPr="00000546">
        <w:rPr>
          <w:rFonts w:ascii="Arial" w:hAnsi="Arial" w:cs="Arial"/>
          <w:sz w:val="24"/>
          <w:szCs w:val="24"/>
        </w:rPr>
        <w:t>de</w:t>
      </w:r>
      <w:r w:rsidR="00B43C9A" w:rsidRPr="00000546">
        <w:rPr>
          <w:rFonts w:ascii="Arial" w:hAnsi="Arial" w:cs="Arial"/>
          <w:sz w:val="24"/>
          <w:szCs w:val="24"/>
        </w:rPr>
        <w:t xml:space="preserve"> ley </w:t>
      </w:r>
      <w:r w:rsidR="00E92F59">
        <w:rPr>
          <w:rFonts w:ascii="Arial" w:hAnsi="Arial" w:cs="Arial"/>
          <w:sz w:val="24"/>
          <w:szCs w:val="24"/>
        </w:rPr>
        <w:t xml:space="preserve">es </w:t>
      </w:r>
      <w:r w:rsidR="00B43C9A" w:rsidRPr="00000546">
        <w:rPr>
          <w:rFonts w:ascii="Arial" w:hAnsi="Arial" w:cs="Arial"/>
          <w:sz w:val="24"/>
          <w:szCs w:val="24"/>
        </w:rPr>
        <w:t>originado en un m</w:t>
      </w:r>
      <w:r w:rsidR="006D4D78" w:rsidRPr="00000546">
        <w:rPr>
          <w:rFonts w:ascii="Arial" w:hAnsi="Arial" w:cs="Arial"/>
          <w:sz w:val="24"/>
          <w:szCs w:val="24"/>
        </w:rPr>
        <w:t>ensaje de S.E</w:t>
      </w:r>
      <w:r w:rsidR="00C640DB" w:rsidRPr="00000546">
        <w:rPr>
          <w:rFonts w:ascii="Arial" w:hAnsi="Arial" w:cs="Arial"/>
          <w:sz w:val="24"/>
          <w:szCs w:val="24"/>
        </w:rPr>
        <w:t>.</w:t>
      </w:r>
      <w:r w:rsidR="006D4D78" w:rsidRPr="00000546">
        <w:rPr>
          <w:rFonts w:ascii="Arial" w:hAnsi="Arial" w:cs="Arial"/>
          <w:sz w:val="24"/>
          <w:szCs w:val="24"/>
        </w:rPr>
        <w:t xml:space="preserve"> </w:t>
      </w:r>
      <w:r w:rsidR="007238C0" w:rsidRPr="00000546">
        <w:rPr>
          <w:rFonts w:ascii="Arial" w:hAnsi="Arial" w:cs="Arial"/>
          <w:sz w:val="24"/>
          <w:szCs w:val="24"/>
        </w:rPr>
        <w:t>l</w:t>
      </w:r>
      <w:r w:rsidR="00A10552" w:rsidRPr="00000546">
        <w:rPr>
          <w:rFonts w:ascii="Arial" w:hAnsi="Arial" w:cs="Arial"/>
          <w:sz w:val="24"/>
          <w:szCs w:val="24"/>
        </w:rPr>
        <w:t>a</w:t>
      </w:r>
      <w:r w:rsidR="006D4D78" w:rsidRPr="00000546">
        <w:rPr>
          <w:rFonts w:ascii="Arial" w:hAnsi="Arial" w:cs="Arial"/>
          <w:sz w:val="24"/>
          <w:szCs w:val="24"/>
        </w:rPr>
        <w:t xml:space="preserve"> President</w:t>
      </w:r>
      <w:r w:rsidR="00A10552" w:rsidRPr="00000546">
        <w:rPr>
          <w:rFonts w:ascii="Arial" w:hAnsi="Arial" w:cs="Arial"/>
          <w:sz w:val="24"/>
          <w:szCs w:val="24"/>
        </w:rPr>
        <w:t>a</w:t>
      </w:r>
      <w:r w:rsidR="006D4D78" w:rsidRPr="00000546">
        <w:rPr>
          <w:rFonts w:ascii="Arial" w:hAnsi="Arial" w:cs="Arial"/>
          <w:sz w:val="24"/>
          <w:szCs w:val="24"/>
        </w:rPr>
        <w:t xml:space="preserve"> de la República </w:t>
      </w:r>
      <w:r w:rsidR="00DC3C17" w:rsidRPr="00682A78">
        <w:rPr>
          <w:rFonts w:ascii="Arial" w:hAnsi="Arial" w:cs="Arial"/>
          <w:b/>
          <w:sz w:val="22"/>
          <w:szCs w:val="22"/>
        </w:rPr>
        <w:t xml:space="preserve">QUE EXTIENDE Y MODIFICA LA COTIZACIÓN EXTRAORDINARIA PARA EL SEGURO SOCIAL CONTRA RIESGOS DE ACCIDENTES DEL TRABAJO Y ENFERMEDADES PROFESIONALES, Y CREA EL FONDO QUE FINANCIARÁ EL SEGURO PARA EL ACOMPAÑAMIENTO DE LOS NIÑOS Y NIÑAS QUE INDICA  (Boletín Nº 11.161-13 ), </w:t>
      </w:r>
      <w:r w:rsidR="00E57118" w:rsidRPr="00000546">
        <w:rPr>
          <w:rFonts w:ascii="Arial" w:hAnsi="Arial" w:cs="Arial"/>
          <w:sz w:val="24"/>
          <w:szCs w:val="24"/>
        </w:rPr>
        <w:t xml:space="preserve">con urgencia calificada de </w:t>
      </w:r>
      <w:r w:rsidR="00E57118" w:rsidRPr="0074086D">
        <w:rPr>
          <w:rFonts w:ascii="Arial" w:hAnsi="Arial" w:cs="Arial"/>
          <w:b/>
          <w:sz w:val="24"/>
          <w:szCs w:val="24"/>
        </w:rPr>
        <w:t>"discusión inmediata",</w:t>
      </w:r>
      <w:r w:rsidR="00E57118" w:rsidRPr="00000546">
        <w:rPr>
          <w:rFonts w:ascii="Arial" w:hAnsi="Arial" w:cs="Arial"/>
          <w:sz w:val="24"/>
          <w:szCs w:val="24"/>
        </w:rPr>
        <w:t xml:space="preserve"> </w:t>
      </w:r>
      <w:r w:rsidRPr="00000546">
        <w:rPr>
          <w:rFonts w:ascii="Arial" w:hAnsi="Arial" w:cs="Arial"/>
          <w:sz w:val="24"/>
          <w:szCs w:val="24"/>
        </w:rPr>
        <w:t>fue tratado en</w:t>
      </w:r>
      <w:r w:rsidR="0003528C" w:rsidRPr="00000546">
        <w:rPr>
          <w:rFonts w:ascii="Arial" w:hAnsi="Arial" w:cs="Arial"/>
          <w:sz w:val="24"/>
          <w:szCs w:val="24"/>
        </w:rPr>
        <w:t xml:space="preserve"> esta Comisión</w:t>
      </w:r>
      <w:r w:rsidR="009523A2" w:rsidRPr="00000546">
        <w:rPr>
          <w:rFonts w:ascii="Arial" w:hAnsi="Arial" w:cs="Arial"/>
          <w:sz w:val="24"/>
          <w:szCs w:val="24"/>
        </w:rPr>
        <w:t xml:space="preserve"> </w:t>
      </w:r>
      <w:r w:rsidR="005F00F0" w:rsidRPr="00000546">
        <w:rPr>
          <w:rFonts w:ascii="Arial" w:hAnsi="Arial" w:cs="Arial"/>
          <w:sz w:val="24"/>
          <w:szCs w:val="24"/>
        </w:rPr>
        <w:t xml:space="preserve">en </w:t>
      </w:r>
      <w:r w:rsidR="009523A2" w:rsidRPr="00000546">
        <w:rPr>
          <w:rFonts w:ascii="Arial" w:hAnsi="Arial" w:cs="Arial"/>
          <w:sz w:val="24"/>
          <w:szCs w:val="24"/>
        </w:rPr>
        <w:t>sesión</w:t>
      </w:r>
      <w:r w:rsidR="004F4389" w:rsidRPr="00000546">
        <w:rPr>
          <w:rFonts w:ascii="Arial" w:hAnsi="Arial" w:cs="Arial"/>
          <w:sz w:val="24"/>
          <w:szCs w:val="24"/>
        </w:rPr>
        <w:t xml:space="preserve"> de fecha</w:t>
      </w:r>
      <w:r w:rsidR="00A10552" w:rsidRPr="00000546">
        <w:rPr>
          <w:rFonts w:ascii="Arial" w:hAnsi="Arial" w:cs="Arial"/>
          <w:sz w:val="24"/>
          <w:szCs w:val="24"/>
        </w:rPr>
        <w:t xml:space="preserve"> </w:t>
      </w:r>
      <w:r w:rsidR="00DC3C17">
        <w:rPr>
          <w:rFonts w:ascii="Arial" w:hAnsi="Arial" w:cs="Arial"/>
          <w:sz w:val="24"/>
          <w:szCs w:val="24"/>
        </w:rPr>
        <w:t>21</w:t>
      </w:r>
      <w:r w:rsidR="00EA45CC" w:rsidRPr="00000546">
        <w:rPr>
          <w:rFonts w:ascii="Arial" w:hAnsi="Arial" w:cs="Arial"/>
          <w:sz w:val="24"/>
          <w:szCs w:val="24"/>
        </w:rPr>
        <w:t xml:space="preserve"> </w:t>
      </w:r>
      <w:r w:rsidR="004F4389" w:rsidRPr="00000546">
        <w:rPr>
          <w:rFonts w:ascii="Arial" w:hAnsi="Arial" w:cs="Arial"/>
          <w:sz w:val="24"/>
          <w:szCs w:val="24"/>
        </w:rPr>
        <w:t xml:space="preserve">de </w:t>
      </w:r>
      <w:r w:rsidR="00DC3C17">
        <w:rPr>
          <w:rFonts w:ascii="Arial" w:hAnsi="Arial" w:cs="Arial"/>
          <w:sz w:val="24"/>
          <w:szCs w:val="24"/>
        </w:rPr>
        <w:t xml:space="preserve">marzo </w:t>
      </w:r>
      <w:r w:rsidR="004F4389" w:rsidRPr="00000546">
        <w:rPr>
          <w:rFonts w:ascii="Arial" w:hAnsi="Arial" w:cs="Arial"/>
          <w:sz w:val="24"/>
          <w:szCs w:val="24"/>
        </w:rPr>
        <w:t xml:space="preserve"> de 201</w:t>
      </w:r>
      <w:r w:rsidR="00DC3C17">
        <w:rPr>
          <w:rFonts w:ascii="Arial" w:hAnsi="Arial" w:cs="Arial"/>
          <w:sz w:val="24"/>
          <w:szCs w:val="24"/>
        </w:rPr>
        <w:t>7</w:t>
      </w:r>
      <w:r w:rsidR="004F4389" w:rsidRPr="00000546">
        <w:rPr>
          <w:rFonts w:ascii="Arial" w:hAnsi="Arial" w:cs="Arial"/>
          <w:sz w:val="24"/>
          <w:szCs w:val="24"/>
        </w:rPr>
        <w:t xml:space="preserve">, </w:t>
      </w:r>
      <w:r w:rsidR="00FE6E30" w:rsidRPr="00000546">
        <w:rPr>
          <w:rFonts w:ascii="Arial" w:hAnsi="Arial" w:cs="Arial"/>
          <w:sz w:val="24"/>
          <w:szCs w:val="24"/>
        </w:rPr>
        <w:t>con la asistencia de los</w:t>
      </w:r>
      <w:r w:rsidR="0003528C" w:rsidRPr="00000546">
        <w:rPr>
          <w:rFonts w:ascii="Arial" w:hAnsi="Arial" w:cs="Arial"/>
          <w:sz w:val="24"/>
          <w:szCs w:val="24"/>
        </w:rPr>
        <w:t xml:space="preserve"> Diputados señores</w:t>
      </w:r>
      <w:r w:rsidR="00F94C24" w:rsidRPr="00000546">
        <w:rPr>
          <w:rFonts w:ascii="Arial" w:hAnsi="Arial" w:cs="Arial"/>
          <w:sz w:val="24"/>
          <w:szCs w:val="24"/>
        </w:rPr>
        <w:t xml:space="preserve"> </w:t>
      </w:r>
      <w:r w:rsidR="00DC3C17">
        <w:rPr>
          <w:rFonts w:ascii="Arial" w:hAnsi="Arial" w:cs="Arial"/>
          <w:sz w:val="24"/>
          <w:szCs w:val="24"/>
        </w:rPr>
        <w:t>José Miguel Ortiz</w:t>
      </w:r>
      <w:r w:rsidR="00EF67A0" w:rsidRPr="00000546">
        <w:rPr>
          <w:rFonts w:ascii="Arial" w:hAnsi="Arial" w:cs="Arial"/>
          <w:sz w:val="24"/>
          <w:szCs w:val="24"/>
        </w:rPr>
        <w:t xml:space="preserve"> </w:t>
      </w:r>
      <w:r w:rsidR="00F94C24" w:rsidRPr="00000546">
        <w:rPr>
          <w:rFonts w:ascii="Arial" w:hAnsi="Arial" w:cs="Arial"/>
          <w:sz w:val="24"/>
          <w:szCs w:val="24"/>
        </w:rPr>
        <w:t>(Presidente)</w:t>
      </w:r>
      <w:r w:rsidR="00357F78">
        <w:rPr>
          <w:rFonts w:ascii="Arial" w:hAnsi="Arial" w:cs="Arial"/>
          <w:sz w:val="24"/>
          <w:szCs w:val="24"/>
        </w:rPr>
        <w:t>;</w:t>
      </w:r>
      <w:r w:rsidR="00E26E1D">
        <w:rPr>
          <w:rFonts w:ascii="Arial" w:hAnsi="Arial" w:cs="Arial"/>
          <w:sz w:val="24"/>
          <w:szCs w:val="24"/>
        </w:rPr>
        <w:t xml:space="preserve"> </w:t>
      </w:r>
      <w:r w:rsidR="006B33E8" w:rsidRPr="006B33E8">
        <w:rPr>
          <w:rFonts w:ascii="Arial" w:hAnsi="Arial" w:cs="Arial"/>
          <w:sz w:val="24"/>
          <w:szCs w:val="24"/>
        </w:rPr>
        <w:t>Pepe Auth; Sergio Aguiló; Felipe De Mussy; Roberto León; Enrique Jaramillo; Pablo Lorenzini; Javier Macaya; Patricio Melero; Manuel Monsalve; Alejandro Santana; Marcelo Schilling; y, la Diputada María José Hoffmann (</w:t>
      </w:r>
      <w:r w:rsidR="006B33E8">
        <w:rPr>
          <w:rFonts w:ascii="Arial" w:hAnsi="Arial" w:cs="Arial"/>
          <w:sz w:val="24"/>
          <w:szCs w:val="24"/>
        </w:rPr>
        <w:t>en reemplazo</w:t>
      </w:r>
      <w:r w:rsidR="006B33E8" w:rsidRPr="006B33E8">
        <w:rPr>
          <w:rFonts w:ascii="Arial" w:hAnsi="Arial" w:cs="Arial"/>
          <w:sz w:val="24"/>
          <w:szCs w:val="24"/>
        </w:rPr>
        <w:t xml:space="preserve"> </w:t>
      </w:r>
      <w:r w:rsidR="006B33E8">
        <w:rPr>
          <w:rFonts w:ascii="Arial" w:hAnsi="Arial" w:cs="Arial"/>
          <w:sz w:val="24"/>
          <w:szCs w:val="24"/>
        </w:rPr>
        <w:t>d</w:t>
      </w:r>
      <w:r w:rsidR="006B33E8" w:rsidRPr="006B33E8">
        <w:rPr>
          <w:rFonts w:ascii="Arial" w:hAnsi="Arial" w:cs="Arial"/>
          <w:sz w:val="24"/>
          <w:szCs w:val="24"/>
        </w:rPr>
        <w:t>el señor Ernesto Silva).</w:t>
      </w:r>
    </w:p>
    <w:p w:rsidR="006B33E8" w:rsidRPr="00000546" w:rsidRDefault="006B33E8" w:rsidP="006B33E8">
      <w:pPr>
        <w:tabs>
          <w:tab w:val="left" w:pos="851"/>
          <w:tab w:val="left" w:pos="3402"/>
        </w:tabs>
        <w:spacing w:line="360" w:lineRule="atLeast"/>
        <w:ind w:right="51"/>
        <w:jc w:val="both"/>
        <w:rPr>
          <w:rFonts w:ascii="Arial" w:hAnsi="Arial" w:cs="Arial"/>
          <w:sz w:val="24"/>
          <w:szCs w:val="24"/>
        </w:rPr>
      </w:pPr>
    </w:p>
    <w:p w:rsidR="00BD1821" w:rsidRPr="00BD1821" w:rsidRDefault="009523A2" w:rsidP="00BD1821">
      <w:pPr>
        <w:spacing w:line="360" w:lineRule="atLeast"/>
        <w:ind w:right="51"/>
        <w:jc w:val="both"/>
        <w:rPr>
          <w:rFonts w:ascii="Arial" w:hAnsi="Arial" w:cs="Arial"/>
          <w:sz w:val="24"/>
          <w:szCs w:val="24"/>
        </w:rPr>
      </w:pPr>
      <w:r w:rsidRPr="00000546">
        <w:rPr>
          <w:rFonts w:ascii="Arial" w:hAnsi="Arial" w:cs="Arial"/>
          <w:sz w:val="24"/>
          <w:szCs w:val="24"/>
        </w:rPr>
        <w:tab/>
      </w:r>
      <w:r w:rsidR="00BD1821" w:rsidRPr="00BD1821">
        <w:rPr>
          <w:rFonts w:ascii="Arial" w:hAnsi="Arial" w:cs="Arial"/>
          <w:sz w:val="24"/>
          <w:szCs w:val="24"/>
        </w:rPr>
        <w:t>Las intervenciones de los invitados, así como los planteamientos de los señores Diputados constan en las actas respectivas.</w:t>
      </w:r>
    </w:p>
    <w:p w:rsidR="00BD1821" w:rsidRPr="00BD1821" w:rsidRDefault="00BD1821" w:rsidP="00BD1821">
      <w:pPr>
        <w:tabs>
          <w:tab w:val="left" w:pos="851"/>
        </w:tabs>
        <w:spacing w:line="360" w:lineRule="atLeast"/>
        <w:ind w:right="51"/>
        <w:jc w:val="both"/>
        <w:rPr>
          <w:rFonts w:ascii="Arial" w:hAnsi="Arial" w:cs="Arial"/>
          <w:sz w:val="24"/>
          <w:szCs w:val="24"/>
        </w:rPr>
      </w:pPr>
    </w:p>
    <w:p w:rsidR="00BD1821" w:rsidRPr="00BD1821" w:rsidRDefault="00BD1821" w:rsidP="00BD1821">
      <w:pPr>
        <w:spacing w:line="360" w:lineRule="atLeast"/>
        <w:ind w:right="51"/>
        <w:jc w:val="both"/>
        <w:rPr>
          <w:rFonts w:ascii="Arial" w:hAnsi="Arial" w:cs="Arial"/>
          <w:sz w:val="24"/>
          <w:szCs w:val="24"/>
        </w:rPr>
      </w:pPr>
      <w:r w:rsidRPr="00BD1821">
        <w:rPr>
          <w:rFonts w:ascii="Arial" w:hAnsi="Arial" w:cs="Arial"/>
          <w:sz w:val="24"/>
          <w:szCs w:val="24"/>
        </w:rPr>
        <w:tab/>
      </w:r>
      <w:r>
        <w:rPr>
          <w:rFonts w:ascii="Arial" w:hAnsi="Arial" w:cs="Arial"/>
          <w:sz w:val="24"/>
          <w:szCs w:val="24"/>
        </w:rPr>
        <w:t xml:space="preserve">Se hace presente que el artículo 2° del proyecto, debe ser aprobado con quórum calificado, por cuanto de tal manera fue aprobado </w:t>
      </w:r>
      <w:r w:rsidR="00E92F59">
        <w:rPr>
          <w:rFonts w:ascii="Arial" w:hAnsi="Arial" w:cs="Arial"/>
          <w:sz w:val="24"/>
          <w:szCs w:val="24"/>
        </w:rPr>
        <w:t xml:space="preserve">en su oportunidad </w:t>
      </w:r>
      <w:r>
        <w:rPr>
          <w:rFonts w:ascii="Arial" w:hAnsi="Arial" w:cs="Arial"/>
          <w:sz w:val="24"/>
          <w:szCs w:val="24"/>
        </w:rPr>
        <w:t>el artículo que modifica</w:t>
      </w:r>
      <w:r w:rsidRPr="00BD1821">
        <w:rPr>
          <w:rFonts w:ascii="Arial" w:hAnsi="Arial" w:cs="Arial"/>
          <w:sz w:val="24"/>
          <w:szCs w:val="24"/>
        </w:rPr>
        <w:t>.</w:t>
      </w:r>
    </w:p>
    <w:p w:rsidR="00BD1821" w:rsidRPr="00BD1821" w:rsidRDefault="00BD1821" w:rsidP="00BD1821">
      <w:pPr>
        <w:spacing w:line="360" w:lineRule="atLeast"/>
        <w:ind w:right="51"/>
        <w:jc w:val="both"/>
        <w:rPr>
          <w:rFonts w:ascii="Arial" w:hAnsi="Arial" w:cs="Arial"/>
          <w:sz w:val="24"/>
          <w:szCs w:val="24"/>
        </w:rPr>
      </w:pP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BD1821">
      <w:pPr>
        <w:tabs>
          <w:tab w:val="left" w:pos="851"/>
        </w:tabs>
        <w:spacing w:line="360" w:lineRule="atLeast"/>
        <w:ind w:right="51"/>
        <w:jc w:val="both"/>
        <w:rPr>
          <w:rFonts w:ascii="Arial" w:hAnsi="Arial" w:cs="Arial"/>
          <w:sz w:val="24"/>
          <w:szCs w:val="24"/>
        </w:rPr>
      </w:pPr>
      <w:r w:rsidRPr="00000546">
        <w:rPr>
          <w:rFonts w:ascii="Arial" w:hAnsi="Arial" w:cs="Arial"/>
          <w:sz w:val="24"/>
          <w:szCs w:val="24"/>
        </w:rPr>
        <w:tab/>
        <w:t xml:space="preserve">Se designó Diputado Informante al señor </w:t>
      </w:r>
      <w:r w:rsidR="006B33E8">
        <w:rPr>
          <w:rFonts w:ascii="Arial" w:hAnsi="Arial" w:cs="Arial"/>
          <w:b/>
          <w:sz w:val="24"/>
          <w:szCs w:val="24"/>
        </w:rPr>
        <w:t>Pepe Auth.</w:t>
      </w:r>
    </w:p>
    <w:p w:rsidR="00F61ABD" w:rsidRPr="00000546" w:rsidRDefault="00966E5D" w:rsidP="0070544F">
      <w:pPr>
        <w:tabs>
          <w:tab w:val="left" w:pos="3402"/>
        </w:tabs>
        <w:spacing w:line="360" w:lineRule="atLeast"/>
        <w:ind w:right="51"/>
        <w:jc w:val="both"/>
        <w:rPr>
          <w:rFonts w:ascii="Arial" w:hAnsi="Arial" w:cs="Arial"/>
          <w:sz w:val="24"/>
          <w:szCs w:val="24"/>
        </w:rPr>
      </w:pPr>
      <w:r w:rsidRPr="00000546">
        <w:rPr>
          <w:rFonts w:ascii="Arial" w:hAnsi="Arial" w:cs="Arial"/>
          <w:sz w:val="24"/>
          <w:szCs w:val="24"/>
        </w:rPr>
        <w:tab/>
      </w:r>
    </w:p>
    <w:p w:rsidR="008C4480" w:rsidRDefault="00CA4D29" w:rsidP="00E0271F">
      <w:pPr>
        <w:tabs>
          <w:tab w:val="left" w:pos="851"/>
          <w:tab w:val="left" w:pos="1134"/>
        </w:tabs>
        <w:spacing w:line="360" w:lineRule="atLeast"/>
        <w:ind w:right="51"/>
        <w:jc w:val="both"/>
        <w:rPr>
          <w:rFonts w:ascii="Arial" w:hAnsi="Arial" w:cs="Arial"/>
          <w:sz w:val="24"/>
          <w:szCs w:val="24"/>
        </w:rPr>
      </w:pPr>
      <w:r w:rsidRPr="00000546">
        <w:rPr>
          <w:rFonts w:ascii="Arial" w:hAnsi="Arial" w:cs="Arial"/>
          <w:sz w:val="24"/>
          <w:szCs w:val="24"/>
        </w:rPr>
        <w:tab/>
      </w:r>
      <w:r w:rsidR="00633529" w:rsidRPr="00000546">
        <w:rPr>
          <w:rFonts w:ascii="Arial" w:hAnsi="Arial" w:cs="Arial"/>
          <w:sz w:val="24"/>
          <w:szCs w:val="24"/>
        </w:rPr>
        <w:t>Asisti</w:t>
      </w:r>
      <w:r w:rsidR="00CA34D2" w:rsidRPr="00000546">
        <w:rPr>
          <w:rFonts w:ascii="Arial" w:hAnsi="Arial" w:cs="Arial"/>
          <w:sz w:val="24"/>
          <w:szCs w:val="24"/>
        </w:rPr>
        <w:t>eron</w:t>
      </w:r>
      <w:r w:rsidR="004178C8" w:rsidRPr="00000546">
        <w:rPr>
          <w:rFonts w:ascii="Arial" w:hAnsi="Arial" w:cs="Arial"/>
          <w:sz w:val="24"/>
          <w:szCs w:val="24"/>
        </w:rPr>
        <w:t xml:space="preserve"> </w:t>
      </w:r>
      <w:r w:rsidR="00633529" w:rsidRPr="00000546">
        <w:rPr>
          <w:rFonts w:ascii="Arial" w:hAnsi="Arial" w:cs="Arial"/>
          <w:sz w:val="24"/>
          <w:szCs w:val="24"/>
        </w:rPr>
        <w:t>a la</w:t>
      </w:r>
      <w:r w:rsidR="0070544F" w:rsidRPr="00000546">
        <w:rPr>
          <w:rFonts w:ascii="Arial" w:hAnsi="Arial" w:cs="Arial"/>
          <w:sz w:val="24"/>
          <w:szCs w:val="24"/>
        </w:rPr>
        <w:t xml:space="preserve"> Comisión durante el estudio de la inici</w:t>
      </w:r>
      <w:r w:rsidR="005F5458" w:rsidRPr="00000546">
        <w:rPr>
          <w:rFonts w:ascii="Arial" w:hAnsi="Arial" w:cs="Arial"/>
          <w:sz w:val="24"/>
          <w:szCs w:val="24"/>
        </w:rPr>
        <w:t>a</w:t>
      </w:r>
      <w:r w:rsidR="0070544F" w:rsidRPr="00000546">
        <w:rPr>
          <w:rFonts w:ascii="Arial" w:hAnsi="Arial" w:cs="Arial"/>
          <w:sz w:val="24"/>
          <w:szCs w:val="24"/>
        </w:rPr>
        <w:t>tiva</w:t>
      </w:r>
      <w:r w:rsidR="008C4480">
        <w:rPr>
          <w:rFonts w:ascii="Arial" w:hAnsi="Arial" w:cs="Arial"/>
          <w:sz w:val="24"/>
          <w:szCs w:val="24"/>
        </w:rPr>
        <w:t>:</w:t>
      </w:r>
    </w:p>
    <w:p w:rsidR="00357F78" w:rsidRPr="003450B5" w:rsidRDefault="00357F78" w:rsidP="00E0271F">
      <w:pPr>
        <w:tabs>
          <w:tab w:val="left" w:pos="851"/>
          <w:tab w:val="left" w:pos="2268"/>
        </w:tabs>
        <w:ind w:firstLine="567"/>
        <w:jc w:val="both"/>
        <w:rPr>
          <w:rFonts w:ascii="Arial" w:hAnsi="Arial" w:cs="Arial"/>
          <w:sz w:val="24"/>
          <w:szCs w:val="24"/>
        </w:rPr>
      </w:pPr>
    </w:p>
    <w:p w:rsidR="00CF18B9" w:rsidRDefault="00CF18B9" w:rsidP="00E0271F">
      <w:pPr>
        <w:pStyle w:val="Prrafodelista"/>
        <w:numPr>
          <w:ilvl w:val="0"/>
          <w:numId w:val="15"/>
        </w:numPr>
        <w:tabs>
          <w:tab w:val="left" w:pos="851"/>
          <w:tab w:val="left" w:pos="3402"/>
        </w:tabs>
        <w:spacing w:line="360" w:lineRule="atLeast"/>
        <w:ind w:right="51"/>
        <w:jc w:val="both"/>
        <w:rPr>
          <w:rFonts w:ascii="Arial" w:hAnsi="Arial" w:cs="Arial"/>
          <w:sz w:val="24"/>
          <w:szCs w:val="24"/>
        </w:rPr>
      </w:pPr>
      <w:r w:rsidRPr="00CF18B9">
        <w:rPr>
          <w:rFonts w:ascii="Arial" w:hAnsi="Arial" w:cs="Arial"/>
          <w:sz w:val="24"/>
          <w:szCs w:val="24"/>
        </w:rPr>
        <w:t>El Ministro de Hacienda, señor Rodrigo Valdés</w:t>
      </w:r>
    </w:p>
    <w:p w:rsidR="00E4471D" w:rsidRPr="00CF18B9" w:rsidRDefault="00CF18B9" w:rsidP="00E0271F">
      <w:pPr>
        <w:pStyle w:val="Prrafodelista"/>
        <w:numPr>
          <w:ilvl w:val="0"/>
          <w:numId w:val="15"/>
        </w:numPr>
        <w:tabs>
          <w:tab w:val="left" w:pos="851"/>
          <w:tab w:val="left" w:pos="3402"/>
        </w:tabs>
        <w:spacing w:line="360" w:lineRule="atLeast"/>
        <w:ind w:right="51"/>
        <w:jc w:val="both"/>
        <w:rPr>
          <w:rFonts w:ascii="Arial" w:hAnsi="Arial" w:cs="Arial"/>
          <w:sz w:val="24"/>
          <w:szCs w:val="24"/>
        </w:rPr>
      </w:pPr>
      <w:r>
        <w:rPr>
          <w:rFonts w:ascii="Arial" w:hAnsi="Arial" w:cs="Arial"/>
          <w:sz w:val="24"/>
          <w:szCs w:val="24"/>
        </w:rPr>
        <w:t>La Asesora legislativa, señora Macarena Lobos</w:t>
      </w:r>
      <w:r w:rsidR="009B331A">
        <w:rPr>
          <w:rFonts w:ascii="Arial" w:hAnsi="Arial" w:cs="Arial"/>
          <w:sz w:val="24"/>
          <w:szCs w:val="24"/>
        </w:rPr>
        <w:t>.</w:t>
      </w:r>
    </w:p>
    <w:p w:rsidR="00CF18B9" w:rsidRPr="00CF18B9" w:rsidRDefault="00CF18B9" w:rsidP="00E0271F">
      <w:pPr>
        <w:pStyle w:val="Prrafodelista"/>
        <w:numPr>
          <w:ilvl w:val="0"/>
          <w:numId w:val="15"/>
        </w:numPr>
        <w:tabs>
          <w:tab w:val="left" w:pos="851"/>
          <w:tab w:val="left" w:pos="3402"/>
        </w:tabs>
        <w:spacing w:line="360" w:lineRule="atLeast"/>
        <w:ind w:right="51"/>
        <w:jc w:val="both"/>
        <w:rPr>
          <w:rFonts w:ascii="Arial" w:hAnsi="Arial" w:cs="Arial"/>
          <w:sz w:val="24"/>
          <w:szCs w:val="24"/>
        </w:rPr>
      </w:pPr>
      <w:r w:rsidRPr="00CF18B9">
        <w:rPr>
          <w:rFonts w:ascii="Arial" w:hAnsi="Arial" w:cs="Arial"/>
          <w:sz w:val="24"/>
          <w:szCs w:val="24"/>
        </w:rPr>
        <w:t xml:space="preserve">La Ministra del Trabajo y Previsión Social, señora Alejandra </w:t>
      </w:r>
      <w:proofErr w:type="spellStart"/>
      <w:r w:rsidRPr="00CF18B9">
        <w:rPr>
          <w:rFonts w:ascii="Arial" w:hAnsi="Arial" w:cs="Arial"/>
          <w:sz w:val="24"/>
          <w:szCs w:val="24"/>
        </w:rPr>
        <w:t>Krauss</w:t>
      </w:r>
      <w:proofErr w:type="spellEnd"/>
      <w:r w:rsidRPr="00CF18B9">
        <w:rPr>
          <w:rFonts w:ascii="Arial" w:hAnsi="Arial" w:cs="Arial"/>
          <w:sz w:val="24"/>
          <w:szCs w:val="24"/>
        </w:rPr>
        <w:t>.</w:t>
      </w:r>
    </w:p>
    <w:p w:rsidR="00357F78" w:rsidRDefault="00357F78" w:rsidP="00CF18B9">
      <w:pPr>
        <w:tabs>
          <w:tab w:val="left" w:pos="3402"/>
        </w:tabs>
        <w:spacing w:line="360" w:lineRule="atLeast"/>
        <w:ind w:right="51" w:firstLine="851"/>
        <w:jc w:val="both"/>
        <w:rPr>
          <w:rFonts w:ascii="Arial" w:hAnsi="Arial" w:cs="Arial"/>
          <w:sz w:val="24"/>
          <w:szCs w:val="24"/>
        </w:rPr>
      </w:pPr>
    </w:p>
    <w:p w:rsidR="00E92F59" w:rsidRPr="00000546" w:rsidRDefault="00E92F59" w:rsidP="00CF18B9">
      <w:pPr>
        <w:tabs>
          <w:tab w:val="left" w:pos="3402"/>
        </w:tabs>
        <w:spacing w:line="360" w:lineRule="atLeast"/>
        <w:ind w:right="51" w:firstLine="851"/>
        <w:jc w:val="both"/>
        <w:rPr>
          <w:rFonts w:ascii="Arial" w:hAnsi="Arial" w:cs="Arial"/>
          <w:sz w:val="24"/>
          <w:szCs w:val="24"/>
        </w:rPr>
      </w:pPr>
    </w:p>
    <w:p w:rsidR="00F7156C" w:rsidRPr="00771BF7" w:rsidRDefault="00F7156C" w:rsidP="00CF18B9">
      <w:pPr>
        <w:spacing w:line="360" w:lineRule="atLeast"/>
        <w:ind w:right="74" w:firstLine="851"/>
        <w:jc w:val="both"/>
        <w:rPr>
          <w:rFonts w:ascii="Arial" w:hAnsi="Arial" w:cs="Arial"/>
          <w:b/>
          <w:sz w:val="24"/>
          <w:szCs w:val="24"/>
        </w:rPr>
      </w:pPr>
      <w:r w:rsidRPr="00771BF7">
        <w:rPr>
          <w:rFonts w:ascii="Arial" w:hAnsi="Arial" w:cs="Arial"/>
          <w:b/>
          <w:sz w:val="24"/>
          <w:szCs w:val="24"/>
        </w:rPr>
        <w:lastRenderedPageBreak/>
        <w:t xml:space="preserve">    </w:t>
      </w:r>
      <w:r w:rsidR="00771BF7" w:rsidRPr="00771BF7">
        <w:rPr>
          <w:rFonts w:ascii="Arial" w:hAnsi="Arial" w:cs="Arial"/>
          <w:b/>
          <w:sz w:val="24"/>
          <w:szCs w:val="24"/>
        </w:rPr>
        <w:t>Incidencia en materias de administración presupuestaria y financiera del Estado</w:t>
      </w:r>
    </w:p>
    <w:p w:rsidR="00B06573" w:rsidRDefault="00B06573" w:rsidP="00B06573">
      <w:pPr>
        <w:tabs>
          <w:tab w:val="left" w:pos="3402"/>
        </w:tabs>
        <w:spacing w:line="360" w:lineRule="atLeast"/>
        <w:ind w:right="51"/>
        <w:jc w:val="both"/>
        <w:rPr>
          <w:rFonts w:ascii="Arial" w:hAnsi="Arial" w:cs="Arial"/>
          <w:sz w:val="24"/>
          <w:szCs w:val="24"/>
        </w:rPr>
      </w:pPr>
    </w:p>
    <w:p w:rsid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El informe financiero N° 26, de 21 de marzo de 2017,   elaborado por la Dirección de Presupuestos, establece:</w:t>
      </w:r>
    </w:p>
    <w:p w:rsidR="006B33E8" w:rsidRPr="00CF18B9" w:rsidRDefault="006B33E8"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I. Antecedentes.</w:t>
      </w:r>
    </w:p>
    <w:p w:rsidR="0074086D" w:rsidRDefault="0074086D"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El proyecto de ley propone modificar la ley N° 19.578 para extender la vigencia de la cotización extraordinaria del Seguro Social de la ley N° 16.744, hasta el pago de cotizaciones correspondiente a las remuneraciones de diciembre del año 2019, introduciendo una reducción gradual y progresiva de dicha tasa a partir del 1 de abril de 2017 y hasta la fecha antes señalada. La cotización para el</w:t>
      </w:r>
      <w:r w:rsidR="0005108E">
        <w:rPr>
          <w:rFonts w:ascii="Arial" w:hAnsi="Arial" w:cs="Arial"/>
          <w:sz w:val="24"/>
          <w:szCs w:val="24"/>
        </w:rPr>
        <w:t xml:space="preserve"> periodo comprendido entre el 1</w:t>
      </w:r>
      <w:r w:rsidRPr="00CF18B9">
        <w:rPr>
          <w:rFonts w:ascii="Arial" w:hAnsi="Arial" w:cs="Arial"/>
          <w:sz w:val="24"/>
          <w:szCs w:val="24"/>
        </w:rPr>
        <w:t xml:space="preserve"> de abril de 2017 y el 31 de diciembre del mismo año, será de un 0,04%. Para el año 2018, se reducirá a un 0,015%. El año 2019 a su turno, alcanzará un 0,01%.</w:t>
      </w:r>
    </w:p>
    <w:p w:rsidR="00CF18B9" w:rsidRPr="00CF18B9" w:rsidRDefault="00CF18B9"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Además, se propone una nueva fórmula para fijar el valor máximo de aporte de la diferencia positiva entre el GPE y el GAP anuales, estableciendo un límite que actualmente no se contempla, del 4% del ingreso por cotización básica del año anterior y la reducción al 65% del requerimiento de respaldo en activos financieros líquidos del Fondo de Reserva de Pensiones.</w:t>
      </w:r>
    </w:p>
    <w:p w:rsidR="00CF18B9" w:rsidRPr="00CF18B9" w:rsidRDefault="00CF18B9"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Por su parte, la cotización que gradualmente se va reduciendo para las Mutualidades, se destinará, en la misma proporción, a la creación de un fondo permanente para el financiamiento del seguro para las madres y padres trabajadores de hijos e hijas menores de edad, afectados por una condición grave de salud y de alto riesgo vital. En efecto, a contar del 10 de abril de 2017 y en forma indefinida, se establece una cotización que, en régimen, alcanzará al 0,03% de las remuneraciones imponibles de los trabajadores, de cargo del empleador, destinada a la creación del fondo. La cotización para el</w:t>
      </w:r>
      <w:r w:rsidR="0005108E">
        <w:rPr>
          <w:rFonts w:ascii="Arial" w:hAnsi="Arial" w:cs="Arial"/>
          <w:sz w:val="24"/>
          <w:szCs w:val="24"/>
        </w:rPr>
        <w:t xml:space="preserve"> periodo comprendido entre el 1 </w:t>
      </w:r>
      <w:r w:rsidRPr="00CF18B9">
        <w:rPr>
          <w:rFonts w:ascii="Arial" w:hAnsi="Arial" w:cs="Arial"/>
          <w:sz w:val="24"/>
          <w:szCs w:val="24"/>
        </w:rPr>
        <w:t xml:space="preserve"> de abril de 2017 y el 31 de diciembre del mismo año, será de un 0,01%. Para el año 2018, será de un 0,015%. El año 2019 a su turno, alcanzará un 0,02% y a partir de enero de 2020, será de un 0,03%.</w:t>
      </w:r>
    </w:p>
    <w:p w:rsidR="00CF18B9" w:rsidRPr="00CF18B9" w:rsidRDefault="00CF18B9" w:rsidP="00CF18B9">
      <w:pPr>
        <w:spacing w:line="360" w:lineRule="atLeast"/>
        <w:ind w:right="51" w:firstLine="851"/>
        <w:jc w:val="both"/>
        <w:rPr>
          <w:rFonts w:ascii="Arial" w:hAnsi="Arial" w:cs="Arial"/>
          <w:sz w:val="24"/>
          <w:szCs w:val="24"/>
        </w:rPr>
      </w:pPr>
    </w:p>
    <w:p w:rsidR="00CF18B9" w:rsidRPr="00CF18B9" w:rsidRDefault="00AF5AEE" w:rsidP="00CF18B9">
      <w:pPr>
        <w:spacing w:line="360" w:lineRule="atLeast"/>
        <w:ind w:right="51" w:firstLine="851"/>
        <w:jc w:val="both"/>
        <w:rPr>
          <w:rFonts w:ascii="Arial" w:hAnsi="Arial" w:cs="Arial"/>
          <w:sz w:val="24"/>
          <w:szCs w:val="24"/>
        </w:rPr>
      </w:pPr>
      <w:r w:rsidRPr="00AF5AEE">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300.8pt;margin-top:20.85pt;width:21.65pt;height:11.6pt;z-index:-251656192;mso-wrap-distance-left:0;mso-wrap-distance-right:0;mso-position-horizontal-relative:page;mso-position-vertical-relative:page" filled="f" stroked="f">
            <v:textbox inset="0,0,0,0">
              <w:txbxContent>
                <w:p w:rsidR="00B86610" w:rsidRDefault="00B86610" w:rsidP="00CF18B9">
                  <w:pPr>
                    <w:spacing w:line="231" w:lineRule="exact"/>
                    <w:textAlignment w:val="baseline"/>
                    <w:rPr>
                      <w:rFonts w:ascii="Verdana" w:eastAsia="Verdana" w:hAnsi="Verdana"/>
                      <w:color w:val="000000"/>
                      <w:spacing w:val="21"/>
                      <w:sz w:val="19"/>
                      <w:lang w:val="es-ES"/>
                    </w:rPr>
                  </w:pPr>
                  <w:r>
                    <w:rPr>
                      <w:rFonts w:ascii="Verdana" w:eastAsia="Verdana" w:hAnsi="Verdana"/>
                      <w:color w:val="000000"/>
                      <w:spacing w:val="21"/>
                      <w:sz w:val="19"/>
                      <w:lang w:val="es-ES"/>
                    </w:rPr>
                    <w:t>16</w:t>
                  </w:r>
                </w:p>
              </w:txbxContent>
            </v:textbox>
            <w10:wrap type="square" anchorx="page" anchory="page"/>
          </v:shape>
        </w:pict>
      </w:r>
      <w:r w:rsidR="00CF18B9" w:rsidRPr="00CF18B9">
        <w:rPr>
          <w:rFonts w:ascii="Arial" w:hAnsi="Arial" w:cs="Arial"/>
          <w:sz w:val="24"/>
          <w:szCs w:val="24"/>
        </w:rPr>
        <w:t>Por lo anteriormente expuesto, la cotización con la que se financia este seguro en ningún caso representa un costo adicional para los empleadores, toda vez que se financiará con parte de la cotización extraordinaria que actualmente se destina a las Mutual</w:t>
      </w:r>
      <w:r w:rsidR="0005108E">
        <w:rPr>
          <w:rFonts w:ascii="Arial" w:hAnsi="Arial" w:cs="Arial"/>
          <w:sz w:val="24"/>
          <w:szCs w:val="24"/>
        </w:rPr>
        <w:t>idades. Aún más, a partir del 1</w:t>
      </w:r>
      <w:r w:rsidR="00CF18B9" w:rsidRPr="00CF18B9">
        <w:rPr>
          <w:rFonts w:ascii="Arial" w:hAnsi="Arial" w:cs="Arial"/>
          <w:sz w:val="24"/>
          <w:szCs w:val="24"/>
        </w:rPr>
        <w:t xml:space="preserve"> de enero del año 2018, se reducirán las contribuciones que realizan los empleadores por este concepto, pasando en términos absolutos de un 0,05% del total de las remuneraciones mensuales de sus trabajadores, a un 0,03%, lo que implica una ahorro mensual del 0,02%.</w:t>
      </w:r>
    </w:p>
    <w:p w:rsidR="00CF18B9" w:rsidRPr="00CF18B9" w:rsidRDefault="00CF18B9"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Desde el punto de vista operacional, las Mutualidades actuarán como entidades recaudadoras de estas cotizaciones. Por su parte, las reglas de operación del fondo, su administración, la calificación de los beneficiarios, las prestaciones y la gestión integral de los beneficios serán realizadas por un órgano que será definido en la ley que reglamente el seguro.</w:t>
      </w:r>
    </w:p>
    <w:p w:rsidR="00CF18B9" w:rsidRPr="00CF18B9" w:rsidRDefault="00CF18B9"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De esta manera, la cotización total para los empleadores considerando ambos conceptos, alcanzará a un total de 0,05% en el año 2017 y a un total de 0,03% a partir del año 2018, de acuerdo a lo que se presenta a continuación:</w:t>
      </w:r>
    </w:p>
    <w:p w:rsidR="00CF18B9" w:rsidRDefault="00CF18B9" w:rsidP="00CF18B9">
      <w:pPr>
        <w:spacing w:line="360" w:lineRule="atLeast"/>
        <w:ind w:right="51" w:firstLine="851"/>
        <w:jc w:val="both"/>
        <w:rPr>
          <w:rFonts w:ascii="Arial" w:hAnsi="Arial" w:cs="Arial"/>
          <w:sz w:val="22"/>
          <w:szCs w:val="22"/>
        </w:rPr>
      </w:pPr>
    </w:p>
    <w:p w:rsidR="00D72A9B" w:rsidRDefault="00D72A9B" w:rsidP="00CF18B9">
      <w:pPr>
        <w:spacing w:line="360" w:lineRule="atLeast"/>
        <w:ind w:right="51" w:firstLine="851"/>
        <w:jc w:val="both"/>
        <w:rPr>
          <w:rFonts w:ascii="Arial" w:hAnsi="Arial" w:cs="Arial"/>
          <w:sz w:val="22"/>
          <w:szCs w:val="22"/>
        </w:rPr>
      </w:pPr>
    </w:p>
    <w:p w:rsidR="00D72A9B" w:rsidRPr="009A526F" w:rsidRDefault="00D72A9B" w:rsidP="00CF18B9">
      <w:pPr>
        <w:spacing w:line="360" w:lineRule="atLeast"/>
        <w:ind w:right="51" w:firstLine="851"/>
        <w:jc w:val="both"/>
        <w:rPr>
          <w:rFonts w:ascii="Arial" w:hAnsi="Arial" w:cs="Arial"/>
          <w:sz w:val="22"/>
          <w:szCs w:val="22"/>
        </w:rPr>
      </w:pPr>
    </w:p>
    <w:tbl>
      <w:tblPr>
        <w:tblW w:w="5000" w:type="pct"/>
        <w:tblCellMar>
          <w:left w:w="0" w:type="dxa"/>
          <w:right w:w="0" w:type="dxa"/>
        </w:tblCellMar>
        <w:tblLook w:val="04A0"/>
      </w:tblPr>
      <w:tblGrid>
        <w:gridCol w:w="3329"/>
        <w:gridCol w:w="1888"/>
        <w:gridCol w:w="1389"/>
        <w:gridCol w:w="1393"/>
      </w:tblGrid>
      <w:tr w:rsidR="00CF18B9" w:rsidTr="00D72A9B">
        <w:trPr>
          <w:trHeight w:hRule="exact" w:val="893"/>
        </w:trPr>
        <w:tc>
          <w:tcPr>
            <w:tcW w:w="2081" w:type="pct"/>
            <w:tcBorders>
              <w:top w:val="single" w:sz="4" w:space="0" w:color="000000"/>
              <w:left w:val="single" w:sz="4" w:space="0" w:color="000000"/>
              <w:bottom w:val="single" w:sz="4" w:space="0" w:color="000000"/>
              <w:right w:val="single" w:sz="4" w:space="0" w:color="000000"/>
            </w:tcBorders>
          </w:tcPr>
          <w:p w:rsidR="00CF18B9" w:rsidRDefault="00CF18B9" w:rsidP="00D72A9B">
            <w:pPr>
              <w:spacing w:after="684" w:line="183" w:lineRule="exact"/>
              <w:ind w:right="1226"/>
              <w:jc w:val="right"/>
              <w:textAlignment w:val="baseline"/>
              <w:rPr>
                <w:rFonts w:ascii="Verdana" w:eastAsia="Verdana" w:hAnsi="Verdana"/>
                <w:b/>
                <w:color w:val="000000"/>
                <w:sz w:val="15"/>
                <w:lang w:val="es-ES"/>
              </w:rPr>
            </w:pPr>
            <w:r>
              <w:rPr>
                <w:rFonts w:ascii="Verdana" w:eastAsia="Verdana" w:hAnsi="Verdana"/>
                <w:b/>
                <w:color w:val="000000"/>
                <w:sz w:val="15"/>
                <w:lang w:val="es-ES"/>
              </w:rPr>
              <w:t>Período</w:t>
            </w:r>
          </w:p>
        </w:tc>
        <w:tc>
          <w:tcPr>
            <w:tcW w:w="1180" w:type="pct"/>
            <w:tcBorders>
              <w:top w:val="single" w:sz="4" w:space="0" w:color="000000"/>
              <w:left w:val="single" w:sz="4" w:space="0" w:color="000000"/>
              <w:bottom w:val="single" w:sz="4" w:space="0" w:color="000000"/>
              <w:right w:val="single" w:sz="4" w:space="0" w:color="000000"/>
            </w:tcBorders>
          </w:tcPr>
          <w:p w:rsidR="00CF18B9" w:rsidRDefault="00CF18B9" w:rsidP="00D72A9B">
            <w:pPr>
              <w:spacing w:after="28" w:line="214" w:lineRule="exact"/>
              <w:jc w:val="center"/>
              <w:textAlignment w:val="baseline"/>
              <w:rPr>
                <w:rFonts w:ascii="Verdana" w:eastAsia="Verdana" w:hAnsi="Verdana"/>
                <w:b/>
                <w:color w:val="000000"/>
                <w:sz w:val="15"/>
                <w:lang w:val="es-ES"/>
              </w:rPr>
            </w:pPr>
            <w:r>
              <w:rPr>
                <w:rFonts w:ascii="Verdana" w:eastAsia="Verdana" w:hAnsi="Verdana"/>
                <w:b/>
                <w:color w:val="000000"/>
                <w:sz w:val="15"/>
                <w:lang w:val="es-ES"/>
              </w:rPr>
              <w:t xml:space="preserve">Ley de Accidentes </w:t>
            </w:r>
            <w:r>
              <w:rPr>
                <w:rFonts w:ascii="Verdana" w:eastAsia="Verdana" w:hAnsi="Verdana"/>
                <w:b/>
                <w:color w:val="000000"/>
                <w:sz w:val="15"/>
                <w:lang w:val="es-ES"/>
              </w:rPr>
              <w:br/>
              <w:t xml:space="preserve">del Trabajo </w:t>
            </w:r>
            <w:r>
              <w:rPr>
                <w:rFonts w:ascii="Verdana" w:eastAsia="Verdana" w:hAnsi="Verdana"/>
                <w:b/>
                <w:color w:val="000000"/>
                <w:sz w:val="15"/>
                <w:lang w:val="es-ES"/>
              </w:rPr>
              <w:br/>
              <w:t xml:space="preserve">(Ley N° 16.744) </w:t>
            </w:r>
            <w:r>
              <w:rPr>
                <w:rFonts w:ascii="Verdana" w:eastAsia="Verdana" w:hAnsi="Verdana"/>
                <w:b/>
                <w:color w:val="000000"/>
                <w:sz w:val="15"/>
                <w:lang w:val="es-ES"/>
              </w:rPr>
              <w:br/>
            </w:r>
            <w:r>
              <w:rPr>
                <w:rFonts w:ascii="Verdana" w:eastAsia="Verdana" w:hAnsi="Verdana"/>
                <w:color w:val="000000"/>
                <w:sz w:val="15"/>
                <w:lang w:val="es-ES"/>
              </w:rPr>
              <w:t>(1)</w:t>
            </w:r>
          </w:p>
        </w:tc>
        <w:tc>
          <w:tcPr>
            <w:tcW w:w="868" w:type="pct"/>
            <w:tcBorders>
              <w:top w:val="single" w:sz="4" w:space="0" w:color="000000"/>
              <w:left w:val="single" w:sz="4" w:space="0" w:color="000000"/>
              <w:bottom w:val="single" w:sz="4" w:space="0" w:color="000000"/>
              <w:right w:val="single" w:sz="4" w:space="0" w:color="000000"/>
            </w:tcBorders>
          </w:tcPr>
          <w:p w:rsidR="00CF18B9" w:rsidRDefault="00CF18B9" w:rsidP="00D72A9B">
            <w:pPr>
              <w:spacing w:after="28" w:line="214" w:lineRule="exact"/>
              <w:jc w:val="center"/>
              <w:textAlignment w:val="baseline"/>
              <w:rPr>
                <w:rFonts w:ascii="Verdana" w:eastAsia="Verdana" w:hAnsi="Verdana"/>
                <w:b/>
                <w:color w:val="000000"/>
                <w:sz w:val="15"/>
                <w:lang w:val="es-ES"/>
              </w:rPr>
            </w:pPr>
            <w:r>
              <w:rPr>
                <w:rFonts w:ascii="Verdana" w:eastAsia="Verdana" w:hAnsi="Verdana"/>
                <w:b/>
                <w:color w:val="000000"/>
                <w:sz w:val="15"/>
                <w:lang w:val="es-ES"/>
              </w:rPr>
              <w:t xml:space="preserve">Seguro para </w:t>
            </w:r>
            <w:r>
              <w:rPr>
                <w:rFonts w:ascii="Verdana" w:eastAsia="Verdana" w:hAnsi="Verdana"/>
                <w:b/>
                <w:color w:val="000000"/>
                <w:sz w:val="15"/>
                <w:lang w:val="es-ES"/>
              </w:rPr>
              <w:br/>
              <w:t xml:space="preserve">Madres y </w:t>
            </w:r>
            <w:r>
              <w:rPr>
                <w:rFonts w:ascii="Verdana" w:eastAsia="Verdana" w:hAnsi="Verdana"/>
                <w:b/>
                <w:color w:val="000000"/>
                <w:sz w:val="15"/>
                <w:lang w:val="es-ES"/>
              </w:rPr>
              <w:br/>
              <w:t xml:space="preserve">Padres </w:t>
            </w:r>
            <w:r>
              <w:rPr>
                <w:rFonts w:ascii="Verdana" w:eastAsia="Verdana" w:hAnsi="Verdana"/>
                <w:b/>
                <w:color w:val="000000"/>
                <w:sz w:val="15"/>
                <w:lang w:val="es-ES"/>
              </w:rPr>
              <w:br/>
            </w:r>
            <w:r>
              <w:rPr>
                <w:rFonts w:ascii="Verdana" w:eastAsia="Verdana" w:hAnsi="Verdana"/>
                <w:color w:val="000000"/>
                <w:sz w:val="15"/>
                <w:lang w:val="es-ES"/>
              </w:rPr>
              <w:t>(2)</w:t>
            </w:r>
          </w:p>
        </w:tc>
        <w:tc>
          <w:tcPr>
            <w:tcW w:w="871" w:type="pct"/>
            <w:tcBorders>
              <w:top w:val="single" w:sz="4" w:space="0" w:color="000000"/>
              <w:left w:val="single" w:sz="4" w:space="0" w:color="000000"/>
              <w:bottom w:val="single" w:sz="4" w:space="0" w:color="000000"/>
              <w:right w:val="single" w:sz="4" w:space="0" w:color="000000"/>
            </w:tcBorders>
          </w:tcPr>
          <w:p w:rsidR="00CF18B9" w:rsidRDefault="00CF18B9" w:rsidP="00D72A9B">
            <w:pPr>
              <w:spacing w:line="209" w:lineRule="exact"/>
              <w:jc w:val="center"/>
              <w:textAlignment w:val="baseline"/>
              <w:rPr>
                <w:rFonts w:ascii="Verdana" w:eastAsia="Verdana" w:hAnsi="Verdana"/>
                <w:b/>
                <w:color w:val="000000"/>
                <w:sz w:val="15"/>
                <w:lang w:val="es-ES"/>
              </w:rPr>
            </w:pPr>
            <w:r>
              <w:rPr>
                <w:rFonts w:ascii="Verdana" w:eastAsia="Verdana" w:hAnsi="Verdana"/>
                <w:b/>
                <w:color w:val="000000"/>
                <w:sz w:val="15"/>
                <w:lang w:val="es-ES"/>
              </w:rPr>
              <w:t xml:space="preserve">Cotización </w:t>
            </w:r>
            <w:r>
              <w:rPr>
                <w:rFonts w:ascii="Verdana" w:eastAsia="Verdana" w:hAnsi="Verdana"/>
                <w:b/>
                <w:color w:val="000000"/>
                <w:sz w:val="15"/>
                <w:lang w:val="es-ES"/>
              </w:rPr>
              <w:br/>
              <w:t>total</w:t>
            </w:r>
          </w:p>
          <w:p w:rsidR="00CF18B9" w:rsidRDefault="00CF18B9" w:rsidP="00D72A9B">
            <w:pPr>
              <w:spacing w:before="260" w:after="28" w:line="181" w:lineRule="exact"/>
              <w:jc w:val="center"/>
              <w:textAlignment w:val="baseline"/>
              <w:rPr>
                <w:rFonts w:ascii="Verdana" w:eastAsia="Verdana" w:hAnsi="Verdana"/>
                <w:color w:val="000000"/>
                <w:sz w:val="15"/>
                <w:lang w:val="es-ES"/>
              </w:rPr>
            </w:pPr>
            <w:r>
              <w:rPr>
                <w:rFonts w:ascii="Verdana" w:eastAsia="Verdana" w:hAnsi="Verdana"/>
                <w:color w:val="000000"/>
                <w:sz w:val="15"/>
                <w:lang w:val="es-ES"/>
              </w:rPr>
              <w:t>(3)=(1)+(2)</w:t>
            </w:r>
          </w:p>
        </w:tc>
      </w:tr>
      <w:tr w:rsidR="00CF18B9" w:rsidTr="00D72A9B">
        <w:trPr>
          <w:trHeight w:hRule="exact" w:val="221"/>
        </w:trPr>
        <w:tc>
          <w:tcPr>
            <w:tcW w:w="208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26" w:line="176" w:lineRule="exact"/>
              <w:ind w:left="125"/>
              <w:textAlignment w:val="baseline"/>
              <w:rPr>
                <w:rFonts w:ascii="Verdana" w:eastAsia="Verdana" w:hAnsi="Verdana"/>
                <w:color w:val="000000"/>
                <w:sz w:val="15"/>
                <w:lang w:val="es-ES"/>
              </w:rPr>
            </w:pPr>
            <w:r>
              <w:rPr>
                <w:rFonts w:ascii="Verdana" w:eastAsia="Verdana" w:hAnsi="Verdana"/>
                <w:color w:val="000000"/>
                <w:sz w:val="15"/>
                <w:lang w:val="es-ES"/>
              </w:rPr>
              <w:t>Del 01.04.2017 al 31.12.2017</w:t>
            </w:r>
          </w:p>
        </w:tc>
        <w:tc>
          <w:tcPr>
            <w:tcW w:w="1180"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720"/>
              </w:tabs>
              <w:spacing w:after="28" w:line="176" w:lineRule="exact"/>
              <w:textAlignment w:val="baseline"/>
              <w:rPr>
                <w:rFonts w:ascii="Verdana" w:eastAsia="Verdana" w:hAnsi="Verdana"/>
                <w:color w:val="000000"/>
                <w:sz w:val="15"/>
                <w:lang w:val="es-ES"/>
              </w:rPr>
            </w:pPr>
            <w:r>
              <w:rPr>
                <w:rFonts w:ascii="Verdana" w:eastAsia="Verdana" w:hAnsi="Verdana"/>
                <w:color w:val="000000"/>
                <w:sz w:val="15"/>
                <w:lang w:val="es-ES"/>
              </w:rPr>
              <w:t>0,04 %</w:t>
            </w:r>
          </w:p>
        </w:tc>
        <w:tc>
          <w:tcPr>
            <w:tcW w:w="868"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23" w:line="176" w:lineRule="exact"/>
              <w:jc w:val="center"/>
              <w:textAlignment w:val="baseline"/>
              <w:rPr>
                <w:rFonts w:ascii="Verdana" w:eastAsia="Verdana" w:hAnsi="Verdana"/>
                <w:color w:val="000000"/>
                <w:sz w:val="15"/>
                <w:lang w:val="es-ES"/>
              </w:rPr>
            </w:pPr>
            <w:r>
              <w:rPr>
                <w:rFonts w:ascii="Verdana" w:eastAsia="Verdana" w:hAnsi="Verdana"/>
                <w:color w:val="000000"/>
                <w:sz w:val="15"/>
                <w:lang w:val="es-ES"/>
              </w:rPr>
              <w:t>0,01 %</w:t>
            </w:r>
          </w:p>
        </w:tc>
        <w:tc>
          <w:tcPr>
            <w:tcW w:w="87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504"/>
              </w:tabs>
              <w:spacing w:after="23" w:line="176" w:lineRule="exact"/>
              <w:textAlignment w:val="baseline"/>
              <w:rPr>
                <w:rFonts w:ascii="Verdana" w:eastAsia="Verdana" w:hAnsi="Verdana"/>
                <w:color w:val="000000"/>
                <w:sz w:val="15"/>
                <w:lang w:val="es-ES"/>
              </w:rPr>
            </w:pPr>
            <w:r>
              <w:rPr>
                <w:rFonts w:ascii="Verdana" w:eastAsia="Verdana" w:hAnsi="Verdana"/>
                <w:color w:val="000000"/>
                <w:sz w:val="15"/>
                <w:lang w:val="es-ES"/>
              </w:rPr>
              <w:t>0,05 %</w:t>
            </w:r>
          </w:p>
        </w:tc>
      </w:tr>
      <w:tr w:rsidR="00CF18B9" w:rsidTr="00D72A9B">
        <w:trPr>
          <w:trHeight w:hRule="exact" w:val="225"/>
        </w:trPr>
        <w:tc>
          <w:tcPr>
            <w:tcW w:w="208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33" w:line="176" w:lineRule="exact"/>
              <w:ind w:left="125"/>
              <w:textAlignment w:val="baseline"/>
              <w:rPr>
                <w:rFonts w:ascii="Verdana" w:eastAsia="Verdana" w:hAnsi="Verdana"/>
                <w:color w:val="000000"/>
                <w:sz w:val="15"/>
                <w:lang w:val="es-ES"/>
              </w:rPr>
            </w:pPr>
            <w:r>
              <w:rPr>
                <w:rFonts w:ascii="Verdana" w:eastAsia="Verdana" w:hAnsi="Verdana"/>
                <w:color w:val="000000"/>
                <w:sz w:val="15"/>
                <w:lang w:val="es-ES"/>
              </w:rPr>
              <w:t>Del 01.01.2018 al 31.12.2018</w:t>
            </w:r>
          </w:p>
        </w:tc>
        <w:tc>
          <w:tcPr>
            <w:tcW w:w="1180"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720"/>
              </w:tabs>
              <w:spacing w:after="33" w:line="177" w:lineRule="exact"/>
              <w:textAlignment w:val="baseline"/>
              <w:rPr>
                <w:rFonts w:ascii="Verdana" w:eastAsia="Verdana" w:hAnsi="Verdana"/>
                <w:color w:val="000000"/>
                <w:sz w:val="15"/>
                <w:lang w:val="es-ES"/>
              </w:rPr>
            </w:pPr>
            <w:r>
              <w:rPr>
                <w:rFonts w:ascii="Verdana" w:eastAsia="Verdana" w:hAnsi="Verdana"/>
                <w:color w:val="000000"/>
                <w:sz w:val="15"/>
                <w:lang w:val="es-ES"/>
              </w:rPr>
              <w:t>0,015 %</w:t>
            </w:r>
          </w:p>
        </w:tc>
        <w:tc>
          <w:tcPr>
            <w:tcW w:w="868"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32" w:line="176" w:lineRule="exact"/>
              <w:jc w:val="center"/>
              <w:textAlignment w:val="baseline"/>
              <w:rPr>
                <w:rFonts w:ascii="Verdana" w:eastAsia="Verdana" w:hAnsi="Verdana"/>
                <w:color w:val="000000"/>
                <w:sz w:val="15"/>
                <w:lang w:val="es-ES"/>
              </w:rPr>
            </w:pPr>
            <w:r>
              <w:rPr>
                <w:rFonts w:ascii="Verdana" w:eastAsia="Verdana" w:hAnsi="Verdana"/>
                <w:color w:val="000000"/>
                <w:sz w:val="15"/>
                <w:lang w:val="es-ES"/>
              </w:rPr>
              <w:t>0,015 %</w:t>
            </w:r>
          </w:p>
        </w:tc>
        <w:tc>
          <w:tcPr>
            <w:tcW w:w="87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504"/>
              </w:tabs>
              <w:spacing w:after="29" w:line="177" w:lineRule="exact"/>
              <w:textAlignment w:val="baseline"/>
              <w:rPr>
                <w:rFonts w:ascii="Verdana" w:eastAsia="Verdana" w:hAnsi="Verdana"/>
                <w:color w:val="000000"/>
                <w:sz w:val="15"/>
                <w:lang w:val="es-ES"/>
              </w:rPr>
            </w:pPr>
            <w:r>
              <w:rPr>
                <w:rFonts w:ascii="Verdana" w:eastAsia="Verdana" w:hAnsi="Verdana"/>
                <w:color w:val="000000"/>
                <w:sz w:val="15"/>
                <w:lang w:val="es-ES"/>
              </w:rPr>
              <w:t>0,03 %</w:t>
            </w:r>
          </w:p>
        </w:tc>
      </w:tr>
      <w:tr w:rsidR="00CF18B9" w:rsidTr="00D72A9B">
        <w:trPr>
          <w:trHeight w:hRule="exact" w:val="226"/>
        </w:trPr>
        <w:tc>
          <w:tcPr>
            <w:tcW w:w="208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40" w:line="176" w:lineRule="exact"/>
              <w:ind w:left="125"/>
              <w:textAlignment w:val="baseline"/>
              <w:rPr>
                <w:rFonts w:ascii="Verdana" w:eastAsia="Verdana" w:hAnsi="Verdana"/>
                <w:color w:val="000000"/>
                <w:sz w:val="15"/>
                <w:lang w:val="es-ES"/>
              </w:rPr>
            </w:pPr>
            <w:r>
              <w:rPr>
                <w:rFonts w:ascii="Verdana" w:eastAsia="Verdana" w:hAnsi="Verdana"/>
                <w:color w:val="000000"/>
                <w:sz w:val="15"/>
                <w:lang w:val="es-ES"/>
              </w:rPr>
              <w:t>Del 01.01.2019 al 31.12.2019</w:t>
            </w:r>
          </w:p>
        </w:tc>
        <w:tc>
          <w:tcPr>
            <w:tcW w:w="1180"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720"/>
              </w:tabs>
              <w:spacing w:after="43" w:line="176" w:lineRule="exact"/>
              <w:textAlignment w:val="baseline"/>
              <w:rPr>
                <w:rFonts w:ascii="Verdana" w:eastAsia="Verdana" w:hAnsi="Verdana"/>
                <w:color w:val="000000"/>
                <w:sz w:val="15"/>
                <w:lang w:val="es-ES"/>
              </w:rPr>
            </w:pPr>
            <w:r>
              <w:rPr>
                <w:rFonts w:ascii="Verdana" w:eastAsia="Verdana" w:hAnsi="Verdana"/>
                <w:color w:val="000000"/>
                <w:sz w:val="15"/>
                <w:lang w:val="es-ES"/>
              </w:rPr>
              <w:t>0,01 %</w:t>
            </w:r>
          </w:p>
        </w:tc>
        <w:tc>
          <w:tcPr>
            <w:tcW w:w="868"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38" w:line="177" w:lineRule="exact"/>
              <w:jc w:val="center"/>
              <w:textAlignment w:val="baseline"/>
              <w:rPr>
                <w:rFonts w:ascii="Verdana" w:eastAsia="Verdana" w:hAnsi="Verdana"/>
                <w:color w:val="000000"/>
                <w:sz w:val="15"/>
                <w:lang w:val="es-ES"/>
              </w:rPr>
            </w:pPr>
            <w:r>
              <w:rPr>
                <w:rFonts w:ascii="Verdana" w:eastAsia="Verdana" w:hAnsi="Verdana"/>
                <w:color w:val="000000"/>
                <w:sz w:val="15"/>
                <w:lang w:val="es-ES"/>
              </w:rPr>
              <w:t>0,02 %</w:t>
            </w:r>
          </w:p>
        </w:tc>
        <w:tc>
          <w:tcPr>
            <w:tcW w:w="87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504"/>
              </w:tabs>
              <w:spacing w:after="38" w:line="176" w:lineRule="exact"/>
              <w:textAlignment w:val="baseline"/>
              <w:rPr>
                <w:rFonts w:ascii="Verdana" w:eastAsia="Verdana" w:hAnsi="Verdana"/>
                <w:color w:val="000000"/>
                <w:sz w:val="15"/>
                <w:lang w:val="es-ES"/>
              </w:rPr>
            </w:pPr>
            <w:r>
              <w:rPr>
                <w:rFonts w:ascii="Verdana" w:eastAsia="Verdana" w:hAnsi="Verdana"/>
                <w:color w:val="000000"/>
                <w:sz w:val="15"/>
                <w:lang w:val="es-ES"/>
              </w:rPr>
              <w:t>0,03 %</w:t>
            </w:r>
          </w:p>
        </w:tc>
      </w:tr>
      <w:tr w:rsidR="00CF18B9" w:rsidTr="00D72A9B">
        <w:trPr>
          <w:trHeight w:hRule="exact" w:val="230"/>
        </w:trPr>
        <w:tc>
          <w:tcPr>
            <w:tcW w:w="208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48" w:line="176" w:lineRule="exact"/>
              <w:ind w:left="125"/>
              <w:textAlignment w:val="baseline"/>
              <w:rPr>
                <w:rFonts w:ascii="Verdana" w:eastAsia="Verdana" w:hAnsi="Verdana"/>
                <w:color w:val="000000"/>
                <w:sz w:val="15"/>
                <w:lang w:val="es-ES"/>
              </w:rPr>
            </w:pPr>
            <w:r>
              <w:rPr>
                <w:rFonts w:ascii="Verdana" w:eastAsia="Verdana" w:hAnsi="Verdana"/>
                <w:color w:val="000000"/>
                <w:sz w:val="15"/>
                <w:lang w:val="es-ES"/>
              </w:rPr>
              <w:t>Del 01.01.2020 en adelante</w:t>
            </w:r>
          </w:p>
        </w:tc>
        <w:tc>
          <w:tcPr>
            <w:tcW w:w="1180"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51" w:line="176" w:lineRule="exact"/>
              <w:jc w:val="center"/>
              <w:textAlignment w:val="baseline"/>
              <w:rPr>
                <w:rFonts w:ascii="Verdana" w:eastAsia="Verdana" w:hAnsi="Verdana"/>
                <w:color w:val="000000"/>
                <w:sz w:val="15"/>
                <w:lang w:val="es-ES"/>
              </w:rPr>
            </w:pPr>
            <w:r>
              <w:rPr>
                <w:rFonts w:ascii="Verdana" w:eastAsia="Verdana" w:hAnsi="Verdana"/>
                <w:color w:val="000000"/>
                <w:sz w:val="15"/>
                <w:lang w:val="es-ES"/>
              </w:rPr>
              <w:t>0 %</w:t>
            </w:r>
          </w:p>
        </w:tc>
        <w:tc>
          <w:tcPr>
            <w:tcW w:w="868"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spacing w:after="48" w:line="177" w:lineRule="exact"/>
              <w:jc w:val="center"/>
              <w:textAlignment w:val="baseline"/>
              <w:rPr>
                <w:rFonts w:ascii="Verdana" w:eastAsia="Verdana" w:hAnsi="Verdana"/>
                <w:color w:val="000000"/>
                <w:sz w:val="15"/>
                <w:lang w:val="es-ES"/>
              </w:rPr>
            </w:pPr>
            <w:r>
              <w:rPr>
                <w:rFonts w:ascii="Verdana" w:eastAsia="Verdana" w:hAnsi="Verdana"/>
                <w:color w:val="000000"/>
                <w:sz w:val="15"/>
                <w:lang w:val="es-ES"/>
              </w:rPr>
              <w:t>0,03 %</w:t>
            </w:r>
          </w:p>
        </w:tc>
        <w:tc>
          <w:tcPr>
            <w:tcW w:w="871" w:type="pct"/>
            <w:tcBorders>
              <w:top w:val="single" w:sz="4" w:space="0" w:color="000000"/>
              <w:left w:val="single" w:sz="4" w:space="0" w:color="000000"/>
              <w:bottom w:val="single" w:sz="4" w:space="0" w:color="000000"/>
              <w:right w:val="single" w:sz="4" w:space="0" w:color="000000"/>
            </w:tcBorders>
            <w:vAlign w:val="center"/>
          </w:tcPr>
          <w:p w:rsidR="00CF18B9" w:rsidRDefault="00CF18B9" w:rsidP="00D72A9B">
            <w:pPr>
              <w:tabs>
                <w:tab w:val="decimal" w:pos="504"/>
              </w:tabs>
              <w:spacing w:after="48" w:line="176" w:lineRule="exact"/>
              <w:textAlignment w:val="baseline"/>
              <w:rPr>
                <w:rFonts w:ascii="Verdana" w:eastAsia="Verdana" w:hAnsi="Verdana"/>
                <w:color w:val="000000"/>
                <w:sz w:val="15"/>
                <w:lang w:val="es-ES"/>
              </w:rPr>
            </w:pPr>
            <w:r>
              <w:rPr>
                <w:rFonts w:ascii="Verdana" w:eastAsia="Verdana" w:hAnsi="Verdana"/>
                <w:color w:val="000000"/>
                <w:sz w:val="15"/>
                <w:lang w:val="es-ES"/>
              </w:rPr>
              <w:t>0,03 %</w:t>
            </w:r>
          </w:p>
        </w:tc>
      </w:tr>
    </w:tbl>
    <w:p w:rsidR="00CF18B9" w:rsidRDefault="00CF18B9" w:rsidP="00CF18B9">
      <w:pPr>
        <w:spacing w:line="360" w:lineRule="atLeast"/>
        <w:ind w:right="51" w:firstLine="851"/>
        <w:jc w:val="both"/>
        <w:rPr>
          <w:rFonts w:ascii="Arial" w:hAnsi="Arial" w:cs="Arial"/>
          <w:sz w:val="24"/>
          <w:szCs w:val="24"/>
        </w:rPr>
      </w:pPr>
    </w:p>
    <w:p w:rsidR="00CF18B9" w:rsidRPr="00CF18B9" w:rsidRDefault="00AF5AEE" w:rsidP="00CF18B9">
      <w:pPr>
        <w:spacing w:line="360" w:lineRule="atLeast"/>
        <w:ind w:right="51" w:firstLine="851"/>
        <w:jc w:val="both"/>
        <w:rPr>
          <w:rFonts w:ascii="Arial" w:hAnsi="Arial" w:cs="Arial"/>
          <w:sz w:val="24"/>
          <w:szCs w:val="24"/>
        </w:rPr>
      </w:pPr>
      <w:r w:rsidRPr="00AF5AEE">
        <w:rPr>
          <w:rFonts w:ascii="Arial" w:hAnsi="Arial" w:cs="Arial"/>
          <w:sz w:val="24"/>
          <w:szCs w:val="24"/>
        </w:rPr>
        <w:pict>
          <v:shape id="_x0000_s1028" type="#_x0000_t202" style="position:absolute;left:0;text-align:left;margin-left:301.3pt;margin-top:21.3pt;width:20.95pt;height:11.3pt;z-index:-251654144;mso-wrap-distance-left:0;mso-wrap-distance-right:0;mso-position-horizontal-relative:page;mso-position-vertical-relative:page" filled="f" stroked="f">
            <v:textbox inset="0,0,0,0">
              <w:txbxContent>
                <w:p w:rsidR="00B86610" w:rsidRDefault="00B86610" w:rsidP="00CF18B9">
                  <w:pPr>
                    <w:spacing w:before="5" w:line="217" w:lineRule="exact"/>
                    <w:textAlignment w:val="baseline"/>
                    <w:rPr>
                      <w:rFonts w:ascii="Verdana" w:eastAsia="Verdana" w:hAnsi="Verdana"/>
                      <w:color w:val="000000"/>
                      <w:spacing w:val="16"/>
                      <w:sz w:val="19"/>
                      <w:lang w:val="es-ES"/>
                    </w:rPr>
                  </w:pPr>
                  <w:r>
                    <w:rPr>
                      <w:rFonts w:ascii="Verdana" w:eastAsia="Verdana" w:hAnsi="Verdana"/>
                      <w:color w:val="000000"/>
                      <w:spacing w:val="16"/>
                      <w:sz w:val="19"/>
                      <w:lang w:val="es-ES"/>
                    </w:rPr>
                    <w:t>17</w:t>
                  </w:r>
                </w:p>
              </w:txbxContent>
            </v:textbox>
            <w10:wrap type="square" anchorx="page" anchory="page"/>
          </v:shape>
        </w:pict>
      </w:r>
      <w:r w:rsidR="00CF18B9" w:rsidRPr="00CF18B9">
        <w:rPr>
          <w:rFonts w:ascii="Arial" w:hAnsi="Arial" w:cs="Arial"/>
          <w:sz w:val="24"/>
          <w:szCs w:val="24"/>
        </w:rPr>
        <w:t>II. Efecto del Proyecto sobre el Presupuesto Fiscal.</w:t>
      </w:r>
    </w:p>
    <w:p w:rsidR="00CF18B9" w:rsidRDefault="00CF18B9" w:rsidP="00CF18B9">
      <w:pPr>
        <w:spacing w:line="360" w:lineRule="atLeast"/>
        <w:ind w:right="51" w:firstLine="851"/>
        <w:jc w:val="both"/>
        <w:rPr>
          <w:rFonts w:ascii="Arial" w:hAnsi="Arial" w:cs="Arial"/>
          <w:sz w:val="24"/>
          <w:szCs w:val="24"/>
        </w:rPr>
      </w:pPr>
    </w:p>
    <w:p w:rsidR="00CF18B9" w:rsidRPr="00CF18B9" w:rsidRDefault="00CF18B9" w:rsidP="00CF18B9">
      <w:pPr>
        <w:spacing w:line="360" w:lineRule="atLeast"/>
        <w:ind w:right="51" w:firstLine="851"/>
        <w:jc w:val="both"/>
        <w:rPr>
          <w:rFonts w:ascii="Arial" w:hAnsi="Arial" w:cs="Arial"/>
          <w:sz w:val="24"/>
          <w:szCs w:val="24"/>
        </w:rPr>
      </w:pPr>
      <w:r w:rsidRPr="00CF18B9">
        <w:rPr>
          <w:rFonts w:ascii="Arial" w:hAnsi="Arial" w:cs="Arial"/>
          <w:sz w:val="24"/>
          <w:szCs w:val="24"/>
        </w:rPr>
        <w:t xml:space="preserve">Los contenidos del presente proyecto de ley producirán mayores ingresos fiscales en el Instituto de Seguridad Laboral, considerando la cotización extraordinaria para la Ley de Accidentes del Trabajo y la correspondiente al seguro para las madres y padres trabajadores de hijos e hijas menores de edad, afectados por una condición grave de salud y de alto riesgo vital, estimados en $1.781.320 miles para el primer año según </w:t>
      </w:r>
      <w:r w:rsidRPr="00CF18B9">
        <w:rPr>
          <w:rFonts w:ascii="Arial" w:hAnsi="Arial" w:cs="Arial"/>
          <w:sz w:val="24"/>
          <w:szCs w:val="24"/>
        </w:rPr>
        <w:lastRenderedPageBreak/>
        <w:t>una cotización total de 0,05% y $1.425.056 miles a partir del segundo año, para una cotización conjunta de 0,03%.</w:t>
      </w:r>
    </w:p>
    <w:p w:rsidR="00771BF7" w:rsidRPr="00000546" w:rsidRDefault="00771BF7" w:rsidP="00B06573">
      <w:pPr>
        <w:tabs>
          <w:tab w:val="left" w:pos="3402"/>
        </w:tabs>
        <w:spacing w:line="360" w:lineRule="atLeast"/>
        <w:ind w:right="51"/>
        <w:jc w:val="both"/>
        <w:rPr>
          <w:rFonts w:ascii="Arial" w:hAnsi="Arial" w:cs="Arial"/>
          <w:sz w:val="24"/>
          <w:szCs w:val="24"/>
        </w:rPr>
      </w:pPr>
      <w:bookmarkStart w:id="0" w:name="_GoBack"/>
      <w:bookmarkEnd w:id="0"/>
    </w:p>
    <w:p w:rsidR="00B06573" w:rsidRPr="00CD384E" w:rsidRDefault="00B06573" w:rsidP="00C95366">
      <w:pPr>
        <w:tabs>
          <w:tab w:val="left" w:pos="1134"/>
        </w:tabs>
        <w:spacing w:line="360" w:lineRule="atLeast"/>
        <w:ind w:right="51"/>
        <w:jc w:val="both"/>
        <w:rPr>
          <w:rFonts w:ascii="Arial" w:hAnsi="Arial" w:cs="Arial"/>
          <w:b/>
          <w:sz w:val="24"/>
          <w:szCs w:val="24"/>
        </w:rPr>
      </w:pPr>
      <w:r w:rsidRPr="00000546">
        <w:rPr>
          <w:rFonts w:ascii="Arial" w:hAnsi="Arial" w:cs="Arial"/>
          <w:sz w:val="24"/>
          <w:szCs w:val="24"/>
        </w:rPr>
        <w:tab/>
      </w:r>
      <w:r w:rsidR="00C95366" w:rsidRPr="00CD384E">
        <w:rPr>
          <w:rFonts w:ascii="Arial" w:hAnsi="Arial" w:cs="Arial"/>
          <w:b/>
          <w:sz w:val="24"/>
          <w:szCs w:val="24"/>
        </w:rPr>
        <w:t>Normas de competencia de la Comisión</w:t>
      </w:r>
    </w:p>
    <w:p w:rsidR="00A1618C" w:rsidRDefault="00A1618C" w:rsidP="00C95366">
      <w:pPr>
        <w:tabs>
          <w:tab w:val="left" w:pos="1134"/>
        </w:tabs>
        <w:spacing w:line="360" w:lineRule="atLeast"/>
        <w:ind w:right="51"/>
        <w:jc w:val="both"/>
        <w:rPr>
          <w:rFonts w:ascii="Arial" w:hAnsi="Arial" w:cs="Arial"/>
          <w:sz w:val="24"/>
          <w:szCs w:val="24"/>
        </w:rPr>
      </w:pPr>
    </w:p>
    <w:p w:rsidR="00CF18B9" w:rsidRDefault="00CF18B9" w:rsidP="00CF18B9">
      <w:pPr>
        <w:tabs>
          <w:tab w:val="left" w:pos="1134"/>
        </w:tabs>
        <w:spacing w:line="360" w:lineRule="atLeast"/>
        <w:ind w:right="51" w:firstLine="851"/>
        <w:jc w:val="both"/>
        <w:rPr>
          <w:rFonts w:ascii="Arial" w:hAnsi="Arial" w:cs="Arial"/>
          <w:sz w:val="24"/>
          <w:szCs w:val="24"/>
        </w:rPr>
      </w:pPr>
      <w:r>
        <w:rPr>
          <w:rFonts w:ascii="Arial" w:hAnsi="Arial" w:cs="Arial"/>
          <w:sz w:val="24"/>
          <w:szCs w:val="24"/>
        </w:rPr>
        <w:t xml:space="preserve"> Todo el proyecto, que es del siguiente tenor:</w:t>
      </w:r>
    </w:p>
    <w:p w:rsidR="0055455B" w:rsidRPr="00DB68A3" w:rsidRDefault="0055455B" w:rsidP="0055455B">
      <w:pPr>
        <w:spacing w:before="120" w:after="120" w:line="276" w:lineRule="auto"/>
        <w:jc w:val="center"/>
        <w:rPr>
          <w:rFonts w:ascii="Courier New" w:hAnsi="Courier New" w:cs="Courier New"/>
          <w:bCs/>
          <w:spacing w:val="-3"/>
          <w:w w:val="98"/>
        </w:rPr>
      </w:pPr>
    </w:p>
    <w:p w:rsidR="0055455B" w:rsidRPr="00DB68A3" w:rsidRDefault="0055455B" w:rsidP="0055455B">
      <w:pPr>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1.- Modifícase la ley N° 19.578, que concede aumento a las pensiones y establece su financiamiento por medio de modificaciones a normas tributarias, en el siguiente sentido: </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pStyle w:val="Prrafodelista"/>
        <w:numPr>
          <w:ilvl w:val="1"/>
          <w:numId w:val="16"/>
        </w:numPr>
        <w:spacing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Introducénse</w:t>
      </w:r>
      <w:proofErr w:type="spellEnd"/>
      <w:r w:rsidRPr="00DB68A3">
        <w:rPr>
          <w:rFonts w:ascii="Arial" w:hAnsi="Arial" w:cs="Arial"/>
          <w:bCs/>
          <w:spacing w:val="-3"/>
          <w:w w:val="98"/>
          <w:sz w:val="24"/>
          <w:szCs w:val="24"/>
        </w:rPr>
        <w:t xml:space="preserve"> las siguientes modificaciones al artículo 21:</w:t>
      </w:r>
    </w:p>
    <w:p w:rsidR="0055455B" w:rsidRPr="00DB68A3" w:rsidRDefault="0055455B" w:rsidP="0055455B">
      <w:pPr>
        <w:pStyle w:val="Prrafodelista"/>
        <w:tabs>
          <w:tab w:val="left" w:pos="1134"/>
        </w:tabs>
        <w:spacing w:line="276" w:lineRule="auto"/>
        <w:ind w:left="2410" w:firstLine="851"/>
        <w:jc w:val="both"/>
        <w:rPr>
          <w:rFonts w:ascii="Arial" w:hAnsi="Arial" w:cs="Arial"/>
          <w:bCs/>
          <w:spacing w:val="-3"/>
          <w:w w:val="98"/>
          <w:sz w:val="24"/>
          <w:szCs w:val="24"/>
        </w:rPr>
      </w:pPr>
    </w:p>
    <w:p w:rsidR="0055455B" w:rsidRPr="00DB68A3" w:rsidRDefault="0055455B" w:rsidP="0055455B">
      <w:pPr>
        <w:pStyle w:val="Prrafodelista"/>
        <w:numPr>
          <w:ilvl w:val="0"/>
          <w:numId w:val="17"/>
        </w:numPr>
        <w:tabs>
          <w:tab w:val="left" w:pos="1134"/>
        </w:tabs>
        <w:spacing w:before="120" w:after="120"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Elimínase</w:t>
      </w:r>
      <w:proofErr w:type="spellEnd"/>
      <w:r w:rsidRPr="00DB68A3">
        <w:rPr>
          <w:rFonts w:ascii="Arial" w:hAnsi="Arial" w:cs="Arial"/>
          <w:bCs/>
          <w:spacing w:val="-3"/>
          <w:w w:val="98"/>
          <w:sz w:val="24"/>
          <w:szCs w:val="24"/>
        </w:rPr>
        <w:t xml:space="preserve"> el literal a) del punto 1 de la letra A. </w:t>
      </w:r>
    </w:p>
    <w:p w:rsidR="0055455B" w:rsidRPr="00DB68A3" w:rsidRDefault="0055455B" w:rsidP="0055455B">
      <w:pPr>
        <w:pStyle w:val="Prrafodelista"/>
        <w:tabs>
          <w:tab w:val="left" w:pos="1134"/>
        </w:tabs>
        <w:spacing w:before="120" w:after="120" w:line="276" w:lineRule="auto"/>
        <w:ind w:left="3119" w:firstLine="851"/>
        <w:jc w:val="both"/>
        <w:rPr>
          <w:rFonts w:ascii="Arial" w:hAnsi="Arial" w:cs="Arial"/>
          <w:bCs/>
          <w:spacing w:val="-3"/>
          <w:w w:val="98"/>
          <w:sz w:val="24"/>
          <w:szCs w:val="24"/>
        </w:rPr>
      </w:pPr>
    </w:p>
    <w:p w:rsidR="0055455B" w:rsidRPr="00DB68A3" w:rsidRDefault="0055455B" w:rsidP="0055455B">
      <w:pPr>
        <w:pStyle w:val="Prrafodelista"/>
        <w:numPr>
          <w:ilvl w:val="0"/>
          <w:numId w:val="17"/>
        </w:numPr>
        <w:tabs>
          <w:tab w:val="left" w:pos="1134"/>
        </w:tabs>
        <w:spacing w:before="120" w:after="120"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Intercálase</w:t>
      </w:r>
      <w:proofErr w:type="spellEnd"/>
      <w:r w:rsidRPr="00DB68A3">
        <w:rPr>
          <w:rFonts w:ascii="Arial" w:hAnsi="Arial" w:cs="Arial"/>
          <w:bCs/>
          <w:spacing w:val="-3"/>
          <w:w w:val="98"/>
          <w:sz w:val="24"/>
          <w:szCs w:val="24"/>
        </w:rPr>
        <w:t xml:space="preserve"> en el literal b) del punto 1 de la letra A, a continuación de la cuarta coma (,) que pasa a ser punto seguido, lo siguiente: “Dicha suma no podrá ser superior al 4% del ingreso por cotización básica del año anterior, definido en la letra a) del artículo 15 de la ley N°16.744,". </w:t>
      </w:r>
    </w:p>
    <w:p w:rsidR="0055455B" w:rsidRPr="00DB68A3" w:rsidRDefault="0055455B" w:rsidP="0055455B">
      <w:pPr>
        <w:pStyle w:val="Prrafodelista"/>
        <w:tabs>
          <w:tab w:val="left" w:pos="851"/>
          <w:tab w:val="left" w:pos="3402"/>
        </w:tabs>
        <w:spacing w:before="120" w:after="120" w:line="276" w:lineRule="auto"/>
        <w:ind w:left="3119"/>
        <w:jc w:val="both"/>
        <w:rPr>
          <w:rFonts w:ascii="Arial" w:hAnsi="Arial" w:cs="Arial"/>
          <w:bCs/>
          <w:spacing w:val="-3"/>
          <w:w w:val="98"/>
          <w:sz w:val="24"/>
          <w:szCs w:val="24"/>
        </w:rPr>
      </w:pPr>
    </w:p>
    <w:p w:rsidR="0055455B" w:rsidRPr="00DB68A3" w:rsidRDefault="0055455B" w:rsidP="0055455B">
      <w:pPr>
        <w:pStyle w:val="Prrafodelista"/>
        <w:numPr>
          <w:ilvl w:val="0"/>
          <w:numId w:val="17"/>
        </w:numPr>
        <w:tabs>
          <w:tab w:val="left" w:pos="851"/>
          <w:tab w:val="left" w:pos="3402"/>
        </w:tabs>
        <w:spacing w:before="120" w:after="120"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Reemplázase</w:t>
      </w:r>
      <w:proofErr w:type="spellEnd"/>
      <w:r w:rsidRPr="00DB68A3">
        <w:rPr>
          <w:rFonts w:ascii="Arial" w:hAnsi="Arial" w:cs="Arial"/>
          <w:bCs/>
          <w:spacing w:val="-3"/>
          <w:w w:val="98"/>
          <w:sz w:val="24"/>
          <w:szCs w:val="24"/>
        </w:rPr>
        <w:t xml:space="preserve"> en el párrafo final del número 1 y en el primer párrafo del número 2, ambos de la letra B, el porcentaje "100%" por "65%".</w:t>
      </w:r>
    </w:p>
    <w:p w:rsidR="0055455B" w:rsidRPr="00DB68A3" w:rsidRDefault="0055455B" w:rsidP="0055455B">
      <w:pPr>
        <w:pStyle w:val="Prrafodelista"/>
        <w:tabs>
          <w:tab w:val="left" w:pos="851"/>
        </w:tabs>
        <w:ind w:firstLine="851"/>
        <w:rPr>
          <w:rFonts w:ascii="Arial" w:hAnsi="Arial" w:cs="Arial"/>
          <w:bCs/>
          <w:spacing w:val="-3"/>
          <w:w w:val="98"/>
          <w:sz w:val="24"/>
          <w:szCs w:val="24"/>
        </w:rPr>
      </w:pPr>
    </w:p>
    <w:p w:rsidR="0055455B" w:rsidRPr="00DB68A3" w:rsidRDefault="0055455B" w:rsidP="0055455B">
      <w:pPr>
        <w:pStyle w:val="Prrafodelista"/>
        <w:numPr>
          <w:ilvl w:val="1"/>
          <w:numId w:val="16"/>
        </w:numPr>
        <w:tabs>
          <w:tab w:val="left" w:pos="851"/>
        </w:tabs>
        <w:spacing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Introdúcense</w:t>
      </w:r>
      <w:proofErr w:type="spellEnd"/>
      <w:r w:rsidRPr="00DB68A3">
        <w:rPr>
          <w:rFonts w:ascii="Arial" w:hAnsi="Arial" w:cs="Arial"/>
          <w:bCs/>
          <w:spacing w:val="-3"/>
          <w:w w:val="98"/>
          <w:sz w:val="24"/>
          <w:szCs w:val="24"/>
        </w:rPr>
        <w:t xml:space="preserve"> las siguientes modificaciones al artículo sexto transitorio: </w:t>
      </w:r>
    </w:p>
    <w:p w:rsidR="0055455B" w:rsidRPr="00DB68A3" w:rsidRDefault="0055455B" w:rsidP="0055455B">
      <w:pPr>
        <w:pStyle w:val="Prrafodelista"/>
        <w:tabs>
          <w:tab w:val="left" w:pos="851"/>
        </w:tabs>
        <w:spacing w:line="276" w:lineRule="auto"/>
        <w:ind w:left="2410" w:firstLine="851"/>
        <w:jc w:val="both"/>
        <w:rPr>
          <w:rFonts w:ascii="Arial" w:hAnsi="Arial" w:cs="Arial"/>
          <w:bCs/>
          <w:spacing w:val="-3"/>
          <w:w w:val="98"/>
          <w:sz w:val="24"/>
          <w:szCs w:val="24"/>
        </w:rPr>
      </w:pPr>
    </w:p>
    <w:p w:rsidR="0055455B" w:rsidRPr="00DB68A3" w:rsidRDefault="0055455B" w:rsidP="0055455B">
      <w:pPr>
        <w:pStyle w:val="Prrafodelista"/>
        <w:numPr>
          <w:ilvl w:val="0"/>
          <w:numId w:val="18"/>
        </w:numPr>
        <w:tabs>
          <w:tab w:val="left" w:pos="851"/>
          <w:tab w:val="left" w:pos="3402"/>
        </w:tabs>
        <w:spacing w:before="120" w:after="120"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Reemplázase</w:t>
      </w:r>
      <w:proofErr w:type="spellEnd"/>
      <w:r w:rsidRPr="00DB68A3">
        <w:rPr>
          <w:rFonts w:ascii="Arial" w:hAnsi="Arial" w:cs="Arial"/>
          <w:bCs/>
          <w:spacing w:val="-3"/>
          <w:w w:val="98"/>
          <w:sz w:val="24"/>
          <w:szCs w:val="24"/>
        </w:rPr>
        <w:t xml:space="preserve"> en el inciso primero las expresiones “31 de marzo del año 2017” por “31 de diciembre del año 2019” y “del 0,05% de” por la palabra “sobre”. </w:t>
      </w:r>
    </w:p>
    <w:p w:rsidR="0055455B" w:rsidRPr="00DB68A3" w:rsidRDefault="0055455B" w:rsidP="0055455B">
      <w:pPr>
        <w:pStyle w:val="Prrafodelista"/>
        <w:tabs>
          <w:tab w:val="left" w:pos="851"/>
          <w:tab w:val="left" w:pos="3402"/>
        </w:tabs>
        <w:spacing w:before="120" w:after="120" w:line="276" w:lineRule="auto"/>
        <w:ind w:left="3119" w:firstLine="851"/>
        <w:jc w:val="both"/>
        <w:rPr>
          <w:rFonts w:ascii="Arial" w:hAnsi="Arial" w:cs="Arial"/>
          <w:bCs/>
          <w:spacing w:val="-3"/>
          <w:w w:val="98"/>
          <w:sz w:val="24"/>
          <w:szCs w:val="24"/>
        </w:rPr>
      </w:pPr>
    </w:p>
    <w:p w:rsidR="0055455B" w:rsidRPr="00DB68A3" w:rsidRDefault="0055455B" w:rsidP="0055455B">
      <w:pPr>
        <w:pStyle w:val="Prrafodelista"/>
        <w:numPr>
          <w:ilvl w:val="0"/>
          <w:numId w:val="18"/>
        </w:numPr>
        <w:tabs>
          <w:tab w:val="left" w:pos="851"/>
          <w:tab w:val="left" w:pos="3402"/>
        </w:tabs>
        <w:spacing w:line="276" w:lineRule="auto"/>
        <w:ind w:left="0" w:firstLine="851"/>
        <w:contextualSpacing/>
        <w:jc w:val="both"/>
        <w:rPr>
          <w:rFonts w:ascii="Arial" w:hAnsi="Arial" w:cs="Arial"/>
          <w:bCs/>
          <w:spacing w:val="-3"/>
          <w:w w:val="98"/>
          <w:sz w:val="24"/>
          <w:szCs w:val="24"/>
        </w:rPr>
      </w:pPr>
      <w:proofErr w:type="spellStart"/>
      <w:r w:rsidRPr="00DB68A3">
        <w:rPr>
          <w:rFonts w:ascii="Arial" w:hAnsi="Arial" w:cs="Arial"/>
          <w:bCs/>
          <w:spacing w:val="-3"/>
          <w:w w:val="98"/>
          <w:sz w:val="24"/>
          <w:szCs w:val="24"/>
        </w:rPr>
        <w:t>Intercálase</w:t>
      </w:r>
      <w:proofErr w:type="spellEnd"/>
      <w:r w:rsidRPr="00DB68A3">
        <w:rPr>
          <w:rFonts w:ascii="Arial" w:hAnsi="Arial" w:cs="Arial"/>
          <w:bCs/>
          <w:spacing w:val="-3"/>
          <w:w w:val="98"/>
          <w:sz w:val="24"/>
          <w:szCs w:val="24"/>
        </w:rPr>
        <w:t xml:space="preserve"> el siguiente inciso segundo, nuevo, pasando el actual segundo a ser tercero: </w:t>
      </w:r>
    </w:p>
    <w:p w:rsidR="0055455B" w:rsidRPr="00DB68A3" w:rsidRDefault="0055455B" w:rsidP="0055455B">
      <w:pPr>
        <w:pStyle w:val="Prrafodelista"/>
        <w:tabs>
          <w:tab w:val="left" w:pos="851"/>
          <w:tab w:val="left" w:pos="3402"/>
        </w:tabs>
        <w:spacing w:line="276" w:lineRule="auto"/>
        <w:ind w:left="3119"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“A partir del 1 de abril del año 2017, y durante los períodos que a continuación se establecen, el porcentaje de la cotización extraordinaria señalada en el inciso anterior corresponderá a:</w:t>
      </w:r>
    </w:p>
    <w:p w:rsidR="0055455B" w:rsidRPr="00DB68A3" w:rsidRDefault="0055455B" w:rsidP="0055455B">
      <w:pPr>
        <w:tabs>
          <w:tab w:val="left" w:pos="851"/>
        </w:tabs>
        <w:spacing w:line="276" w:lineRule="auto"/>
        <w:ind w:firstLine="2410"/>
        <w:jc w:val="both"/>
        <w:rPr>
          <w:rFonts w:ascii="Arial" w:hAnsi="Arial" w:cs="Arial"/>
          <w:bCs/>
          <w:spacing w:val="-3"/>
          <w:w w:val="98"/>
          <w:sz w:val="24"/>
          <w:szCs w:val="24"/>
        </w:rPr>
      </w:pPr>
    </w:p>
    <w:p w:rsidR="0055455B" w:rsidRPr="00DB68A3" w:rsidRDefault="0055455B" w:rsidP="0055455B">
      <w:pPr>
        <w:pStyle w:val="Prrafodelista"/>
        <w:numPr>
          <w:ilvl w:val="0"/>
          <w:numId w:val="19"/>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 xml:space="preserve">Un 0,04% desde el 1 de abril y hasta el 31 de diciembre de 2017; </w:t>
      </w:r>
    </w:p>
    <w:p w:rsidR="0055455B" w:rsidRPr="00DB68A3" w:rsidRDefault="0055455B" w:rsidP="0055455B">
      <w:pPr>
        <w:pStyle w:val="Prrafodelista"/>
        <w:tabs>
          <w:tab w:val="left" w:pos="851"/>
          <w:tab w:val="left" w:pos="1134"/>
        </w:tabs>
        <w:spacing w:line="276" w:lineRule="auto"/>
        <w:ind w:left="2410" w:firstLine="851"/>
        <w:jc w:val="both"/>
        <w:rPr>
          <w:rFonts w:ascii="Arial" w:hAnsi="Arial" w:cs="Arial"/>
          <w:bCs/>
          <w:spacing w:val="-3"/>
          <w:w w:val="98"/>
          <w:sz w:val="24"/>
          <w:szCs w:val="24"/>
        </w:rPr>
      </w:pPr>
    </w:p>
    <w:p w:rsidR="0055455B" w:rsidRPr="00DB68A3" w:rsidRDefault="0055455B" w:rsidP="0055455B">
      <w:pPr>
        <w:pStyle w:val="Prrafodelista"/>
        <w:numPr>
          <w:ilvl w:val="0"/>
          <w:numId w:val="19"/>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Un 0,015% desde el 1 de enero y hasta el 31 de diciembre de 2018, y</w:t>
      </w:r>
    </w:p>
    <w:p w:rsidR="0055455B" w:rsidRPr="00DB68A3" w:rsidRDefault="0055455B" w:rsidP="0055455B">
      <w:pPr>
        <w:pStyle w:val="Prrafodelista"/>
        <w:tabs>
          <w:tab w:val="left" w:pos="851"/>
          <w:tab w:val="left" w:pos="1134"/>
        </w:tabs>
        <w:ind w:firstLine="851"/>
        <w:rPr>
          <w:rFonts w:ascii="Arial" w:hAnsi="Arial" w:cs="Arial"/>
          <w:bCs/>
          <w:spacing w:val="-3"/>
          <w:w w:val="98"/>
          <w:sz w:val="24"/>
          <w:szCs w:val="24"/>
        </w:rPr>
      </w:pPr>
    </w:p>
    <w:p w:rsidR="0055455B" w:rsidRPr="00DB68A3" w:rsidRDefault="0055455B" w:rsidP="0055455B">
      <w:pPr>
        <w:pStyle w:val="Prrafodelista"/>
        <w:numPr>
          <w:ilvl w:val="0"/>
          <w:numId w:val="19"/>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 xml:space="preserve">Un 0,01% desde el 1 de enero y hasta el 31 de diciembre de 2019.”. </w:t>
      </w:r>
    </w:p>
    <w:p w:rsidR="0055455B" w:rsidRPr="00DB68A3" w:rsidRDefault="0055455B" w:rsidP="0055455B">
      <w:pPr>
        <w:pStyle w:val="Prrafodelista"/>
        <w:tabs>
          <w:tab w:val="left" w:pos="851"/>
          <w:tab w:val="left" w:pos="1134"/>
        </w:tabs>
        <w:spacing w:line="276" w:lineRule="auto"/>
        <w:ind w:left="2410"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2.- </w:t>
      </w:r>
      <w:proofErr w:type="spellStart"/>
      <w:r w:rsidRPr="00DB68A3">
        <w:rPr>
          <w:rFonts w:ascii="Arial" w:hAnsi="Arial" w:cs="Arial"/>
          <w:bCs/>
          <w:spacing w:val="-3"/>
          <w:w w:val="98"/>
          <w:sz w:val="24"/>
          <w:szCs w:val="24"/>
        </w:rPr>
        <w:t>Elimínase</w:t>
      </w:r>
      <w:proofErr w:type="spellEnd"/>
      <w:r w:rsidRPr="00DB68A3">
        <w:rPr>
          <w:rFonts w:ascii="Arial" w:hAnsi="Arial" w:cs="Arial"/>
          <w:bCs/>
          <w:spacing w:val="-3"/>
          <w:w w:val="98"/>
          <w:sz w:val="24"/>
          <w:szCs w:val="24"/>
        </w:rPr>
        <w:t xml:space="preserve"> la expresión “del 0,05%” del inciso segundo del artículo 88 de la ley N° 20.255, que establece reforma previsional. </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3.- </w:t>
      </w:r>
      <w:proofErr w:type="spellStart"/>
      <w:r w:rsidRPr="00DB68A3">
        <w:rPr>
          <w:rFonts w:ascii="Arial" w:hAnsi="Arial" w:cs="Arial"/>
          <w:bCs/>
          <w:spacing w:val="-3"/>
          <w:w w:val="98"/>
          <w:sz w:val="24"/>
          <w:szCs w:val="24"/>
        </w:rPr>
        <w:t>Establécese</w:t>
      </w:r>
      <w:proofErr w:type="spellEnd"/>
      <w:r w:rsidRPr="00DB68A3">
        <w:rPr>
          <w:rFonts w:ascii="Arial" w:hAnsi="Arial" w:cs="Arial"/>
          <w:bCs/>
          <w:spacing w:val="-3"/>
          <w:w w:val="98"/>
          <w:sz w:val="24"/>
          <w:szCs w:val="24"/>
        </w:rPr>
        <w:t xml:space="preserve"> una cotización del 0,03% de las remuneraciones imponibles de los trabajadores, de cargo del empleador, destinada a la creación de un fondo cuyo objetivo será el financiamiento de un seguro para las madres y padres trabajadores de hijos e hijas mayores de 1 año y menores de 15 o 18 años de edad, según corresponda, afectados por una condición grave de salud, para que puedan ausentarse justificadamente de su trabajo durante un tiempo determinado, con la finalidad de prestarles atención, acompañamiento o cuidado personal a sus hijos e hijas. Durante dicho período las madres y padres trabajadores tendrán derecho a una prestación económica que reemplazará total o parcialmente su remuneración mensual, la que se financiará con cargo al fondo.   </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En el caso de los trabajadores independientes la cotización del 0,03% será de su cargo y se calculará sobre su renta imponible.</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La recaudación de esta cotización se efectuará por las Mutualidades de Empleadores y el Instituto de Seguridad Laboral conjuntamente con las demás cotizaciones que recaudan para el financiamiento del seguro de la ley N° 16.744.</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4.- Dentro de los sesenta días siguientes a la publicación de la presente ley, el Presidente de la República enviará al Congreso Nacional un proyecto de ley que regulará el fondo establecido en el artículo anterior, la entidad administradora, los requisitos de acceso, los beneficiarios, la extensión del permiso, las prestaciones que se otorgarán con cargo al fondo y los demás elementos necesarios para su funcionamiento. </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5.-  En tanto no se apruebe la ley indicada en el artículo anterior, las Mutualidades de Empleadores y el Instituto de Seguridad Laboral deberán recaudar la  cotización establecida en el artículo 3 de esta ley, mantenerla en una cuenta especial creada para este efecto, y posteriormente integrar estos recursos al fondo de acuerdo a las normas que se definan en la ley con ese objeto. </w:t>
      </w:r>
    </w:p>
    <w:p w:rsidR="0055455B" w:rsidRPr="00DB68A3" w:rsidRDefault="0055455B" w:rsidP="0055455B">
      <w:pPr>
        <w:tabs>
          <w:tab w:val="left" w:pos="851"/>
        </w:tabs>
        <w:spacing w:line="276" w:lineRule="auto"/>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Durante este período las Mutualidades de Empleadores deberán invertir estos recursos de conformidad a lo establecido en el punto 2, letra A, </w:t>
      </w:r>
      <w:r w:rsidRPr="00DB68A3">
        <w:rPr>
          <w:rFonts w:ascii="Arial" w:hAnsi="Arial" w:cs="Arial"/>
          <w:bCs/>
          <w:spacing w:val="-3"/>
          <w:w w:val="98"/>
          <w:sz w:val="24"/>
          <w:szCs w:val="24"/>
        </w:rPr>
        <w:lastRenderedPageBreak/>
        <w:t xml:space="preserve">del artículo 21 de la ley N° 19.578.  Por su parte, el Instituto de Seguridad Laboral deberá invertir estos recursos en los instrumentos previstos en las letras a) y b) del artículo 45 del decreto ley N° 3.500, de 1980. </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La Superintendencia de Seguridad Social dictará las normas necesarias para el cumplimiento y la fiscalización de esta obligación.</w:t>
      </w:r>
    </w:p>
    <w:p w:rsidR="0055455B" w:rsidRPr="00DB68A3" w:rsidRDefault="0055455B" w:rsidP="0055455B">
      <w:pPr>
        <w:tabs>
          <w:tab w:val="left" w:pos="851"/>
        </w:tabs>
        <w:spacing w:line="276" w:lineRule="auto"/>
        <w:jc w:val="both"/>
        <w:rPr>
          <w:rFonts w:ascii="Arial" w:hAnsi="Arial" w:cs="Arial"/>
          <w:bCs/>
          <w:spacing w:val="-3"/>
          <w:w w:val="98"/>
          <w:sz w:val="24"/>
          <w:szCs w:val="24"/>
        </w:rPr>
      </w:pPr>
    </w:p>
    <w:p w:rsidR="0055455B" w:rsidRPr="00DB68A3" w:rsidRDefault="0055455B" w:rsidP="0055455B">
      <w:pPr>
        <w:spacing w:before="120" w:after="120" w:line="276" w:lineRule="auto"/>
        <w:jc w:val="center"/>
        <w:rPr>
          <w:rFonts w:ascii="Arial" w:hAnsi="Arial" w:cs="Arial"/>
          <w:bCs/>
          <w:spacing w:val="-3"/>
          <w:w w:val="98"/>
          <w:sz w:val="24"/>
          <w:szCs w:val="24"/>
        </w:rPr>
      </w:pPr>
      <w:r w:rsidRPr="00DB68A3">
        <w:rPr>
          <w:rFonts w:ascii="Arial" w:hAnsi="Arial" w:cs="Arial"/>
          <w:bCs/>
          <w:spacing w:val="-3"/>
          <w:w w:val="98"/>
          <w:sz w:val="24"/>
          <w:szCs w:val="24"/>
        </w:rPr>
        <w:t>DISPOSICIONES TRANSITORIAS</w:t>
      </w:r>
    </w:p>
    <w:p w:rsidR="0055455B" w:rsidRPr="00DB68A3" w:rsidRDefault="0055455B" w:rsidP="0055455B">
      <w:pPr>
        <w:tabs>
          <w:tab w:val="left" w:pos="851"/>
        </w:tabs>
        <w:spacing w:line="276" w:lineRule="auto"/>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primero.- La modificación establecida en </w:t>
      </w:r>
      <w:proofErr w:type="gramStart"/>
      <w:r w:rsidRPr="00DB68A3">
        <w:rPr>
          <w:rFonts w:ascii="Arial" w:hAnsi="Arial" w:cs="Arial"/>
          <w:bCs/>
          <w:spacing w:val="-3"/>
          <w:w w:val="98"/>
          <w:sz w:val="24"/>
          <w:szCs w:val="24"/>
        </w:rPr>
        <w:t>el</w:t>
      </w:r>
      <w:proofErr w:type="gramEnd"/>
      <w:r w:rsidRPr="00DB68A3">
        <w:rPr>
          <w:rFonts w:ascii="Arial" w:hAnsi="Arial" w:cs="Arial"/>
          <w:bCs/>
          <w:spacing w:val="-3"/>
          <w:w w:val="98"/>
          <w:sz w:val="24"/>
          <w:szCs w:val="24"/>
        </w:rPr>
        <w:t xml:space="preserve"> numeral i, del número 1, del artículo 1 de esta ley comenzará a regir a partir del 1° de enero de 2020. </w:t>
      </w: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 xml:space="preserve">Artículo segundo.- La cotización establecida en el artículo 3 de esta ley será implementada gradualmente, de acuerdo a los porcentajes y para los períodos que se indican a continuación: </w:t>
      </w:r>
    </w:p>
    <w:p w:rsidR="0055455B" w:rsidRPr="00DB68A3" w:rsidRDefault="0055455B" w:rsidP="0055455B">
      <w:pPr>
        <w:tabs>
          <w:tab w:val="left" w:pos="851"/>
        </w:tabs>
        <w:spacing w:line="276" w:lineRule="auto"/>
        <w:jc w:val="both"/>
        <w:rPr>
          <w:rFonts w:ascii="Arial" w:hAnsi="Arial" w:cs="Arial"/>
          <w:bCs/>
          <w:spacing w:val="-3"/>
          <w:w w:val="98"/>
          <w:sz w:val="24"/>
          <w:szCs w:val="24"/>
        </w:rPr>
      </w:pPr>
    </w:p>
    <w:p w:rsidR="0055455B" w:rsidRPr="00DB68A3" w:rsidRDefault="0055455B" w:rsidP="0055455B">
      <w:pPr>
        <w:pStyle w:val="Prrafodelista"/>
        <w:numPr>
          <w:ilvl w:val="0"/>
          <w:numId w:val="20"/>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Un 0,01% desde el 1 de abril y hasta el 31 de diciembre de 2017;</w:t>
      </w:r>
    </w:p>
    <w:p w:rsidR="0055455B" w:rsidRPr="00DB68A3" w:rsidRDefault="0055455B" w:rsidP="0055455B">
      <w:pPr>
        <w:tabs>
          <w:tab w:val="left" w:pos="851"/>
          <w:tab w:val="left" w:pos="1134"/>
        </w:tabs>
        <w:spacing w:line="276" w:lineRule="auto"/>
        <w:ind w:firstLine="851"/>
        <w:jc w:val="both"/>
        <w:rPr>
          <w:rFonts w:ascii="Arial" w:hAnsi="Arial" w:cs="Arial"/>
          <w:bCs/>
          <w:spacing w:val="-3"/>
          <w:w w:val="98"/>
          <w:sz w:val="24"/>
          <w:szCs w:val="24"/>
        </w:rPr>
      </w:pPr>
    </w:p>
    <w:p w:rsidR="0055455B" w:rsidRPr="00DB68A3" w:rsidRDefault="0055455B" w:rsidP="0055455B">
      <w:pPr>
        <w:pStyle w:val="Prrafodelista"/>
        <w:numPr>
          <w:ilvl w:val="0"/>
          <w:numId w:val="20"/>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Un 0,015% desde el 1 de enero y hasta el 31 de diciembre de 2018;</w:t>
      </w:r>
    </w:p>
    <w:p w:rsidR="0055455B" w:rsidRPr="00DB68A3" w:rsidRDefault="0055455B" w:rsidP="0055455B">
      <w:pPr>
        <w:tabs>
          <w:tab w:val="left" w:pos="851"/>
          <w:tab w:val="left" w:pos="1134"/>
        </w:tabs>
        <w:spacing w:line="276" w:lineRule="auto"/>
        <w:ind w:firstLine="851"/>
        <w:jc w:val="both"/>
        <w:rPr>
          <w:rFonts w:ascii="Arial" w:hAnsi="Arial" w:cs="Arial"/>
          <w:bCs/>
          <w:spacing w:val="-3"/>
          <w:w w:val="98"/>
          <w:sz w:val="24"/>
          <w:szCs w:val="24"/>
        </w:rPr>
      </w:pPr>
    </w:p>
    <w:p w:rsidR="0055455B" w:rsidRPr="00DB68A3" w:rsidRDefault="0055455B" w:rsidP="0055455B">
      <w:pPr>
        <w:pStyle w:val="Prrafodelista"/>
        <w:numPr>
          <w:ilvl w:val="0"/>
          <w:numId w:val="20"/>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Un 0,02% desde el 1 de enero y hasta el 31 de diciembre de 2019, y</w:t>
      </w:r>
    </w:p>
    <w:p w:rsidR="0055455B" w:rsidRPr="00DB68A3" w:rsidRDefault="0055455B" w:rsidP="0055455B">
      <w:pPr>
        <w:tabs>
          <w:tab w:val="left" w:pos="851"/>
          <w:tab w:val="left" w:pos="1134"/>
        </w:tabs>
        <w:spacing w:line="276" w:lineRule="auto"/>
        <w:ind w:firstLine="851"/>
        <w:jc w:val="both"/>
        <w:rPr>
          <w:rFonts w:ascii="Arial" w:hAnsi="Arial" w:cs="Arial"/>
          <w:bCs/>
          <w:spacing w:val="-3"/>
          <w:w w:val="98"/>
          <w:sz w:val="24"/>
          <w:szCs w:val="24"/>
        </w:rPr>
      </w:pPr>
    </w:p>
    <w:p w:rsidR="0055455B" w:rsidRPr="00DB68A3" w:rsidRDefault="0055455B" w:rsidP="0055455B">
      <w:pPr>
        <w:pStyle w:val="Prrafodelista"/>
        <w:numPr>
          <w:ilvl w:val="0"/>
          <w:numId w:val="20"/>
        </w:numPr>
        <w:tabs>
          <w:tab w:val="left" w:pos="851"/>
          <w:tab w:val="left" w:pos="1134"/>
        </w:tabs>
        <w:spacing w:line="276" w:lineRule="auto"/>
        <w:ind w:left="0" w:firstLine="851"/>
        <w:contextualSpacing/>
        <w:jc w:val="both"/>
        <w:rPr>
          <w:rFonts w:ascii="Arial" w:hAnsi="Arial" w:cs="Arial"/>
          <w:bCs/>
          <w:spacing w:val="-3"/>
          <w:w w:val="98"/>
          <w:sz w:val="24"/>
          <w:szCs w:val="24"/>
        </w:rPr>
      </w:pPr>
      <w:r w:rsidRPr="00DB68A3">
        <w:rPr>
          <w:rFonts w:ascii="Arial" w:hAnsi="Arial" w:cs="Arial"/>
          <w:bCs/>
          <w:spacing w:val="-3"/>
          <w:w w:val="98"/>
          <w:sz w:val="24"/>
          <w:szCs w:val="24"/>
        </w:rPr>
        <w:t>Un 0,03% a partir del 1 de enero de 2020.</w:t>
      </w:r>
    </w:p>
    <w:p w:rsidR="0055455B" w:rsidRPr="00DB68A3" w:rsidRDefault="0055455B" w:rsidP="0055455B">
      <w:pPr>
        <w:tabs>
          <w:tab w:val="left" w:pos="851"/>
        </w:tabs>
        <w:spacing w:line="276" w:lineRule="auto"/>
        <w:jc w:val="both"/>
        <w:rPr>
          <w:rFonts w:ascii="Arial" w:hAnsi="Arial" w:cs="Arial"/>
          <w:bCs/>
          <w:spacing w:val="-3"/>
          <w:w w:val="98"/>
          <w:sz w:val="24"/>
          <w:szCs w:val="24"/>
        </w:rPr>
      </w:pPr>
    </w:p>
    <w:p w:rsidR="0055455B" w:rsidRPr="00DB68A3" w:rsidRDefault="0055455B" w:rsidP="0055455B">
      <w:pPr>
        <w:tabs>
          <w:tab w:val="left" w:pos="851"/>
        </w:tabs>
        <w:spacing w:line="276" w:lineRule="auto"/>
        <w:ind w:firstLine="851"/>
        <w:jc w:val="both"/>
        <w:rPr>
          <w:rFonts w:ascii="Arial" w:hAnsi="Arial" w:cs="Arial"/>
          <w:bCs/>
          <w:spacing w:val="-3"/>
          <w:w w:val="98"/>
          <w:sz w:val="24"/>
          <w:szCs w:val="24"/>
        </w:rPr>
      </w:pPr>
      <w:r w:rsidRPr="00DB68A3">
        <w:rPr>
          <w:rFonts w:ascii="Arial" w:hAnsi="Arial" w:cs="Arial"/>
          <w:bCs/>
          <w:spacing w:val="-3"/>
          <w:w w:val="98"/>
          <w:sz w:val="24"/>
          <w:szCs w:val="24"/>
        </w:rPr>
        <w:t>Artículo tercero.-</w:t>
      </w:r>
      <w:r w:rsidRPr="00DB68A3">
        <w:rPr>
          <w:rFonts w:ascii="Arial" w:hAnsi="Arial" w:cs="Arial"/>
          <w:b/>
          <w:bCs/>
          <w:spacing w:val="-3"/>
          <w:w w:val="98"/>
          <w:sz w:val="24"/>
          <w:szCs w:val="24"/>
        </w:rPr>
        <w:t xml:space="preserve"> </w:t>
      </w:r>
      <w:r w:rsidRPr="00DB68A3">
        <w:rPr>
          <w:rFonts w:ascii="Arial" w:hAnsi="Arial" w:cs="Arial"/>
          <w:bCs/>
          <w:spacing w:val="-3"/>
          <w:w w:val="98"/>
          <w:sz w:val="24"/>
          <w:szCs w:val="24"/>
        </w:rPr>
        <w:t>Si dentro de los seis meses siguientes al envío del proyecto de ley indicado en el artículo cuarto de esta ley, éste no fuere aprobado por el Congreso Nacional, se extinguirá la cotización creada en el artículo tercero  debiendo las Mutualidades de Empleadores y el Instituto de Seguridad Laboral, proceder a la devolución de los montos recaudados por este concepto a los respectivos empleadores, incluidas las utilidades y rentas obtenidas de su inversión. Esta devolución se realizará de acuerdo a las instrucciones que imparta la Superintendencia de Seguridad Social.”.</w:t>
      </w:r>
    </w:p>
    <w:p w:rsidR="0055455B" w:rsidRPr="001A15A2" w:rsidRDefault="0055455B" w:rsidP="0055455B">
      <w:pPr>
        <w:tabs>
          <w:tab w:val="left" w:pos="3402"/>
        </w:tabs>
        <w:spacing w:line="360" w:lineRule="atLeast"/>
        <w:ind w:right="51"/>
        <w:jc w:val="both"/>
        <w:rPr>
          <w:rFonts w:ascii="Arial" w:hAnsi="Arial" w:cs="Arial"/>
          <w:sz w:val="22"/>
          <w:szCs w:val="22"/>
        </w:rPr>
      </w:pPr>
      <w:r>
        <w:rPr>
          <w:rFonts w:ascii="Courier New" w:hAnsi="Courier New" w:cs="Courier New"/>
          <w:b/>
          <w:bCs/>
        </w:rPr>
        <w:tab/>
      </w:r>
      <w:r>
        <w:rPr>
          <w:rFonts w:ascii="Arial" w:hAnsi="Arial" w:cs="Arial"/>
          <w:sz w:val="22"/>
          <w:szCs w:val="22"/>
        </w:rPr>
        <w:t xml:space="preserve"> </w:t>
      </w:r>
    </w:p>
    <w:p w:rsidR="00CF18B9" w:rsidRPr="008B5E50" w:rsidRDefault="00BD1821" w:rsidP="006B33E8">
      <w:pPr>
        <w:tabs>
          <w:tab w:val="left" w:pos="1134"/>
        </w:tabs>
        <w:spacing w:line="276" w:lineRule="auto"/>
        <w:ind w:right="51" w:firstLine="851"/>
        <w:jc w:val="both"/>
        <w:rPr>
          <w:rFonts w:ascii="Arial" w:hAnsi="Arial" w:cs="Arial"/>
          <w:b/>
          <w:sz w:val="24"/>
          <w:szCs w:val="24"/>
          <w:u w:val="single"/>
        </w:rPr>
      </w:pPr>
      <w:r w:rsidRPr="008B5E50">
        <w:rPr>
          <w:rFonts w:ascii="Arial" w:hAnsi="Arial" w:cs="Arial"/>
          <w:b/>
          <w:sz w:val="24"/>
          <w:szCs w:val="24"/>
          <w:u w:val="single"/>
        </w:rPr>
        <w:t>Indicaciones</w:t>
      </w:r>
      <w:r w:rsidR="00A02F6E" w:rsidRPr="008B5E50">
        <w:rPr>
          <w:rFonts w:ascii="Arial" w:hAnsi="Arial" w:cs="Arial"/>
          <w:b/>
          <w:sz w:val="24"/>
          <w:szCs w:val="24"/>
          <w:u w:val="single"/>
        </w:rPr>
        <w:t xml:space="preserve"> Parlamentaria</w:t>
      </w:r>
      <w:r w:rsidRPr="008B5E50">
        <w:rPr>
          <w:rFonts w:ascii="Arial" w:hAnsi="Arial" w:cs="Arial"/>
          <w:b/>
          <w:sz w:val="24"/>
          <w:szCs w:val="24"/>
          <w:u w:val="single"/>
        </w:rPr>
        <w:t>s</w:t>
      </w:r>
    </w:p>
    <w:p w:rsidR="00A02F6E" w:rsidRDefault="00A02F6E" w:rsidP="006B33E8">
      <w:pPr>
        <w:tabs>
          <w:tab w:val="left" w:pos="1134"/>
        </w:tabs>
        <w:spacing w:line="276" w:lineRule="auto"/>
        <w:ind w:right="51" w:firstLine="851"/>
        <w:jc w:val="both"/>
        <w:rPr>
          <w:rFonts w:ascii="Arial" w:hAnsi="Arial" w:cs="Arial"/>
          <w:sz w:val="24"/>
          <w:szCs w:val="24"/>
        </w:rPr>
      </w:pPr>
    </w:p>
    <w:p w:rsidR="00A02F6E" w:rsidRDefault="00BD1821" w:rsidP="006B33E8">
      <w:pPr>
        <w:tabs>
          <w:tab w:val="left" w:pos="1134"/>
        </w:tabs>
        <w:spacing w:line="276" w:lineRule="auto"/>
        <w:ind w:right="51" w:firstLine="851"/>
        <w:jc w:val="both"/>
        <w:rPr>
          <w:rFonts w:ascii="Arial" w:hAnsi="Arial" w:cs="Arial"/>
          <w:sz w:val="24"/>
          <w:szCs w:val="24"/>
        </w:rPr>
      </w:pPr>
      <w:r>
        <w:rPr>
          <w:rFonts w:ascii="Arial" w:hAnsi="Arial" w:cs="Arial"/>
          <w:sz w:val="24"/>
          <w:szCs w:val="24"/>
        </w:rPr>
        <w:t xml:space="preserve">1.- </w:t>
      </w:r>
      <w:r w:rsidR="00A02F6E">
        <w:rPr>
          <w:rFonts w:ascii="Arial" w:hAnsi="Arial" w:cs="Arial"/>
          <w:sz w:val="24"/>
          <w:szCs w:val="24"/>
        </w:rPr>
        <w:t>De los Diputados señores Lorenzini y Jaramillo al artículo tercero transitorio para eliminar la frase “por el Congreso Nacional”.</w:t>
      </w:r>
    </w:p>
    <w:p w:rsidR="00A02F6E" w:rsidRDefault="00A02F6E" w:rsidP="006B33E8">
      <w:pPr>
        <w:tabs>
          <w:tab w:val="left" w:pos="1134"/>
        </w:tabs>
        <w:spacing w:line="276" w:lineRule="auto"/>
        <w:ind w:right="51" w:firstLine="851"/>
        <w:jc w:val="both"/>
        <w:rPr>
          <w:rFonts w:ascii="Arial" w:hAnsi="Arial" w:cs="Arial"/>
          <w:sz w:val="24"/>
          <w:szCs w:val="24"/>
        </w:rPr>
      </w:pPr>
    </w:p>
    <w:p w:rsidR="00E92F59" w:rsidRDefault="00E92F59" w:rsidP="006B33E8">
      <w:pPr>
        <w:tabs>
          <w:tab w:val="left" w:pos="1134"/>
        </w:tabs>
        <w:spacing w:line="276" w:lineRule="auto"/>
        <w:ind w:right="51" w:firstLine="851"/>
        <w:jc w:val="both"/>
        <w:rPr>
          <w:rFonts w:ascii="Arial" w:hAnsi="Arial" w:cs="Arial"/>
          <w:sz w:val="24"/>
          <w:szCs w:val="24"/>
        </w:rPr>
      </w:pPr>
    </w:p>
    <w:p w:rsidR="00A02F6E" w:rsidRPr="007112ED" w:rsidRDefault="00C95366" w:rsidP="006B33E8">
      <w:pPr>
        <w:tabs>
          <w:tab w:val="left" w:pos="1134"/>
        </w:tabs>
        <w:spacing w:line="276" w:lineRule="auto"/>
        <w:ind w:right="51" w:firstLine="851"/>
        <w:jc w:val="both"/>
        <w:rPr>
          <w:rFonts w:ascii="Arial" w:hAnsi="Arial" w:cs="Arial"/>
          <w:b/>
          <w:sz w:val="24"/>
          <w:szCs w:val="24"/>
          <w:u w:val="single"/>
        </w:rPr>
      </w:pPr>
      <w:r w:rsidRPr="007112ED">
        <w:rPr>
          <w:rFonts w:ascii="Arial" w:hAnsi="Arial" w:cs="Arial"/>
          <w:b/>
          <w:sz w:val="24"/>
          <w:szCs w:val="24"/>
          <w:u w:val="single"/>
        </w:rPr>
        <w:lastRenderedPageBreak/>
        <w:t xml:space="preserve">Votación </w:t>
      </w:r>
    </w:p>
    <w:p w:rsidR="00A02F6E" w:rsidRDefault="00A02F6E" w:rsidP="006B33E8">
      <w:pPr>
        <w:tabs>
          <w:tab w:val="left" w:pos="3402"/>
        </w:tabs>
        <w:spacing w:line="276" w:lineRule="auto"/>
        <w:ind w:right="51" w:firstLine="1134"/>
        <w:jc w:val="both"/>
        <w:rPr>
          <w:rFonts w:ascii="Arial" w:hAnsi="Arial" w:cs="Arial"/>
          <w:b/>
          <w:sz w:val="24"/>
          <w:szCs w:val="24"/>
        </w:rPr>
      </w:pPr>
    </w:p>
    <w:p w:rsidR="007112ED" w:rsidRDefault="007112ED" w:rsidP="006B33E8">
      <w:pPr>
        <w:tabs>
          <w:tab w:val="left" w:pos="3402"/>
        </w:tabs>
        <w:spacing w:line="276" w:lineRule="auto"/>
        <w:ind w:right="51" w:firstLine="1134"/>
        <w:jc w:val="both"/>
        <w:rPr>
          <w:rFonts w:ascii="Arial" w:hAnsi="Arial" w:cs="Arial"/>
          <w:b/>
          <w:sz w:val="24"/>
          <w:szCs w:val="24"/>
        </w:rPr>
      </w:pPr>
    </w:p>
    <w:p w:rsidR="007112ED" w:rsidRDefault="007112ED" w:rsidP="006B33E8">
      <w:pPr>
        <w:tabs>
          <w:tab w:val="left" w:pos="3402"/>
        </w:tabs>
        <w:spacing w:line="276" w:lineRule="auto"/>
        <w:ind w:right="51" w:firstLine="1134"/>
        <w:jc w:val="both"/>
        <w:rPr>
          <w:rFonts w:ascii="Arial" w:hAnsi="Arial" w:cs="Arial"/>
          <w:b/>
          <w:sz w:val="24"/>
          <w:szCs w:val="24"/>
        </w:rPr>
      </w:pPr>
    </w:p>
    <w:p w:rsidR="00BD1821" w:rsidRDefault="00BD1821" w:rsidP="006B33E8">
      <w:pPr>
        <w:tabs>
          <w:tab w:val="left" w:pos="3402"/>
        </w:tabs>
        <w:spacing w:line="276" w:lineRule="auto"/>
        <w:ind w:right="51" w:firstLine="1134"/>
        <w:jc w:val="both"/>
        <w:rPr>
          <w:rFonts w:ascii="Arial" w:hAnsi="Arial" w:cs="Arial"/>
          <w:sz w:val="24"/>
          <w:szCs w:val="24"/>
        </w:rPr>
      </w:pPr>
      <w:r>
        <w:rPr>
          <w:rFonts w:ascii="Arial" w:hAnsi="Arial" w:cs="Arial"/>
          <w:sz w:val="24"/>
          <w:szCs w:val="24"/>
        </w:rPr>
        <w:t>El señor Presidente de la Comisión explicó que procede votar el conjunto del arti</w:t>
      </w:r>
      <w:r w:rsidR="00A61357">
        <w:rPr>
          <w:rFonts w:ascii="Arial" w:hAnsi="Arial" w:cs="Arial"/>
          <w:sz w:val="24"/>
          <w:szCs w:val="24"/>
        </w:rPr>
        <w:t>culado, ante lo cual el Diputado señor Auth manifestó</w:t>
      </w:r>
      <w:r>
        <w:rPr>
          <w:rFonts w:ascii="Arial" w:hAnsi="Arial" w:cs="Arial"/>
          <w:sz w:val="24"/>
          <w:szCs w:val="24"/>
        </w:rPr>
        <w:t xml:space="preserve"> que no es admisible votar el articulado respecto a un proyecto que no ha sido aprobado en general</w:t>
      </w:r>
      <w:r w:rsidR="00A61357">
        <w:rPr>
          <w:rFonts w:ascii="Arial" w:hAnsi="Arial" w:cs="Arial"/>
          <w:sz w:val="24"/>
          <w:szCs w:val="24"/>
        </w:rPr>
        <w:t>,</w:t>
      </w:r>
      <w:r>
        <w:rPr>
          <w:rFonts w:ascii="Arial" w:hAnsi="Arial" w:cs="Arial"/>
          <w:sz w:val="24"/>
          <w:szCs w:val="24"/>
        </w:rPr>
        <w:t xml:space="preserve"> por tanto la Comisión decide votar tant</w:t>
      </w:r>
      <w:r w:rsidR="00A61357">
        <w:rPr>
          <w:rFonts w:ascii="Arial" w:hAnsi="Arial" w:cs="Arial"/>
          <w:sz w:val="24"/>
          <w:szCs w:val="24"/>
        </w:rPr>
        <w:t>o en general como en particular, no obstante las prevenciones hechas.</w:t>
      </w:r>
    </w:p>
    <w:p w:rsidR="00A61357" w:rsidRDefault="00A61357" w:rsidP="006B33E8">
      <w:pPr>
        <w:tabs>
          <w:tab w:val="left" w:pos="3402"/>
        </w:tabs>
        <w:spacing w:line="276" w:lineRule="auto"/>
        <w:ind w:right="51" w:firstLine="1134"/>
        <w:jc w:val="both"/>
        <w:rPr>
          <w:rFonts w:ascii="Arial" w:hAnsi="Arial" w:cs="Arial"/>
          <w:sz w:val="24"/>
          <w:szCs w:val="24"/>
        </w:rPr>
      </w:pPr>
    </w:p>
    <w:p w:rsidR="007112ED" w:rsidRPr="00BD1821" w:rsidRDefault="007112ED" w:rsidP="006B33E8">
      <w:pPr>
        <w:tabs>
          <w:tab w:val="left" w:pos="3402"/>
        </w:tabs>
        <w:spacing w:line="276" w:lineRule="auto"/>
        <w:ind w:right="51" w:firstLine="1134"/>
        <w:jc w:val="both"/>
        <w:rPr>
          <w:rFonts w:ascii="Arial" w:hAnsi="Arial" w:cs="Arial"/>
          <w:sz w:val="24"/>
          <w:szCs w:val="24"/>
        </w:rPr>
      </w:pPr>
    </w:p>
    <w:p w:rsidR="00262D76" w:rsidRDefault="00A02F6E" w:rsidP="006B33E8">
      <w:pPr>
        <w:tabs>
          <w:tab w:val="left" w:pos="3402"/>
        </w:tabs>
        <w:spacing w:line="276" w:lineRule="auto"/>
        <w:ind w:right="51" w:firstLine="1134"/>
        <w:jc w:val="both"/>
        <w:rPr>
          <w:rFonts w:ascii="Arial" w:hAnsi="Arial"/>
          <w:b/>
          <w:sz w:val="24"/>
        </w:rPr>
      </w:pPr>
      <w:r w:rsidRPr="00A02F6E">
        <w:rPr>
          <w:rFonts w:ascii="Arial" w:hAnsi="Arial" w:cs="Arial"/>
          <w:b/>
          <w:sz w:val="24"/>
          <w:szCs w:val="24"/>
        </w:rPr>
        <w:t xml:space="preserve">Sometido a votación general, el proyecto de ley </w:t>
      </w:r>
      <w:r>
        <w:rPr>
          <w:rFonts w:ascii="Arial" w:hAnsi="Arial"/>
          <w:b/>
          <w:sz w:val="24"/>
        </w:rPr>
        <w:t>es aprobado</w:t>
      </w:r>
      <w:r w:rsidRPr="005374A6">
        <w:rPr>
          <w:rFonts w:ascii="Arial" w:hAnsi="Arial"/>
          <w:b/>
          <w:sz w:val="24"/>
        </w:rPr>
        <w:t xml:space="preserve"> por el voto </w:t>
      </w:r>
      <w:r>
        <w:rPr>
          <w:rFonts w:ascii="Arial" w:hAnsi="Arial"/>
          <w:b/>
          <w:sz w:val="24"/>
        </w:rPr>
        <w:t>unánime</w:t>
      </w:r>
      <w:r w:rsidRPr="005374A6">
        <w:rPr>
          <w:rFonts w:ascii="Arial" w:hAnsi="Arial"/>
          <w:b/>
          <w:sz w:val="24"/>
        </w:rPr>
        <w:t xml:space="preserve"> </w:t>
      </w:r>
      <w:r>
        <w:rPr>
          <w:rFonts w:ascii="Arial" w:hAnsi="Arial"/>
          <w:b/>
          <w:sz w:val="24"/>
        </w:rPr>
        <w:t xml:space="preserve">de los Diputados señores José Miguel Ortiz (Presidente de la Comisión); Pepe Auth; Sergio Aguiló; Felipe De Mussy; Roberto León; Enrique Jaramillo; Pablo Lorenzini; Javier Macaya; Patricio Melero; Manuel Monsalve; Alejandro Santana; Marcelo Schilling; y, </w:t>
      </w:r>
      <w:r w:rsidR="007B66CD">
        <w:rPr>
          <w:rFonts w:ascii="Arial" w:hAnsi="Arial"/>
          <w:b/>
          <w:sz w:val="24"/>
        </w:rPr>
        <w:t xml:space="preserve">de la Diputada </w:t>
      </w:r>
      <w:r w:rsidR="004E3F58">
        <w:rPr>
          <w:rFonts w:ascii="Arial" w:hAnsi="Arial"/>
          <w:b/>
          <w:sz w:val="24"/>
        </w:rPr>
        <w:t>María José Hoffmann</w:t>
      </w:r>
      <w:r>
        <w:rPr>
          <w:rFonts w:ascii="Arial" w:hAnsi="Arial"/>
          <w:b/>
          <w:sz w:val="24"/>
        </w:rPr>
        <w:t xml:space="preserve"> (por el señor Ernesto Silva).</w:t>
      </w:r>
    </w:p>
    <w:p w:rsidR="006B33E8" w:rsidRPr="006B33E8" w:rsidRDefault="006B33E8" w:rsidP="006B33E8">
      <w:pPr>
        <w:tabs>
          <w:tab w:val="left" w:pos="3402"/>
        </w:tabs>
        <w:spacing w:line="276" w:lineRule="auto"/>
        <w:ind w:right="51" w:firstLine="1134"/>
        <w:jc w:val="both"/>
        <w:rPr>
          <w:rFonts w:ascii="Arial" w:hAnsi="Arial"/>
          <w:b/>
          <w:sz w:val="24"/>
        </w:rPr>
      </w:pPr>
    </w:p>
    <w:p w:rsidR="00A02F6E" w:rsidRPr="00223317" w:rsidRDefault="00A02F6E" w:rsidP="006B33E8">
      <w:pPr>
        <w:tabs>
          <w:tab w:val="left" w:pos="851"/>
        </w:tabs>
        <w:spacing w:line="276" w:lineRule="auto"/>
        <w:ind w:right="51" w:firstLine="1134"/>
        <w:jc w:val="both"/>
        <w:rPr>
          <w:rFonts w:ascii="Arial" w:hAnsi="Arial"/>
          <w:i/>
          <w:sz w:val="24"/>
        </w:rPr>
      </w:pPr>
      <w:r w:rsidRPr="00223317">
        <w:rPr>
          <w:rFonts w:ascii="Arial" w:hAnsi="Arial"/>
          <w:i/>
          <w:sz w:val="24"/>
        </w:rPr>
        <w:t xml:space="preserve">La Comisión acuerda votar </w:t>
      </w:r>
      <w:r w:rsidR="00ED380E">
        <w:rPr>
          <w:rFonts w:ascii="Arial" w:hAnsi="Arial"/>
          <w:i/>
          <w:sz w:val="24"/>
        </w:rPr>
        <w:t xml:space="preserve">en particular </w:t>
      </w:r>
      <w:r w:rsidRPr="00223317">
        <w:rPr>
          <w:rFonts w:ascii="Arial" w:hAnsi="Arial"/>
          <w:i/>
          <w:sz w:val="24"/>
        </w:rPr>
        <w:t>todas las disposiciones del proyecto</w:t>
      </w:r>
      <w:r>
        <w:rPr>
          <w:rFonts w:ascii="Arial" w:hAnsi="Arial"/>
          <w:i/>
          <w:sz w:val="24"/>
        </w:rPr>
        <w:t xml:space="preserve"> conjuntamente con la indicación parlamentaria recién transcrita. </w:t>
      </w:r>
    </w:p>
    <w:p w:rsidR="00A02F6E" w:rsidRDefault="00A02F6E" w:rsidP="006B33E8">
      <w:pPr>
        <w:tabs>
          <w:tab w:val="left" w:pos="851"/>
        </w:tabs>
        <w:spacing w:line="276" w:lineRule="auto"/>
        <w:ind w:right="51" w:firstLine="1134"/>
        <w:jc w:val="both"/>
        <w:rPr>
          <w:rFonts w:ascii="Arial" w:hAnsi="Arial"/>
          <w:b/>
          <w:i/>
          <w:sz w:val="24"/>
        </w:rPr>
      </w:pPr>
    </w:p>
    <w:p w:rsidR="004E3F58" w:rsidRDefault="00A02F6E" w:rsidP="006B33E8">
      <w:pPr>
        <w:tabs>
          <w:tab w:val="left" w:pos="3402"/>
        </w:tabs>
        <w:spacing w:line="276" w:lineRule="auto"/>
        <w:ind w:right="51" w:firstLine="1134"/>
        <w:jc w:val="both"/>
        <w:rPr>
          <w:rFonts w:ascii="Arial" w:hAnsi="Arial"/>
          <w:b/>
          <w:sz w:val="24"/>
        </w:rPr>
      </w:pPr>
      <w:r w:rsidRPr="005374A6">
        <w:rPr>
          <w:rFonts w:ascii="Arial" w:hAnsi="Arial"/>
          <w:b/>
          <w:sz w:val="24"/>
        </w:rPr>
        <w:t>Sometido a votación en forma conjunta todo el articulado del proyecto</w:t>
      </w:r>
      <w:r>
        <w:rPr>
          <w:rFonts w:ascii="Arial" w:hAnsi="Arial"/>
          <w:b/>
          <w:sz w:val="24"/>
        </w:rPr>
        <w:t xml:space="preserve"> junto a la indicación parlamentaria </w:t>
      </w:r>
      <w:r w:rsidR="008B5E50">
        <w:rPr>
          <w:rFonts w:ascii="Arial" w:hAnsi="Arial"/>
          <w:b/>
          <w:sz w:val="24"/>
        </w:rPr>
        <w:t>más arriba</w:t>
      </w:r>
      <w:r>
        <w:rPr>
          <w:rFonts w:ascii="Arial" w:hAnsi="Arial"/>
          <w:b/>
          <w:sz w:val="24"/>
        </w:rPr>
        <w:t xml:space="preserve"> transcrita</w:t>
      </w:r>
      <w:r w:rsidRPr="005374A6">
        <w:rPr>
          <w:rFonts w:ascii="Arial" w:hAnsi="Arial"/>
          <w:b/>
          <w:sz w:val="24"/>
        </w:rPr>
        <w:t xml:space="preserve">, </w:t>
      </w:r>
      <w:r w:rsidR="007112ED">
        <w:rPr>
          <w:rFonts w:ascii="Arial" w:hAnsi="Arial"/>
          <w:b/>
          <w:sz w:val="24"/>
        </w:rPr>
        <w:t>es aprobado</w:t>
      </w:r>
      <w:r w:rsidRPr="005374A6">
        <w:rPr>
          <w:rFonts w:ascii="Arial" w:hAnsi="Arial"/>
          <w:b/>
          <w:sz w:val="24"/>
        </w:rPr>
        <w:t xml:space="preserve"> por el voto </w:t>
      </w:r>
      <w:r>
        <w:rPr>
          <w:rFonts w:ascii="Arial" w:hAnsi="Arial"/>
          <w:b/>
          <w:sz w:val="24"/>
        </w:rPr>
        <w:t>mayoritario</w:t>
      </w:r>
      <w:r w:rsidRPr="005374A6">
        <w:rPr>
          <w:rFonts w:ascii="Arial" w:hAnsi="Arial"/>
          <w:b/>
          <w:sz w:val="24"/>
        </w:rPr>
        <w:t xml:space="preserve"> </w:t>
      </w:r>
      <w:r>
        <w:rPr>
          <w:rFonts w:ascii="Arial" w:hAnsi="Arial"/>
          <w:b/>
          <w:sz w:val="24"/>
        </w:rPr>
        <w:t xml:space="preserve">de los Diputados señores José Miguel Ortiz (Presidente de la Comisión); Pepe Auth; Sergio Aguiló; Roberto León; Enrique Jaramillo; Pablo Lorenzini; Manuel Monsalve; y Marcelo Schilling. Se abstienen de votar los Diputados señores Felipe De Mussy; Javier Macaya; Patricio Melero; Alejandro Santana; </w:t>
      </w:r>
      <w:r w:rsidR="004E3F58">
        <w:rPr>
          <w:rFonts w:ascii="Arial" w:hAnsi="Arial"/>
          <w:b/>
          <w:sz w:val="24"/>
        </w:rPr>
        <w:t>y, la Diputada María José Hoffmann (por el señor Ernesto Silva).</w:t>
      </w:r>
    </w:p>
    <w:p w:rsidR="00A02F6E" w:rsidRPr="005374A6" w:rsidRDefault="00A02F6E" w:rsidP="006B33E8">
      <w:pPr>
        <w:tabs>
          <w:tab w:val="left" w:pos="851"/>
        </w:tabs>
        <w:spacing w:line="276" w:lineRule="auto"/>
        <w:ind w:right="51" w:firstLine="1134"/>
        <w:jc w:val="both"/>
        <w:rPr>
          <w:rFonts w:ascii="Arial" w:hAnsi="Arial"/>
          <w:b/>
          <w:sz w:val="24"/>
        </w:rPr>
      </w:pPr>
    </w:p>
    <w:p w:rsidR="00A02F6E" w:rsidRPr="008E44D8" w:rsidRDefault="00A02F6E" w:rsidP="006B33E8">
      <w:pPr>
        <w:tabs>
          <w:tab w:val="left" w:pos="851"/>
        </w:tabs>
        <w:spacing w:line="276" w:lineRule="auto"/>
        <w:ind w:right="51" w:firstLine="1134"/>
        <w:jc w:val="both"/>
        <w:rPr>
          <w:rFonts w:ascii="Arial" w:hAnsi="Arial"/>
          <w:sz w:val="24"/>
        </w:rPr>
      </w:pPr>
      <w:r>
        <w:rPr>
          <w:rFonts w:ascii="Arial" w:hAnsi="Arial"/>
          <w:sz w:val="24"/>
        </w:rPr>
        <w:t xml:space="preserve">Se designó diputado informante al señor </w:t>
      </w:r>
      <w:r>
        <w:rPr>
          <w:rFonts w:ascii="Arial" w:hAnsi="Arial"/>
          <w:b/>
          <w:sz w:val="24"/>
        </w:rPr>
        <w:t>Pepe Auth.</w:t>
      </w:r>
    </w:p>
    <w:p w:rsidR="00C95366" w:rsidRPr="00000546" w:rsidRDefault="00DC4F24" w:rsidP="00DC4F24">
      <w:pPr>
        <w:tabs>
          <w:tab w:val="left" w:pos="3402"/>
        </w:tabs>
        <w:spacing w:line="360" w:lineRule="atLeast"/>
        <w:ind w:right="51" w:firstLine="851"/>
        <w:jc w:val="both"/>
        <w:rPr>
          <w:rFonts w:ascii="Arial" w:hAnsi="Arial" w:cs="Arial"/>
          <w:sz w:val="24"/>
          <w:szCs w:val="24"/>
        </w:rPr>
      </w:pPr>
      <w:r>
        <w:rPr>
          <w:rFonts w:ascii="Arial" w:hAnsi="Arial" w:cs="Arial"/>
          <w:sz w:val="24"/>
          <w:szCs w:val="24"/>
        </w:rPr>
        <w:t xml:space="preserve"> </w:t>
      </w:r>
    </w:p>
    <w:p w:rsidR="00E848C0" w:rsidRPr="00E535A3" w:rsidRDefault="00E848C0" w:rsidP="00E848C0">
      <w:pPr>
        <w:spacing w:line="360" w:lineRule="atLeast"/>
        <w:ind w:right="51" w:firstLine="851"/>
        <w:jc w:val="both"/>
        <w:rPr>
          <w:rFonts w:ascii="Arial" w:hAnsi="Arial" w:cs="Arial"/>
          <w:sz w:val="24"/>
          <w:szCs w:val="24"/>
        </w:rPr>
      </w:pPr>
      <w:r w:rsidRPr="00E535A3">
        <w:rPr>
          <w:rFonts w:ascii="Arial" w:hAnsi="Arial" w:cs="Arial"/>
          <w:sz w:val="24"/>
          <w:szCs w:val="24"/>
        </w:rPr>
        <w:t>En consecuencia, la Comisión de Hacienda propone la aprobación del siguiente texto:</w:t>
      </w:r>
    </w:p>
    <w:p w:rsidR="00C95366" w:rsidRPr="00000546" w:rsidRDefault="00C95366" w:rsidP="00B751EB">
      <w:pPr>
        <w:tabs>
          <w:tab w:val="left" w:pos="3402"/>
        </w:tabs>
        <w:spacing w:line="360" w:lineRule="atLeast"/>
        <w:ind w:right="51"/>
        <w:jc w:val="both"/>
        <w:rPr>
          <w:rFonts w:ascii="Arial" w:hAnsi="Arial" w:cs="Arial"/>
          <w:sz w:val="24"/>
          <w:szCs w:val="24"/>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1.- Modifícase la ley N° 19.578, que concede aumento a las pensiones y establece su financiamiento por medio de modificaciones a normas tributarias, en el siguiente sentido: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lastRenderedPageBreak/>
        <w:t>1)</w:t>
      </w:r>
      <w:r w:rsidRPr="00B86610">
        <w:rPr>
          <w:rFonts w:ascii="Arial" w:hAnsi="Arial" w:cs="Arial"/>
          <w:sz w:val="22"/>
          <w:szCs w:val="22"/>
        </w:rPr>
        <w:tab/>
      </w:r>
      <w:proofErr w:type="spellStart"/>
      <w:r w:rsidRPr="00B86610">
        <w:rPr>
          <w:rFonts w:ascii="Arial" w:hAnsi="Arial" w:cs="Arial"/>
          <w:sz w:val="22"/>
          <w:szCs w:val="22"/>
        </w:rPr>
        <w:t>Introducénse</w:t>
      </w:r>
      <w:proofErr w:type="spellEnd"/>
      <w:r w:rsidRPr="00B86610">
        <w:rPr>
          <w:rFonts w:ascii="Arial" w:hAnsi="Arial" w:cs="Arial"/>
          <w:sz w:val="22"/>
          <w:szCs w:val="22"/>
        </w:rPr>
        <w:t xml:space="preserve"> las siguientes modificaciones al artículo 21:</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i.</w:t>
      </w:r>
      <w:r w:rsidRPr="00B86610">
        <w:rPr>
          <w:rFonts w:ascii="Arial" w:hAnsi="Arial" w:cs="Arial"/>
          <w:sz w:val="22"/>
          <w:szCs w:val="22"/>
        </w:rPr>
        <w:tab/>
      </w:r>
      <w:proofErr w:type="spellStart"/>
      <w:r w:rsidRPr="00B86610">
        <w:rPr>
          <w:rFonts w:ascii="Arial" w:hAnsi="Arial" w:cs="Arial"/>
          <w:sz w:val="22"/>
          <w:szCs w:val="22"/>
        </w:rPr>
        <w:t>Elimínase</w:t>
      </w:r>
      <w:proofErr w:type="spellEnd"/>
      <w:r w:rsidRPr="00B86610">
        <w:rPr>
          <w:rFonts w:ascii="Arial" w:hAnsi="Arial" w:cs="Arial"/>
          <w:sz w:val="22"/>
          <w:szCs w:val="22"/>
        </w:rPr>
        <w:t xml:space="preserve"> el literal a) del punto 1 de la letra A.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proofErr w:type="spellStart"/>
      <w:r w:rsidRPr="00B86610">
        <w:rPr>
          <w:rFonts w:ascii="Arial" w:hAnsi="Arial" w:cs="Arial"/>
          <w:sz w:val="22"/>
          <w:szCs w:val="22"/>
        </w:rPr>
        <w:t>ii</w:t>
      </w:r>
      <w:proofErr w:type="spellEnd"/>
      <w:r w:rsidRPr="00B86610">
        <w:rPr>
          <w:rFonts w:ascii="Arial" w:hAnsi="Arial" w:cs="Arial"/>
          <w:sz w:val="22"/>
          <w:szCs w:val="22"/>
        </w:rPr>
        <w:t>.</w:t>
      </w:r>
      <w:r w:rsidRPr="00B86610">
        <w:rPr>
          <w:rFonts w:ascii="Arial" w:hAnsi="Arial" w:cs="Arial"/>
          <w:sz w:val="22"/>
          <w:szCs w:val="22"/>
        </w:rPr>
        <w:tab/>
      </w:r>
      <w:proofErr w:type="spellStart"/>
      <w:r w:rsidRPr="00B86610">
        <w:rPr>
          <w:rFonts w:ascii="Arial" w:hAnsi="Arial" w:cs="Arial"/>
          <w:sz w:val="22"/>
          <w:szCs w:val="22"/>
        </w:rPr>
        <w:t>Intercálase</w:t>
      </w:r>
      <w:proofErr w:type="spellEnd"/>
      <w:r w:rsidRPr="00B86610">
        <w:rPr>
          <w:rFonts w:ascii="Arial" w:hAnsi="Arial" w:cs="Arial"/>
          <w:sz w:val="22"/>
          <w:szCs w:val="22"/>
        </w:rPr>
        <w:t xml:space="preserve"> en el literal b) del punto 1 de la letra A, a continuación de la cuarta coma (,) que pasa a ser punto seguido, lo siguiente: “Dicha suma no podrá ser superior al 4% del ingreso por cotización básica del año anterior, definido en la letra a) del artículo 15 de la ley N°16.744,".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proofErr w:type="spellStart"/>
      <w:r w:rsidRPr="00B86610">
        <w:rPr>
          <w:rFonts w:ascii="Arial" w:hAnsi="Arial" w:cs="Arial"/>
          <w:sz w:val="22"/>
          <w:szCs w:val="22"/>
        </w:rPr>
        <w:t>iii</w:t>
      </w:r>
      <w:proofErr w:type="spellEnd"/>
      <w:r w:rsidRPr="00B86610">
        <w:rPr>
          <w:rFonts w:ascii="Arial" w:hAnsi="Arial" w:cs="Arial"/>
          <w:sz w:val="22"/>
          <w:szCs w:val="22"/>
        </w:rPr>
        <w:t>.</w:t>
      </w:r>
      <w:r w:rsidRPr="00B86610">
        <w:rPr>
          <w:rFonts w:ascii="Arial" w:hAnsi="Arial" w:cs="Arial"/>
          <w:sz w:val="22"/>
          <w:szCs w:val="22"/>
        </w:rPr>
        <w:tab/>
      </w:r>
      <w:proofErr w:type="spellStart"/>
      <w:r w:rsidRPr="00B86610">
        <w:rPr>
          <w:rFonts w:ascii="Arial" w:hAnsi="Arial" w:cs="Arial"/>
          <w:sz w:val="22"/>
          <w:szCs w:val="22"/>
        </w:rPr>
        <w:t>Reemplázase</w:t>
      </w:r>
      <w:proofErr w:type="spellEnd"/>
      <w:r w:rsidRPr="00B86610">
        <w:rPr>
          <w:rFonts w:ascii="Arial" w:hAnsi="Arial" w:cs="Arial"/>
          <w:sz w:val="22"/>
          <w:szCs w:val="22"/>
        </w:rPr>
        <w:t xml:space="preserve"> en el párrafo final del número 1 y en el primer párrafo del número 2, ambos de la letra B, el porcentaje "100%" por "65%".</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2)</w:t>
      </w:r>
      <w:r w:rsidRPr="00B86610">
        <w:rPr>
          <w:rFonts w:ascii="Arial" w:hAnsi="Arial" w:cs="Arial"/>
          <w:sz w:val="22"/>
          <w:szCs w:val="22"/>
        </w:rPr>
        <w:tab/>
      </w:r>
      <w:proofErr w:type="spellStart"/>
      <w:r w:rsidRPr="00B86610">
        <w:rPr>
          <w:rFonts w:ascii="Arial" w:hAnsi="Arial" w:cs="Arial"/>
          <w:sz w:val="22"/>
          <w:szCs w:val="22"/>
        </w:rPr>
        <w:t>Introdúcense</w:t>
      </w:r>
      <w:proofErr w:type="spellEnd"/>
      <w:r w:rsidRPr="00B86610">
        <w:rPr>
          <w:rFonts w:ascii="Arial" w:hAnsi="Arial" w:cs="Arial"/>
          <w:sz w:val="22"/>
          <w:szCs w:val="22"/>
        </w:rPr>
        <w:t xml:space="preserve"> las siguientes modificaciones al artículo sexto transitorio: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i.</w:t>
      </w:r>
      <w:r w:rsidRPr="00B86610">
        <w:rPr>
          <w:rFonts w:ascii="Arial" w:hAnsi="Arial" w:cs="Arial"/>
          <w:sz w:val="22"/>
          <w:szCs w:val="22"/>
        </w:rPr>
        <w:tab/>
      </w:r>
      <w:proofErr w:type="spellStart"/>
      <w:r w:rsidRPr="00B86610">
        <w:rPr>
          <w:rFonts w:ascii="Arial" w:hAnsi="Arial" w:cs="Arial"/>
          <w:sz w:val="22"/>
          <w:szCs w:val="22"/>
        </w:rPr>
        <w:t>Reemplázase</w:t>
      </w:r>
      <w:proofErr w:type="spellEnd"/>
      <w:r w:rsidRPr="00B86610">
        <w:rPr>
          <w:rFonts w:ascii="Arial" w:hAnsi="Arial" w:cs="Arial"/>
          <w:sz w:val="22"/>
          <w:szCs w:val="22"/>
        </w:rPr>
        <w:t xml:space="preserve"> en el inciso primero las expresiones “31 de marzo del año 2017” por “31 de diciembre del año 2019” y “del 0,05% de” por la palabra “sobre”.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proofErr w:type="spellStart"/>
      <w:r w:rsidRPr="00B86610">
        <w:rPr>
          <w:rFonts w:ascii="Arial" w:hAnsi="Arial" w:cs="Arial"/>
          <w:sz w:val="22"/>
          <w:szCs w:val="22"/>
        </w:rPr>
        <w:t>ii</w:t>
      </w:r>
      <w:proofErr w:type="spellEnd"/>
      <w:r w:rsidRPr="00B86610">
        <w:rPr>
          <w:rFonts w:ascii="Arial" w:hAnsi="Arial" w:cs="Arial"/>
          <w:sz w:val="22"/>
          <w:szCs w:val="22"/>
        </w:rPr>
        <w:t>.</w:t>
      </w:r>
      <w:r w:rsidRPr="00B86610">
        <w:rPr>
          <w:rFonts w:ascii="Arial" w:hAnsi="Arial" w:cs="Arial"/>
          <w:sz w:val="22"/>
          <w:szCs w:val="22"/>
        </w:rPr>
        <w:tab/>
      </w:r>
      <w:proofErr w:type="spellStart"/>
      <w:r w:rsidRPr="00B86610">
        <w:rPr>
          <w:rFonts w:ascii="Arial" w:hAnsi="Arial" w:cs="Arial"/>
          <w:sz w:val="22"/>
          <w:szCs w:val="22"/>
        </w:rPr>
        <w:t>Intercálase</w:t>
      </w:r>
      <w:proofErr w:type="spellEnd"/>
      <w:r w:rsidRPr="00B86610">
        <w:rPr>
          <w:rFonts w:ascii="Arial" w:hAnsi="Arial" w:cs="Arial"/>
          <w:sz w:val="22"/>
          <w:szCs w:val="22"/>
        </w:rPr>
        <w:t xml:space="preserve"> el siguiente inciso segundo, nuevo, pasando el actual segundo a ser tercero: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“A partir del 1 de abril del año 2017, y durante los períodos que a continuación se establecen, el porcentaje de la cotización extraordinaria señalada en el inciso anterior corresponderá a:</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a.</w:t>
      </w:r>
      <w:r w:rsidRPr="00B86610">
        <w:rPr>
          <w:rFonts w:ascii="Arial" w:hAnsi="Arial" w:cs="Arial"/>
          <w:sz w:val="22"/>
          <w:szCs w:val="22"/>
        </w:rPr>
        <w:tab/>
        <w:t xml:space="preserve">Un 0,04% desde el 1 de abril y hasta el 31 de diciembre de 2017;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b.</w:t>
      </w:r>
      <w:r w:rsidRPr="00B86610">
        <w:rPr>
          <w:rFonts w:ascii="Arial" w:hAnsi="Arial" w:cs="Arial"/>
          <w:sz w:val="22"/>
          <w:szCs w:val="22"/>
        </w:rPr>
        <w:tab/>
        <w:t>Un 0,015% desde el 1 de enero y hasta el 31 de diciembre de 2018, y</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c.</w:t>
      </w:r>
      <w:r w:rsidRPr="00B86610">
        <w:rPr>
          <w:rFonts w:ascii="Arial" w:hAnsi="Arial" w:cs="Arial"/>
          <w:sz w:val="22"/>
          <w:szCs w:val="22"/>
        </w:rPr>
        <w:tab/>
        <w:t xml:space="preserve">Un 0,01% desde el 1 de enero y hasta el 31 de diciembre de 2019.”. </w:t>
      </w: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2.- </w:t>
      </w:r>
      <w:proofErr w:type="spellStart"/>
      <w:r w:rsidRPr="00B86610">
        <w:rPr>
          <w:rFonts w:ascii="Arial" w:hAnsi="Arial" w:cs="Arial"/>
          <w:sz w:val="22"/>
          <w:szCs w:val="22"/>
        </w:rPr>
        <w:t>Elimínase</w:t>
      </w:r>
      <w:proofErr w:type="spellEnd"/>
      <w:r w:rsidRPr="00B86610">
        <w:rPr>
          <w:rFonts w:ascii="Arial" w:hAnsi="Arial" w:cs="Arial"/>
          <w:sz w:val="22"/>
          <w:szCs w:val="22"/>
        </w:rPr>
        <w:t xml:space="preserve"> la expresión “del 0,05%” del inciso segundo del artículo 88 de la ley N° 20.255, que establece reforma previsional.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3.- </w:t>
      </w:r>
      <w:proofErr w:type="spellStart"/>
      <w:r w:rsidRPr="00B86610">
        <w:rPr>
          <w:rFonts w:ascii="Arial" w:hAnsi="Arial" w:cs="Arial"/>
          <w:sz w:val="22"/>
          <w:szCs w:val="22"/>
        </w:rPr>
        <w:t>Establécese</w:t>
      </w:r>
      <w:proofErr w:type="spellEnd"/>
      <w:r w:rsidRPr="00B86610">
        <w:rPr>
          <w:rFonts w:ascii="Arial" w:hAnsi="Arial" w:cs="Arial"/>
          <w:sz w:val="22"/>
          <w:szCs w:val="22"/>
        </w:rPr>
        <w:t xml:space="preserve"> una cotización del 0,03% de las remuneraciones imponibles de los trabajadores, de cargo del empleador, </w:t>
      </w:r>
      <w:r w:rsidRPr="00B86610">
        <w:rPr>
          <w:rFonts w:ascii="Arial" w:hAnsi="Arial" w:cs="Arial"/>
          <w:sz w:val="22"/>
          <w:szCs w:val="22"/>
        </w:rPr>
        <w:lastRenderedPageBreak/>
        <w:t xml:space="preserve">destinada a la creación de un fondo cuyo objetivo será el financiamiento de un seguro para las madres y padres trabajadores de hijos e hijas mayores de 1 año y menores de 15 o 18 años de edad, según corresponda, afectados por una condición grave de salud, para que puedan ausentarse justificadamente de su trabajo durante un tiempo determinado, con la finalidad de prestarles atención, acompañamiento o cuidado personal a sus hijos e hijas. Durante dicho período las madres y padres trabajadores tendrán derecho a una prestación económica que reemplazará total o parcialmente su remuneración mensual, la que se financiará con cargo al fondo.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En el caso de los trabajadores independientes la cotización del 0,03% será de su cargo y se calculará sobre su renta imponible.</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La recaudación de esta cotización se efectuará por las Mutualidades de Empleadores y el Instituto de Seguridad Laboral conjuntamente con las demás cotizaciones que recaudan para el financiamiento del seguro de la ley N° 16.744.</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4.- Dentro de los sesenta días siguientes a la publicación de la presente ley, el Presidente de la República enviará al Congreso Nacional un proyecto de ley que regulará el fondo establecido en el artículo anterior, la entidad administradora, los requisitos de acceso, los beneficiarios, la extensión del permiso, las prestaciones que se otorgarán con cargo al fondo y los demás elementos necesarios para su funcionamiento.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5.-  En tanto no se apruebe la ley indicada en el artículo anterior, las Mutualidades de Empleadores y el Instituto de Seguridad Laboral deberán recaudar la  cotización establecida en el artículo 3 de esta ley, mantenerla en una cuenta especial creada para este efecto, y posteriormente integrar estos recursos al fondo de acuerdo a las normas que se definan en la ley con ese objeto.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Durante este período las Mutualidades de Empleadores deberán invertir estos recursos de conformidad a lo establecido en el punto 2, letra A, del artículo 21 de la ley N° 19.578.  Por su parte, el Instituto de Seguridad Laboral deberá invertir estos recursos en los instrumentos previstos en las letras a) y b) del artículo 45 del decreto ley N° 3.500, de 1980.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lastRenderedPageBreak/>
        <w:t>La Superintendencia de Seguridad Social dictará las normas necesarias para el cumplimiento y la fiscalización de esta obligación.</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DISPOSICIONES TRANSITORIAS</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primero.- La modificación establecida en </w:t>
      </w:r>
      <w:proofErr w:type="gramStart"/>
      <w:r w:rsidRPr="00B86610">
        <w:rPr>
          <w:rFonts w:ascii="Arial" w:hAnsi="Arial" w:cs="Arial"/>
          <w:sz w:val="22"/>
          <w:szCs w:val="22"/>
        </w:rPr>
        <w:t>el</w:t>
      </w:r>
      <w:proofErr w:type="gramEnd"/>
      <w:r w:rsidRPr="00B86610">
        <w:rPr>
          <w:rFonts w:ascii="Arial" w:hAnsi="Arial" w:cs="Arial"/>
          <w:sz w:val="22"/>
          <w:szCs w:val="22"/>
        </w:rPr>
        <w:t xml:space="preserve"> numeral i, del número 1, del artículo 1 de esta ley comenzará a regir a partir del 1° de enero de 2020.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 xml:space="preserve">Artículo segundo.- La cotización establecida en el artículo 3 de esta ley será implementada gradualmente, de acuerdo a los porcentajes y para los períodos que se indican a continuación: </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a.</w:t>
      </w:r>
      <w:r w:rsidRPr="00B86610">
        <w:rPr>
          <w:rFonts w:ascii="Arial" w:hAnsi="Arial" w:cs="Arial"/>
          <w:sz w:val="22"/>
          <w:szCs w:val="22"/>
        </w:rPr>
        <w:tab/>
        <w:t>Un 0,01% desde el 1 de abril y hasta el 31 de diciembre de 2017;</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b.</w:t>
      </w:r>
      <w:r w:rsidRPr="00B86610">
        <w:rPr>
          <w:rFonts w:ascii="Arial" w:hAnsi="Arial" w:cs="Arial"/>
          <w:sz w:val="22"/>
          <w:szCs w:val="22"/>
        </w:rPr>
        <w:tab/>
        <w:t>Un 0,015% desde el 1 de enero y hasta el 31 de diciembre de 2018;</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c.</w:t>
      </w:r>
      <w:r w:rsidRPr="00B86610">
        <w:rPr>
          <w:rFonts w:ascii="Arial" w:hAnsi="Arial" w:cs="Arial"/>
          <w:sz w:val="22"/>
          <w:szCs w:val="22"/>
        </w:rPr>
        <w:tab/>
        <w:t>Un 0,02% desde el 1 de enero y hasta el 31 de diciembre de 2019, y</w:t>
      </w:r>
    </w:p>
    <w:p w:rsidR="00B86610" w:rsidRPr="00B86610" w:rsidRDefault="00B86610" w:rsidP="00B86610">
      <w:pPr>
        <w:spacing w:line="360" w:lineRule="atLeast"/>
        <w:ind w:right="51" w:firstLine="851"/>
        <w:jc w:val="both"/>
        <w:rPr>
          <w:rFonts w:ascii="Arial" w:hAnsi="Arial" w:cs="Arial"/>
          <w:sz w:val="22"/>
          <w:szCs w:val="22"/>
        </w:rPr>
      </w:pPr>
    </w:p>
    <w:p w:rsidR="00B86610" w:rsidRPr="00B86610" w:rsidRDefault="00B86610" w:rsidP="00B86610">
      <w:pPr>
        <w:spacing w:line="360" w:lineRule="atLeast"/>
        <w:ind w:right="51" w:firstLine="851"/>
        <w:jc w:val="both"/>
        <w:rPr>
          <w:rFonts w:ascii="Arial" w:hAnsi="Arial" w:cs="Arial"/>
          <w:sz w:val="22"/>
          <w:szCs w:val="22"/>
        </w:rPr>
      </w:pPr>
      <w:r w:rsidRPr="00B86610">
        <w:rPr>
          <w:rFonts w:ascii="Arial" w:hAnsi="Arial" w:cs="Arial"/>
          <w:sz w:val="22"/>
          <w:szCs w:val="22"/>
        </w:rPr>
        <w:t>d.</w:t>
      </w:r>
      <w:r w:rsidRPr="00B86610">
        <w:rPr>
          <w:rFonts w:ascii="Arial" w:hAnsi="Arial" w:cs="Arial"/>
          <w:sz w:val="22"/>
          <w:szCs w:val="22"/>
        </w:rPr>
        <w:tab/>
        <w:t>Un 0,03% a partir del 1 de enero de 2020.</w:t>
      </w:r>
    </w:p>
    <w:p w:rsidR="00B86610" w:rsidRPr="00B86610" w:rsidRDefault="00B86610" w:rsidP="00B86610">
      <w:pPr>
        <w:spacing w:line="360" w:lineRule="atLeast"/>
        <w:ind w:right="51" w:firstLine="851"/>
        <w:jc w:val="both"/>
        <w:rPr>
          <w:rFonts w:ascii="Arial" w:hAnsi="Arial" w:cs="Arial"/>
          <w:sz w:val="22"/>
          <w:szCs w:val="22"/>
        </w:rPr>
      </w:pPr>
    </w:p>
    <w:p w:rsidR="005B24EA" w:rsidRDefault="00B86610" w:rsidP="00E92F59">
      <w:pPr>
        <w:ind w:right="51" w:firstLine="851"/>
        <w:jc w:val="both"/>
        <w:rPr>
          <w:rFonts w:ascii="Arial" w:hAnsi="Arial" w:cs="Arial"/>
          <w:sz w:val="22"/>
          <w:szCs w:val="22"/>
        </w:rPr>
      </w:pPr>
      <w:r w:rsidRPr="00B86610">
        <w:rPr>
          <w:rFonts w:ascii="Arial" w:hAnsi="Arial" w:cs="Arial"/>
          <w:sz w:val="22"/>
          <w:szCs w:val="22"/>
        </w:rPr>
        <w:t>Artículo tercero.- Si dentro de los seis meses siguientes al envío del proyecto de ley indicado en el artículo cuarto de esta ley, éste no fuere aprobado, se extinguirá la cotización creada en el artículo tercero  debiendo las Mutualidades de Empleadores y el Instituto de Seguridad Laboral, proceder a la devolución de los montos recaudados por este concepto a los respectivos empleadores, incluidas las utilidades y rentas obtenidas de su inversión. Esta devolución se realizará de acuerdo a las instrucciones que imparta la Superintendencia de Seguridad Social.”.</w:t>
      </w:r>
      <w:r w:rsidR="005B24EA" w:rsidRPr="003F3E3E">
        <w:rPr>
          <w:rFonts w:ascii="Arial" w:hAnsi="Arial" w:cs="Arial"/>
          <w:sz w:val="22"/>
          <w:szCs w:val="22"/>
        </w:rPr>
        <w:t xml:space="preserve">En consecuencia, </w:t>
      </w:r>
      <w:r w:rsidR="005B24EA">
        <w:rPr>
          <w:rFonts w:ascii="Arial" w:hAnsi="Arial" w:cs="Arial"/>
          <w:sz w:val="22"/>
          <w:szCs w:val="22"/>
        </w:rPr>
        <w:t>la Comisión de Hacienda propone la aprobación del siguiente texto:</w:t>
      </w:r>
    </w:p>
    <w:p w:rsidR="00C95366" w:rsidRDefault="00C95366" w:rsidP="00B751EB">
      <w:pPr>
        <w:tabs>
          <w:tab w:val="left" w:pos="3402"/>
        </w:tabs>
        <w:spacing w:line="360" w:lineRule="atLeast"/>
        <w:ind w:right="51"/>
        <w:jc w:val="both"/>
        <w:rPr>
          <w:rFonts w:ascii="Arial" w:hAnsi="Arial" w:cs="Arial"/>
          <w:sz w:val="24"/>
          <w:szCs w:val="24"/>
        </w:rPr>
      </w:pPr>
    </w:p>
    <w:p w:rsidR="009F6473" w:rsidRDefault="009F6473" w:rsidP="009F6473">
      <w:pPr>
        <w:tabs>
          <w:tab w:val="left" w:pos="3402"/>
        </w:tabs>
        <w:spacing w:line="360" w:lineRule="atLeast"/>
        <w:ind w:right="51"/>
        <w:jc w:val="center"/>
        <w:rPr>
          <w:rFonts w:ascii="Arial" w:hAnsi="Arial" w:cs="Arial"/>
          <w:sz w:val="24"/>
          <w:szCs w:val="24"/>
        </w:rPr>
      </w:pPr>
      <w:r>
        <w:rPr>
          <w:rFonts w:ascii="Arial" w:hAnsi="Arial" w:cs="Arial"/>
          <w:sz w:val="24"/>
          <w:szCs w:val="24"/>
        </w:rPr>
        <w:t>****************</w:t>
      </w:r>
    </w:p>
    <w:p w:rsidR="009F6473" w:rsidRDefault="008D37FB" w:rsidP="008D37FB">
      <w:pPr>
        <w:tabs>
          <w:tab w:val="left" w:pos="3402"/>
        </w:tabs>
        <w:spacing w:line="360" w:lineRule="atLeast"/>
        <w:ind w:right="51"/>
        <w:jc w:val="center"/>
        <w:rPr>
          <w:rFonts w:ascii="Arial" w:hAnsi="Arial" w:cs="Arial"/>
          <w:sz w:val="24"/>
          <w:szCs w:val="24"/>
        </w:rPr>
      </w:pPr>
      <w:r>
        <w:rPr>
          <w:rFonts w:ascii="Arial" w:hAnsi="Arial" w:cs="Arial"/>
          <w:noProof/>
          <w:sz w:val="24"/>
          <w:szCs w:val="24"/>
          <w:lang w:val="es-CL" w:eastAsia="es-CL"/>
        </w:rPr>
        <w:drawing>
          <wp:inline distT="0" distB="0" distL="0" distR="0">
            <wp:extent cx="2495550" cy="1590675"/>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p w:rsidR="00E848C0" w:rsidRDefault="00E848C0" w:rsidP="00B751EB">
      <w:pPr>
        <w:tabs>
          <w:tab w:val="left" w:pos="3402"/>
        </w:tabs>
        <w:spacing w:line="360" w:lineRule="atLeast"/>
        <w:ind w:right="51"/>
        <w:jc w:val="both"/>
        <w:rPr>
          <w:rFonts w:ascii="Arial" w:hAnsi="Arial" w:cs="Arial"/>
          <w:sz w:val="24"/>
          <w:szCs w:val="24"/>
        </w:rPr>
      </w:pPr>
    </w:p>
    <w:p w:rsidR="00E848C0" w:rsidRDefault="00E848C0" w:rsidP="00B751EB">
      <w:pPr>
        <w:tabs>
          <w:tab w:val="left" w:pos="3402"/>
        </w:tabs>
        <w:spacing w:line="360" w:lineRule="atLeast"/>
        <w:ind w:right="51"/>
        <w:jc w:val="both"/>
        <w:rPr>
          <w:rFonts w:ascii="Arial" w:hAnsi="Arial" w:cs="Arial"/>
          <w:sz w:val="24"/>
          <w:szCs w:val="24"/>
        </w:rPr>
      </w:pPr>
    </w:p>
    <w:p w:rsidR="007112ED" w:rsidRPr="00000546" w:rsidRDefault="007112ED" w:rsidP="00B751EB">
      <w:pPr>
        <w:tabs>
          <w:tab w:val="left" w:pos="3402"/>
        </w:tabs>
        <w:spacing w:line="360" w:lineRule="atLeast"/>
        <w:ind w:right="51"/>
        <w:jc w:val="both"/>
        <w:rPr>
          <w:rFonts w:ascii="Arial" w:hAnsi="Arial" w:cs="Arial"/>
          <w:sz w:val="24"/>
          <w:szCs w:val="24"/>
        </w:rPr>
      </w:pPr>
    </w:p>
    <w:p w:rsidR="0003528C" w:rsidRPr="00000546" w:rsidRDefault="0003528C" w:rsidP="00000546">
      <w:pPr>
        <w:tabs>
          <w:tab w:val="left" w:pos="3686"/>
        </w:tabs>
        <w:ind w:left="3686" w:right="74"/>
        <w:jc w:val="center"/>
        <w:rPr>
          <w:rFonts w:ascii="Arial" w:hAnsi="Arial" w:cs="Arial"/>
          <w:sz w:val="24"/>
          <w:szCs w:val="24"/>
        </w:rPr>
      </w:pPr>
    </w:p>
    <w:sectPr w:rsidR="0003528C" w:rsidRPr="00000546" w:rsidSect="006728FD">
      <w:headerReference w:type="even" r:id="rId12"/>
      <w:headerReference w:type="default" r:id="rId13"/>
      <w:headerReference w:type="first" r:id="rId14"/>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10" w:rsidRDefault="00B86610">
      <w:r>
        <w:separator/>
      </w:r>
    </w:p>
  </w:endnote>
  <w:endnote w:type="continuationSeparator" w:id="0">
    <w:p w:rsidR="00B86610" w:rsidRDefault="00B866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10" w:rsidRDefault="00B86610">
      <w:r>
        <w:separator/>
      </w:r>
    </w:p>
  </w:footnote>
  <w:footnote w:type="continuationSeparator" w:id="0">
    <w:p w:rsidR="00B86610" w:rsidRDefault="00B86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10" w:rsidRDefault="00AF5AEE" w:rsidP="004B69F4">
    <w:pPr>
      <w:pStyle w:val="Encabezado"/>
      <w:framePr w:wrap="around" w:vAnchor="text" w:hAnchor="margin" w:xAlign="right" w:y="1"/>
      <w:rPr>
        <w:rStyle w:val="Nmerodepgina"/>
      </w:rPr>
    </w:pPr>
    <w:r>
      <w:rPr>
        <w:rStyle w:val="Nmerodepgina"/>
      </w:rPr>
      <w:fldChar w:fldCharType="begin"/>
    </w:r>
    <w:r w:rsidR="00B86610">
      <w:rPr>
        <w:rStyle w:val="Nmerodepgina"/>
      </w:rPr>
      <w:instrText xml:space="preserve">PAGE  </w:instrText>
    </w:r>
    <w:r>
      <w:rPr>
        <w:rStyle w:val="Nmerodepgina"/>
      </w:rPr>
      <w:fldChar w:fldCharType="end"/>
    </w:r>
  </w:p>
  <w:p w:rsidR="00B86610" w:rsidRDefault="00B86610"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10" w:rsidRPr="006A322E" w:rsidRDefault="00AF5AE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B86610"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D37FB">
      <w:rPr>
        <w:rStyle w:val="Nmerodepgina"/>
        <w:rFonts w:ascii="Arial" w:hAnsi="Arial" w:cs="Arial"/>
        <w:noProof/>
        <w:sz w:val="22"/>
        <w:szCs w:val="22"/>
      </w:rPr>
      <w:t>11</w:t>
    </w:r>
    <w:r w:rsidRPr="006A322E">
      <w:rPr>
        <w:rStyle w:val="Nmerodepgina"/>
        <w:rFonts w:ascii="Arial" w:hAnsi="Arial" w:cs="Arial"/>
        <w:sz w:val="22"/>
        <w:szCs w:val="22"/>
      </w:rPr>
      <w:fldChar w:fldCharType="end"/>
    </w:r>
  </w:p>
  <w:p w:rsidR="00B86610" w:rsidRPr="0050418F" w:rsidRDefault="00B86610"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B86610" w:rsidRDefault="00B86610">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10" w:rsidRPr="0050418F" w:rsidRDefault="00B86610">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7D5D"/>
    <w:multiLevelType w:val="hybridMultilevel"/>
    <w:tmpl w:val="467C640E"/>
    <w:lvl w:ilvl="0" w:tplc="340A000D">
      <w:start w:val="1"/>
      <w:numFmt w:val="bullet"/>
      <w:lvlText w:val=""/>
      <w:lvlJc w:val="left"/>
      <w:pPr>
        <w:ind w:left="1571" w:hanging="360"/>
      </w:pPr>
      <w:rPr>
        <w:rFonts w:ascii="Wingdings" w:hAnsi="Wingdings"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905402"/>
    <w:multiLevelType w:val="hybridMultilevel"/>
    <w:tmpl w:val="11BE290E"/>
    <w:lvl w:ilvl="0" w:tplc="340A000F">
      <w:start w:val="1"/>
      <w:numFmt w:val="decimal"/>
      <w:lvlText w:val="%1."/>
      <w:lvlJc w:val="left"/>
      <w:pPr>
        <w:ind w:left="3130" w:hanging="360"/>
      </w:pPr>
    </w:lvl>
    <w:lvl w:ilvl="1" w:tplc="61E86424">
      <w:start w:val="1"/>
      <w:numFmt w:val="decimal"/>
      <w:lvlText w:val="%2)"/>
      <w:lvlJc w:val="left"/>
      <w:pPr>
        <w:ind w:left="3850" w:hanging="360"/>
      </w:pPr>
      <w:rPr>
        <w:b/>
      </w:rPr>
    </w:lvl>
    <w:lvl w:ilvl="2" w:tplc="340A001B" w:tentative="1">
      <w:start w:val="1"/>
      <w:numFmt w:val="lowerRoman"/>
      <w:lvlText w:val="%3."/>
      <w:lvlJc w:val="right"/>
      <w:pPr>
        <w:ind w:left="4570" w:hanging="180"/>
      </w:pPr>
    </w:lvl>
    <w:lvl w:ilvl="3" w:tplc="340A000F" w:tentative="1">
      <w:start w:val="1"/>
      <w:numFmt w:val="decimal"/>
      <w:lvlText w:val="%4."/>
      <w:lvlJc w:val="left"/>
      <w:pPr>
        <w:ind w:left="5290" w:hanging="360"/>
      </w:pPr>
    </w:lvl>
    <w:lvl w:ilvl="4" w:tplc="340A0019" w:tentative="1">
      <w:start w:val="1"/>
      <w:numFmt w:val="lowerLetter"/>
      <w:lvlText w:val="%5."/>
      <w:lvlJc w:val="left"/>
      <w:pPr>
        <w:ind w:left="6010" w:hanging="360"/>
      </w:pPr>
    </w:lvl>
    <w:lvl w:ilvl="5" w:tplc="340A001B" w:tentative="1">
      <w:start w:val="1"/>
      <w:numFmt w:val="lowerRoman"/>
      <w:lvlText w:val="%6."/>
      <w:lvlJc w:val="right"/>
      <w:pPr>
        <w:ind w:left="6730" w:hanging="180"/>
      </w:pPr>
    </w:lvl>
    <w:lvl w:ilvl="6" w:tplc="340A000F" w:tentative="1">
      <w:start w:val="1"/>
      <w:numFmt w:val="decimal"/>
      <w:lvlText w:val="%7."/>
      <w:lvlJc w:val="left"/>
      <w:pPr>
        <w:ind w:left="7450" w:hanging="360"/>
      </w:pPr>
    </w:lvl>
    <w:lvl w:ilvl="7" w:tplc="340A0019" w:tentative="1">
      <w:start w:val="1"/>
      <w:numFmt w:val="lowerLetter"/>
      <w:lvlText w:val="%8."/>
      <w:lvlJc w:val="left"/>
      <w:pPr>
        <w:ind w:left="8170" w:hanging="360"/>
      </w:pPr>
    </w:lvl>
    <w:lvl w:ilvl="8" w:tplc="340A001B" w:tentative="1">
      <w:start w:val="1"/>
      <w:numFmt w:val="lowerRoman"/>
      <w:lvlText w:val="%9."/>
      <w:lvlJc w:val="right"/>
      <w:pPr>
        <w:ind w:left="8890" w:hanging="180"/>
      </w:pPr>
    </w:lvl>
  </w:abstractNum>
  <w:abstractNum w:abstractNumId="3">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outline w:val="0"/>
        <w:shadow w:val="0"/>
        <w:emboss w:val="0"/>
        <w:imprint w:val="0"/>
        <w:vanish w:val="0"/>
        <w:sz w:val="24"/>
        <w:vertAlign w:val="baseline"/>
      </w:rPr>
    </w:lvl>
  </w:abstractNum>
  <w:abstractNum w:abstractNumId="5">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shadow w:val="0"/>
        <w:emboss w:val="0"/>
        <w:imprint w:val="0"/>
        <w:vanish w:val="0"/>
        <w:color w:val="auto"/>
        <w:sz w:val="24"/>
        <w:vertAlign w:val="baseline"/>
      </w:rPr>
    </w:lvl>
  </w:abstractNum>
  <w:abstractNum w:abstractNumId="7">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35C17AD1"/>
    <w:multiLevelType w:val="hybridMultilevel"/>
    <w:tmpl w:val="9864DF5A"/>
    <w:lvl w:ilvl="0" w:tplc="149AC65E">
      <w:start w:val="1"/>
      <w:numFmt w:val="low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nsid w:val="371157D5"/>
    <w:multiLevelType w:val="hybridMultilevel"/>
    <w:tmpl w:val="9864DF5A"/>
    <w:lvl w:ilvl="0" w:tplc="149AC65E">
      <w:start w:val="1"/>
      <w:numFmt w:val="low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3">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4">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B1B5A77"/>
    <w:multiLevelType w:val="hybridMultilevel"/>
    <w:tmpl w:val="AEB8621A"/>
    <w:lvl w:ilvl="0" w:tplc="F836DB22">
      <w:start w:val="1"/>
      <w:numFmt w:val="lowerRoman"/>
      <w:lvlText w:val="%1."/>
      <w:lvlJc w:val="right"/>
      <w:pPr>
        <w:ind w:left="2912"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nsid w:val="61FA0867"/>
    <w:multiLevelType w:val="hybridMultilevel"/>
    <w:tmpl w:val="B1C45664"/>
    <w:lvl w:ilvl="0" w:tplc="D5023CE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2CF33B7"/>
    <w:multiLevelType w:val="hybridMultilevel"/>
    <w:tmpl w:val="B1C45664"/>
    <w:lvl w:ilvl="0" w:tplc="D5023CE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B5E24D7"/>
    <w:multiLevelType w:val="hybridMultilevel"/>
    <w:tmpl w:val="FF32E32C"/>
    <w:lvl w:ilvl="0" w:tplc="61E86424">
      <w:start w:val="1"/>
      <w:numFmt w:val="decimal"/>
      <w:lvlText w:val="%1)"/>
      <w:lvlJc w:val="left"/>
      <w:pPr>
        <w:ind w:left="385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FAC4678"/>
    <w:multiLevelType w:val="hybridMultilevel"/>
    <w:tmpl w:val="4EE8A490"/>
    <w:lvl w:ilvl="0" w:tplc="340A000D">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4"/>
  </w:num>
  <w:num w:numId="2">
    <w:abstractNumId w:val="12"/>
  </w:num>
  <w:num w:numId="3">
    <w:abstractNumId w:val="6"/>
  </w:num>
  <w:num w:numId="4">
    <w:abstractNumId w:val="14"/>
  </w:num>
  <w:num w:numId="5">
    <w:abstractNumId w:val="16"/>
  </w:num>
  <w:num w:numId="6">
    <w:abstractNumId w:val="11"/>
  </w:num>
  <w:num w:numId="7">
    <w:abstractNumId w:val="1"/>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2"/>
  </w:num>
  <w:num w:numId="17">
    <w:abstractNumId w:val="10"/>
  </w:num>
  <w:num w:numId="18">
    <w:abstractNumId w:val="15"/>
  </w:num>
  <w:num w:numId="19">
    <w:abstractNumId w:val="17"/>
  </w:num>
  <w:num w:numId="20">
    <w:abstractNumId w:val="18"/>
  </w:num>
  <w:num w:numId="21">
    <w:abstractNumId w:val="8"/>
  </w:num>
  <w:num w:numId="22">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57A8"/>
    <w:rsid w:val="00006746"/>
    <w:rsid w:val="0001624F"/>
    <w:rsid w:val="0001790C"/>
    <w:rsid w:val="00020461"/>
    <w:rsid w:val="0002055D"/>
    <w:rsid w:val="0003436C"/>
    <w:rsid w:val="0003440C"/>
    <w:rsid w:val="0003528C"/>
    <w:rsid w:val="00043124"/>
    <w:rsid w:val="0005108E"/>
    <w:rsid w:val="00057497"/>
    <w:rsid w:val="00063C1B"/>
    <w:rsid w:val="000655EB"/>
    <w:rsid w:val="00067889"/>
    <w:rsid w:val="00082AC0"/>
    <w:rsid w:val="00092F03"/>
    <w:rsid w:val="000A36DB"/>
    <w:rsid w:val="000A793A"/>
    <w:rsid w:val="000B075A"/>
    <w:rsid w:val="000B27BE"/>
    <w:rsid w:val="000B3614"/>
    <w:rsid w:val="000C14DE"/>
    <w:rsid w:val="000D255C"/>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97C8C"/>
    <w:rsid w:val="001A0331"/>
    <w:rsid w:val="001A0A6E"/>
    <w:rsid w:val="001A2D14"/>
    <w:rsid w:val="001A4325"/>
    <w:rsid w:val="001A6EAF"/>
    <w:rsid w:val="001B385D"/>
    <w:rsid w:val="001B559F"/>
    <w:rsid w:val="001B6DF7"/>
    <w:rsid w:val="001C15F9"/>
    <w:rsid w:val="001D2037"/>
    <w:rsid w:val="001D26B2"/>
    <w:rsid w:val="001F3130"/>
    <w:rsid w:val="001F370B"/>
    <w:rsid w:val="00203587"/>
    <w:rsid w:val="00203EA8"/>
    <w:rsid w:val="00206275"/>
    <w:rsid w:val="00207FBD"/>
    <w:rsid w:val="00215450"/>
    <w:rsid w:val="002159BD"/>
    <w:rsid w:val="00216C94"/>
    <w:rsid w:val="00222C16"/>
    <w:rsid w:val="00222CE3"/>
    <w:rsid w:val="00224EE3"/>
    <w:rsid w:val="00225145"/>
    <w:rsid w:val="002363E4"/>
    <w:rsid w:val="00242EBA"/>
    <w:rsid w:val="002466BF"/>
    <w:rsid w:val="002533A6"/>
    <w:rsid w:val="0025389D"/>
    <w:rsid w:val="0025499B"/>
    <w:rsid w:val="0025683D"/>
    <w:rsid w:val="00261788"/>
    <w:rsid w:val="00262581"/>
    <w:rsid w:val="00262D76"/>
    <w:rsid w:val="002669A4"/>
    <w:rsid w:val="0027137A"/>
    <w:rsid w:val="002722FF"/>
    <w:rsid w:val="00281921"/>
    <w:rsid w:val="002861A8"/>
    <w:rsid w:val="00291DB2"/>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5001"/>
    <w:rsid w:val="00353168"/>
    <w:rsid w:val="00354B53"/>
    <w:rsid w:val="00355EE2"/>
    <w:rsid w:val="00357F78"/>
    <w:rsid w:val="0036023E"/>
    <w:rsid w:val="00363432"/>
    <w:rsid w:val="00365DBF"/>
    <w:rsid w:val="0037118C"/>
    <w:rsid w:val="003751E6"/>
    <w:rsid w:val="00376D8A"/>
    <w:rsid w:val="00381096"/>
    <w:rsid w:val="00387B11"/>
    <w:rsid w:val="00387C60"/>
    <w:rsid w:val="0039043C"/>
    <w:rsid w:val="00390A5C"/>
    <w:rsid w:val="003A2768"/>
    <w:rsid w:val="003A3CDF"/>
    <w:rsid w:val="003B6D2E"/>
    <w:rsid w:val="003C5A53"/>
    <w:rsid w:val="003C6567"/>
    <w:rsid w:val="003D0FF3"/>
    <w:rsid w:val="003D5F83"/>
    <w:rsid w:val="003E25ED"/>
    <w:rsid w:val="003F16B1"/>
    <w:rsid w:val="003F3E3E"/>
    <w:rsid w:val="003F4387"/>
    <w:rsid w:val="00404FCD"/>
    <w:rsid w:val="00412680"/>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5A9"/>
    <w:rsid w:val="004B69F4"/>
    <w:rsid w:val="004C2168"/>
    <w:rsid w:val="004C5554"/>
    <w:rsid w:val="004C7DA7"/>
    <w:rsid w:val="004D6D47"/>
    <w:rsid w:val="004D737C"/>
    <w:rsid w:val="004D7FE5"/>
    <w:rsid w:val="004E0718"/>
    <w:rsid w:val="004E3F58"/>
    <w:rsid w:val="004F185C"/>
    <w:rsid w:val="004F3712"/>
    <w:rsid w:val="004F4389"/>
    <w:rsid w:val="005006F3"/>
    <w:rsid w:val="00501BA9"/>
    <w:rsid w:val="0050418F"/>
    <w:rsid w:val="00504BCD"/>
    <w:rsid w:val="005051C8"/>
    <w:rsid w:val="00506ABD"/>
    <w:rsid w:val="0050793E"/>
    <w:rsid w:val="005154A2"/>
    <w:rsid w:val="0052226D"/>
    <w:rsid w:val="0052638B"/>
    <w:rsid w:val="00535BD6"/>
    <w:rsid w:val="005404DD"/>
    <w:rsid w:val="00546538"/>
    <w:rsid w:val="0054787B"/>
    <w:rsid w:val="005505DB"/>
    <w:rsid w:val="00551F91"/>
    <w:rsid w:val="005541F1"/>
    <w:rsid w:val="0055455B"/>
    <w:rsid w:val="0056106F"/>
    <w:rsid w:val="0056394B"/>
    <w:rsid w:val="00567175"/>
    <w:rsid w:val="00567C9F"/>
    <w:rsid w:val="005711C7"/>
    <w:rsid w:val="005729E8"/>
    <w:rsid w:val="005764E1"/>
    <w:rsid w:val="00577BC2"/>
    <w:rsid w:val="00585F5B"/>
    <w:rsid w:val="00586579"/>
    <w:rsid w:val="005868CA"/>
    <w:rsid w:val="00586BB9"/>
    <w:rsid w:val="0058737A"/>
    <w:rsid w:val="005934B7"/>
    <w:rsid w:val="005966BB"/>
    <w:rsid w:val="005975C4"/>
    <w:rsid w:val="005B24EA"/>
    <w:rsid w:val="005B6C86"/>
    <w:rsid w:val="005C15B9"/>
    <w:rsid w:val="005C28DC"/>
    <w:rsid w:val="005C3E43"/>
    <w:rsid w:val="005C759D"/>
    <w:rsid w:val="005D115D"/>
    <w:rsid w:val="005D2D78"/>
    <w:rsid w:val="005D63F7"/>
    <w:rsid w:val="005E0B36"/>
    <w:rsid w:val="005E18C3"/>
    <w:rsid w:val="005E4461"/>
    <w:rsid w:val="005E6EA1"/>
    <w:rsid w:val="005E79EC"/>
    <w:rsid w:val="005F00F0"/>
    <w:rsid w:val="005F23C9"/>
    <w:rsid w:val="005F35F7"/>
    <w:rsid w:val="005F5458"/>
    <w:rsid w:val="005F799E"/>
    <w:rsid w:val="00603B68"/>
    <w:rsid w:val="0061124D"/>
    <w:rsid w:val="00612DFA"/>
    <w:rsid w:val="006133FB"/>
    <w:rsid w:val="00613494"/>
    <w:rsid w:val="006158D2"/>
    <w:rsid w:val="00616520"/>
    <w:rsid w:val="006216EF"/>
    <w:rsid w:val="00622235"/>
    <w:rsid w:val="00622798"/>
    <w:rsid w:val="006228C1"/>
    <w:rsid w:val="00623904"/>
    <w:rsid w:val="00633529"/>
    <w:rsid w:val="00634607"/>
    <w:rsid w:val="00653750"/>
    <w:rsid w:val="00654D59"/>
    <w:rsid w:val="00657D91"/>
    <w:rsid w:val="0066140B"/>
    <w:rsid w:val="0066246E"/>
    <w:rsid w:val="006728FD"/>
    <w:rsid w:val="00677FB4"/>
    <w:rsid w:val="0068740A"/>
    <w:rsid w:val="00687A36"/>
    <w:rsid w:val="0069122A"/>
    <w:rsid w:val="006A322E"/>
    <w:rsid w:val="006A353D"/>
    <w:rsid w:val="006A723A"/>
    <w:rsid w:val="006B33E8"/>
    <w:rsid w:val="006B3499"/>
    <w:rsid w:val="006C28CC"/>
    <w:rsid w:val="006C60E7"/>
    <w:rsid w:val="006D4D78"/>
    <w:rsid w:val="006E042F"/>
    <w:rsid w:val="006E4C86"/>
    <w:rsid w:val="006F1858"/>
    <w:rsid w:val="006F7D64"/>
    <w:rsid w:val="0070266D"/>
    <w:rsid w:val="0070544F"/>
    <w:rsid w:val="007112ED"/>
    <w:rsid w:val="0071604D"/>
    <w:rsid w:val="007238C0"/>
    <w:rsid w:val="007260AF"/>
    <w:rsid w:val="007264FB"/>
    <w:rsid w:val="007307B6"/>
    <w:rsid w:val="00731349"/>
    <w:rsid w:val="00733A49"/>
    <w:rsid w:val="00734D82"/>
    <w:rsid w:val="007371F1"/>
    <w:rsid w:val="0074086D"/>
    <w:rsid w:val="00742336"/>
    <w:rsid w:val="00753938"/>
    <w:rsid w:val="00763599"/>
    <w:rsid w:val="00771297"/>
    <w:rsid w:val="00771715"/>
    <w:rsid w:val="00771BF7"/>
    <w:rsid w:val="0078215D"/>
    <w:rsid w:val="00795ACB"/>
    <w:rsid w:val="007A2A06"/>
    <w:rsid w:val="007B66CD"/>
    <w:rsid w:val="007C5874"/>
    <w:rsid w:val="007D2A9C"/>
    <w:rsid w:val="007D5F29"/>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69B1"/>
    <w:rsid w:val="00870DB0"/>
    <w:rsid w:val="00871072"/>
    <w:rsid w:val="0088370E"/>
    <w:rsid w:val="008853E0"/>
    <w:rsid w:val="00893EB3"/>
    <w:rsid w:val="008A07C0"/>
    <w:rsid w:val="008A2250"/>
    <w:rsid w:val="008A4662"/>
    <w:rsid w:val="008B5E50"/>
    <w:rsid w:val="008B6BE7"/>
    <w:rsid w:val="008C1AB7"/>
    <w:rsid w:val="008C4480"/>
    <w:rsid w:val="008D37FB"/>
    <w:rsid w:val="008D7143"/>
    <w:rsid w:val="0090409F"/>
    <w:rsid w:val="00905E9F"/>
    <w:rsid w:val="009106CA"/>
    <w:rsid w:val="00912636"/>
    <w:rsid w:val="009167E6"/>
    <w:rsid w:val="0092491E"/>
    <w:rsid w:val="00924CE4"/>
    <w:rsid w:val="00926C49"/>
    <w:rsid w:val="0093618B"/>
    <w:rsid w:val="0094073F"/>
    <w:rsid w:val="009412DB"/>
    <w:rsid w:val="00942BF4"/>
    <w:rsid w:val="00950D70"/>
    <w:rsid w:val="009523A2"/>
    <w:rsid w:val="0095318A"/>
    <w:rsid w:val="009566C4"/>
    <w:rsid w:val="009616CA"/>
    <w:rsid w:val="0096172D"/>
    <w:rsid w:val="0096600D"/>
    <w:rsid w:val="00966E5D"/>
    <w:rsid w:val="00973E34"/>
    <w:rsid w:val="00974EA1"/>
    <w:rsid w:val="009828BE"/>
    <w:rsid w:val="009846C0"/>
    <w:rsid w:val="00990D45"/>
    <w:rsid w:val="0099400D"/>
    <w:rsid w:val="00994D0B"/>
    <w:rsid w:val="009A45CB"/>
    <w:rsid w:val="009B1C11"/>
    <w:rsid w:val="009B331A"/>
    <w:rsid w:val="009C2EC8"/>
    <w:rsid w:val="009C3E74"/>
    <w:rsid w:val="009D4B23"/>
    <w:rsid w:val="009D6060"/>
    <w:rsid w:val="009E1E5B"/>
    <w:rsid w:val="009E214B"/>
    <w:rsid w:val="009F1416"/>
    <w:rsid w:val="009F22BB"/>
    <w:rsid w:val="009F6473"/>
    <w:rsid w:val="009F68C6"/>
    <w:rsid w:val="00A00235"/>
    <w:rsid w:val="00A02F6E"/>
    <w:rsid w:val="00A10552"/>
    <w:rsid w:val="00A15283"/>
    <w:rsid w:val="00A1618C"/>
    <w:rsid w:val="00A169F8"/>
    <w:rsid w:val="00A22E24"/>
    <w:rsid w:val="00A25847"/>
    <w:rsid w:val="00A322BC"/>
    <w:rsid w:val="00A32627"/>
    <w:rsid w:val="00A36228"/>
    <w:rsid w:val="00A413DE"/>
    <w:rsid w:val="00A44785"/>
    <w:rsid w:val="00A45C42"/>
    <w:rsid w:val="00A50F4E"/>
    <w:rsid w:val="00A53B1F"/>
    <w:rsid w:val="00A54425"/>
    <w:rsid w:val="00A61357"/>
    <w:rsid w:val="00A6504F"/>
    <w:rsid w:val="00A654D6"/>
    <w:rsid w:val="00A7095E"/>
    <w:rsid w:val="00A75CE9"/>
    <w:rsid w:val="00A77939"/>
    <w:rsid w:val="00A802EF"/>
    <w:rsid w:val="00A809B0"/>
    <w:rsid w:val="00A83769"/>
    <w:rsid w:val="00A84E1B"/>
    <w:rsid w:val="00A944FA"/>
    <w:rsid w:val="00A96550"/>
    <w:rsid w:val="00AA3413"/>
    <w:rsid w:val="00AA44C7"/>
    <w:rsid w:val="00AA7B9A"/>
    <w:rsid w:val="00AB0A7F"/>
    <w:rsid w:val="00AB1FF8"/>
    <w:rsid w:val="00AB28F0"/>
    <w:rsid w:val="00AC0C2A"/>
    <w:rsid w:val="00AC50D2"/>
    <w:rsid w:val="00AC7895"/>
    <w:rsid w:val="00AD07C0"/>
    <w:rsid w:val="00AD6EA2"/>
    <w:rsid w:val="00AD7289"/>
    <w:rsid w:val="00AD74C1"/>
    <w:rsid w:val="00AE194A"/>
    <w:rsid w:val="00AE3094"/>
    <w:rsid w:val="00AF54C8"/>
    <w:rsid w:val="00AF5AEE"/>
    <w:rsid w:val="00AF72A3"/>
    <w:rsid w:val="00B0079E"/>
    <w:rsid w:val="00B02C70"/>
    <w:rsid w:val="00B03209"/>
    <w:rsid w:val="00B04605"/>
    <w:rsid w:val="00B06573"/>
    <w:rsid w:val="00B27604"/>
    <w:rsid w:val="00B3203F"/>
    <w:rsid w:val="00B322A4"/>
    <w:rsid w:val="00B33B8D"/>
    <w:rsid w:val="00B3562D"/>
    <w:rsid w:val="00B43C9A"/>
    <w:rsid w:val="00B45F3E"/>
    <w:rsid w:val="00B55855"/>
    <w:rsid w:val="00B604EC"/>
    <w:rsid w:val="00B73A07"/>
    <w:rsid w:val="00B751EB"/>
    <w:rsid w:val="00B75F2E"/>
    <w:rsid w:val="00B80834"/>
    <w:rsid w:val="00B86610"/>
    <w:rsid w:val="00B8684A"/>
    <w:rsid w:val="00B86A64"/>
    <w:rsid w:val="00B87ACA"/>
    <w:rsid w:val="00B9098A"/>
    <w:rsid w:val="00BA4F7B"/>
    <w:rsid w:val="00BB34A8"/>
    <w:rsid w:val="00BC72AA"/>
    <w:rsid w:val="00BD1821"/>
    <w:rsid w:val="00BD23C7"/>
    <w:rsid w:val="00BD2C2C"/>
    <w:rsid w:val="00BD4865"/>
    <w:rsid w:val="00BD56E0"/>
    <w:rsid w:val="00BE0AD6"/>
    <w:rsid w:val="00BE7DF4"/>
    <w:rsid w:val="00BF20C1"/>
    <w:rsid w:val="00C111F3"/>
    <w:rsid w:val="00C13F57"/>
    <w:rsid w:val="00C20AB5"/>
    <w:rsid w:val="00C427C0"/>
    <w:rsid w:val="00C428F5"/>
    <w:rsid w:val="00C44961"/>
    <w:rsid w:val="00C541C6"/>
    <w:rsid w:val="00C55F7D"/>
    <w:rsid w:val="00C626A4"/>
    <w:rsid w:val="00C640DB"/>
    <w:rsid w:val="00C6704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024F"/>
    <w:rsid w:val="00CC7AFD"/>
    <w:rsid w:val="00CD0090"/>
    <w:rsid w:val="00CD2E12"/>
    <w:rsid w:val="00CD384E"/>
    <w:rsid w:val="00CD70C9"/>
    <w:rsid w:val="00CE1455"/>
    <w:rsid w:val="00CF18B9"/>
    <w:rsid w:val="00CF3B06"/>
    <w:rsid w:val="00CF3B68"/>
    <w:rsid w:val="00D01CCC"/>
    <w:rsid w:val="00D10405"/>
    <w:rsid w:val="00D107D4"/>
    <w:rsid w:val="00D14384"/>
    <w:rsid w:val="00D16CAE"/>
    <w:rsid w:val="00D175B9"/>
    <w:rsid w:val="00D201C1"/>
    <w:rsid w:val="00D269BB"/>
    <w:rsid w:val="00D34E09"/>
    <w:rsid w:val="00D45395"/>
    <w:rsid w:val="00D532F8"/>
    <w:rsid w:val="00D55BDB"/>
    <w:rsid w:val="00D57B25"/>
    <w:rsid w:val="00D72A9B"/>
    <w:rsid w:val="00D76D23"/>
    <w:rsid w:val="00D77A33"/>
    <w:rsid w:val="00D85CFB"/>
    <w:rsid w:val="00D87C06"/>
    <w:rsid w:val="00D90104"/>
    <w:rsid w:val="00D912F3"/>
    <w:rsid w:val="00D95C35"/>
    <w:rsid w:val="00D968C4"/>
    <w:rsid w:val="00DA1887"/>
    <w:rsid w:val="00DA1D38"/>
    <w:rsid w:val="00DA3C6B"/>
    <w:rsid w:val="00DB0DE4"/>
    <w:rsid w:val="00DB35F7"/>
    <w:rsid w:val="00DC3C17"/>
    <w:rsid w:val="00DC4F24"/>
    <w:rsid w:val="00DE3FC8"/>
    <w:rsid w:val="00DE3FD9"/>
    <w:rsid w:val="00DF61F0"/>
    <w:rsid w:val="00E01111"/>
    <w:rsid w:val="00E0271F"/>
    <w:rsid w:val="00E03A40"/>
    <w:rsid w:val="00E10F75"/>
    <w:rsid w:val="00E11D98"/>
    <w:rsid w:val="00E1511F"/>
    <w:rsid w:val="00E200B3"/>
    <w:rsid w:val="00E207AC"/>
    <w:rsid w:val="00E26E1D"/>
    <w:rsid w:val="00E35D93"/>
    <w:rsid w:val="00E42F7C"/>
    <w:rsid w:val="00E4471D"/>
    <w:rsid w:val="00E465DF"/>
    <w:rsid w:val="00E569F9"/>
    <w:rsid w:val="00E56B61"/>
    <w:rsid w:val="00E57118"/>
    <w:rsid w:val="00E63C76"/>
    <w:rsid w:val="00E71A56"/>
    <w:rsid w:val="00E755AD"/>
    <w:rsid w:val="00E76B9E"/>
    <w:rsid w:val="00E8152D"/>
    <w:rsid w:val="00E84217"/>
    <w:rsid w:val="00E848C0"/>
    <w:rsid w:val="00E8612A"/>
    <w:rsid w:val="00E871B4"/>
    <w:rsid w:val="00E916D5"/>
    <w:rsid w:val="00E92F59"/>
    <w:rsid w:val="00EA45CC"/>
    <w:rsid w:val="00EA60DD"/>
    <w:rsid w:val="00EB04BA"/>
    <w:rsid w:val="00EB1DC7"/>
    <w:rsid w:val="00EB3805"/>
    <w:rsid w:val="00EB3864"/>
    <w:rsid w:val="00EB40A2"/>
    <w:rsid w:val="00EB47C2"/>
    <w:rsid w:val="00ED2323"/>
    <w:rsid w:val="00ED380E"/>
    <w:rsid w:val="00ED5375"/>
    <w:rsid w:val="00ED70EC"/>
    <w:rsid w:val="00ED7D30"/>
    <w:rsid w:val="00EE1896"/>
    <w:rsid w:val="00EE2F8E"/>
    <w:rsid w:val="00EF67A0"/>
    <w:rsid w:val="00F03E74"/>
    <w:rsid w:val="00F05125"/>
    <w:rsid w:val="00F058A2"/>
    <w:rsid w:val="00F1637A"/>
    <w:rsid w:val="00F310F9"/>
    <w:rsid w:val="00F43857"/>
    <w:rsid w:val="00F46F0A"/>
    <w:rsid w:val="00F61ABD"/>
    <w:rsid w:val="00F6292B"/>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C3D37"/>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6E"/>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6186-F2DA-4945-B37C-93FDE079C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125EA6-B78B-41A2-9775-48E76603742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6076C82-18E3-454B-90F6-FC39A344397A}">
  <ds:schemaRefs>
    <ds:schemaRef ds:uri="http://schemas.microsoft.com/sharepoint/v3/contenttype/forms"/>
  </ds:schemaRefs>
</ds:datastoreItem>
</file>

<file path=customXml/itemProps4.xml><?xml version="1.0" encoding="utf-8"?>
<ds:datastoreItem xmlns:ds="http://schemas.openxmlformats.org/officeDocument/2006/customXml" ds:itemID="{12D5D937-9F03-4816-9A9D-0E26C669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2971</Words>
  <Characters>15038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ccespede</cp:lastModifiedBy>
  <cp:revision>2</cp:revision>
  <cp:lastPrinted>2014-03-13T13:01:00Z</cp:lastPrinted>
  <dcterms:created xsi:type="dcterms:W3CDTF">2017-03-21T21:05:00Z</dcterms:created>
  <dcterms:modified xsi:type="dcterms:W3CDTF">2017-03-21T21:05:00Z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