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E3E" w:rsidRPr="00060EB6" w:rsidRDefault="00951E3E" w:rsidP="00951E3E">
      <w:pPr>
        <w:tabs>
          <w:tab w:val="left" w:pos="2835"/>
        </w:tabs>
        <w:spacing w:after="0" w:line="240" w:lineRule="auto"/>
        <w:jc w:val="center"/>
        <w:rPr>
          <w:rFonts w:ascii="Arial" w:eastAsia="Times New Roman" w:hAnsi="Arial" w:cs="Arial"/>
          <w:b/>
          <w:sz w:val="24"/>
          <w:szCs w:val="24"/>
          <w:u w:val="single"/>
          <w:lang w:val="es-ES" w:eastAsia="es-ES"/>
        </w:rPr>
      </w:pPr>
      <w:r w:rsidRPr="00060EB6">
        <w:rPr>
          <w:rFonts w:ascii="Arial" w:eastAsia="Times New Roman" w:hAnsi="Arial" w:cs="Arial"/>
          <w:b/>
          <w:sz w:val="24"/>
          <w:szCs w:val="24"/>
          <w:u w:val="single"/>
          <w:lang w:val="es-ES" w:eastAsia="es-ES"/>
        </w:rPr>
        <w:t>CERTIFICADO</w:t>
      </w:r>
    </w:p>
    <w:p w:rsidR="00951E3E" w:rsidRPr="00060EB6" w:rsidRDefault="00951E3E" w:rsidP="00951E3E">
      <w:pPr>
        <w:tabs>
          <w:tab w:val="left" w:pos="2835"/>
        </w:tabs>
        <w:spacing w:after="0" w:line="240" w:lineRule="auto"/>
        <w:jc w:val="both"/>
        <w:rPr>
          <w:rFonts w:ascii="Arial" w:eastAsia="Times New Roman" w:hAnsi="Arial" w:cs="Arial"/>
          <w:b/>
          <w:sz w:val="24"/>
          <w:szCs w:val="24"/>
          <w:u w:val="single"/>
          <w:lang w:val="es-ES" w:eastAsia="es-ES"/>
        </w:rPr>
      </w:pPr>
    </w:p>
    <w:p w:rsidR="00951E3E" w:rsidRPr="00060EB6" w:rsidRDefault="00951E3E" w:rsidP="00951E3E">
      <w:pPr>
        <w:tabs>
          <w:tab w:val="left" w:pos="2835"/>
        </w:tabs>
        <w:spacing w:after="0" w:line="240" w:lineRule="auto"/>
        <w:jc w:val="both"/>
        <w:rPr>
          <w:rFonts w:ascii="Arial" w:eastAsia="Times New Roman" w:hAnsi="Arial" w:cs="Arial"/>
          <w:b/>
          <w:sz w:val="24"/>
          <w:szCs w:val="24"/>
          <w:lang w:val="es-ES" w:eastAsia="es-ES"/>
        </w:rPr>
      </w:pPr>
      <w:r w:rsidRPr="00060EB6">
        <w:rPr>
          <w:rFonts w:ascii="Arial" w:eastAsia="Times New Roman" w:hAnsi="Arial" w:cs="Arial"/>
          <w:sz w:val="24"/>
          <w:szCs w:val="24"/>
          <w:lang w:val="es-ES" w:eastAsia="es-ES"/>
        </w:rPr>
        <w:tab/>
        <w:t>Certifico que el día 5 de julio de 2017, la Comisión de Hacienda sesionó para tratar el proyecto de ley, en segundo trámite constitucional, iniciado en Mensaje de Su Excelencia la Presidenta de la República, que</w:t>
      </w:r>
      <w:r w:rsidRPr="00060EB6">
        <w:rPr>
          <w:rFonts w:ascii="Arial" w:eastAsia="Times New Roman" w:hAnsi="Arial" w:cs="Arial"/>
          <w:sz w:val="24"/>
          <w:szCs w:val="24"/>
          <w:lang w:val="es-ES_tradnl" w:eastAsia="es-ES"/>
        </w:rPr>
        <w:t xml:space="preserve"> perfecciona la justicia tributaria y aduanera </w:t>
      </w:r>
      <w:r w:rsidRPr="00060EB6">
        <w:rPr>
          <w:rFonts w:ascii="Arial" w:eastAsia="Times New Roman" w:hAnsi="Arial" w:cs="Arial"/>
          <w:b/>
          <w:sz w:val="24"/>
          <w:szCs w:val="24"/>
          <w:lang w:val="es-ES_tradnl" w:eastAsia="es-ES"/>
        </w:rPr>
        <w:t xml:space="preserve">(boletín </w:t>
      </w:r>
      <w:r w:rsidRPr="00060EB6">
        <w:rPr>
          <w:rFonts w:ascii="Arial" w:eastAsia="Times New Roman" w:hAnsi="Arial" w:cs="Arial"/>
          <w:b/>
          <w:sz w:val="24"/>
          <w:szCs w:val="24"/>
          <w:lang w:val="es-ES" w:eastAsia="es-ES"/>
        </w:rPr>
        <w:t>Nº 9.892</w:t>
      </w:r>
      <w:r w:rsidRPr="00060EB6">
        <w:rPr>
          <w:rFonts w:ascii="Arial" w:eastAsia="Times New Roman" w:hAnsi="Arial" w:cs="Arial"/>
          <w:b/>
          <w:sz w:val="24"/>
          <w:szCs w:val="24"/>
          <w:lang w:val="es-ES_tradnl" w:eastAsia="es-ES"/>
        </w:rPr>
        <w:t>-07</w:t>
      </w:r>
      <w:r w:rsidRPr="00060EB6">
        <w:rPr>
          <w:rFonts w:ascii="Arial" w:eastAsia="Times New Roman" w:hAnsi="Arial" w:cs="Arial"/>
          <w:b/>
          <w:sz w:val="24"/>
          <w:szCs w:val="24"/>
          <w:lang w:val="es-ES" w:eastAsia="es-ES"/>
        </w:rPr>
        <w:t>)</w:t>
      </w:r>
      <w:r w:rsidRPr="00060EB6">
        <w:rPr>
          <w:rFonts w:ascii="Arial" w:eastAsia="Times New Roman" w:hAnsi="Arial" w:cs="Arial"/>
          <w:sz w:val="24"/>
          <w:szCs w:val="24"/>
          <w:lang w:val="es-ES" w:eastAsia="es-ES"/>
        </w:rPr>
        <w:t>, con urgencia calificada de “simple”.</w:t>
      </w:r>
    </w:p>
    <w:p w:rsidR="00951E3E" w:rsidRPr="00060EB6" w:rsidRDefault="00951E3E" w:rsidP="00951E3E">
      <w:pPr>
        <w:tabs>
          <w:tab w:val="left" w:pos="2835"/>
        </w:tabs>
        <w:spacing w:after="0" w:line="240" w:lineRule="auto"/>
        <w:ind w:left="2835"/>
        <w:jc w:val="both"/>
        <w:rPr>
          <w:rFonts w:ascii="Arial" w:eastAsia="Times New Roman" w:hAnsi="Arial" w:cs="Arial"/>
          <w:sz w:val="24"/>
          <w:szCs w:val="24"/>
          <w:lang w:val="es-ES" w:eastAsia="es-ES"/>
        </w:rPr>
      </w:pPr>
    </w:p>
    <w:p w:rsidR="00951E3E" w:rsidRPr="00060EB6" w:rsidRDefault="00951E3E" w:rsidP="00951E3E">
      <w:pPr>
        <w:tabs>
          <w:tab w:val="left" w:pos="2835"/>
        </w:tabs>
        <w:spacing w:after="0" w:line="240" w:lineRule="auto"/>
        <w:jc w:val="both"/>
        <w:rPr>
          <w:rFonts w:ascii="Arial" w:eastAsia="Times New Roman" w:hAnsi="Arial" w:cs="Arial"/>
          <w:sz w:val="24"/>
          <w:szCs w:val="24"/>
          <w:lang w:val="es-ES" w:eastAsia="es-ES"/>
        </w:rPr>
      </w:pPr>
      <w:r w:rsidRPr="00060EB6">
        <w:rPr>
          <w:rFonts w:ascii="Arial" w:eastAsia="Times New Roman" w:hAnsi="Arial" w:cs="Arial"/>
          <w:sz w:val="24"/>
          <w:szCs w:val="24"/>
          <w:lang w:val="es-ES" w:eastAsia="es-ES"/>
        </w:rPr>
        <w:tab/>
        <w:t xml:space="preserve">A la sesión en que la Comisión estudió esta iniciativa de ley asistieron </w:t>
      </w:r>
      <w:r w:rsidR="002A67CA" w:rsidRPr="00060EB6">
        <w:rPr>
          <w:rFonts w:ascii="Arial" w:eastAsia="Times New Roman" w:hAnsi="Arial" w:cs="Arial"/>
          <w:sz w:val="24"/>
          <w:szCs w:val="24"/>
          <w:lang w:val="es-ES" w:eastAsia="es-ES"/>
        </w:rPr>
        <w:t xml:space="preserve">sus </w:t>
      </w:r>
      <w:r w:rsidRPr="00060EB6">
        <w:rPr>
          <w:rFonts w:ascii="Arial" w:eastAsia="Times New Roman" w:hAnsi="Arial" w:cs="Arial"/>
          <w:sz w:val="24"/>
          <w:szCs w:val="24"/>
          <w:lang w:val="es-ES" w:eastAsia="es-ES"/>
        </w:rPr>
        <w:t xml:space="preserve">integrantes, Honorables Senadores señores Carlos Montes Cisternas (Presidente), Juan Antonio Coloma Correa, José García </w:t>
      </w:r>
      <w:proofErr w:type="spellStart"/>
      <w:r w:rsidRPr="00060EB6">
        <w:rPr>
          <w:rFonts w:ascii="Arial" w:eastAsia="Times New Roman" w:hAnsi="Arial" w:cs="Arial"/>
          <w:sz w:val="24"/>
          <w:szCs w:val="24"/>
          <w:lang w:val="es-ES" w:eastAsia="es-ES"/>
        </w:rPr>
        <w:t>Ruminot</w:t>
      </w:r>
      <w:proofErr w:type="spellEnd"/>
      <w:r w:rsidRPr="00060EB6">
        <w:rPr>
          <w:rFonts w:ascii="Arial" w:eastAsia="Times New Roman" w:hAnsi="Arial" w:cs="Arial"/>
          <w:sz w:val="24"/>
          <w:szCs w:val="24"/>
          <w:lang w:val="es-ES" w:eastAsia="es-ES"/>
        </w:rPr>
        <w:t xml:space="preserve">, </w:t>
      </w:r>
      <w:r w:rsidR="002A67CA" w:rsidRPr="00060EB6">
        <w:rPr>
          <w:rFonts w:ascii="Arial" w:eastAsia="Times New Roman" w:hAnsi="Arial" w:cs="Arial"/>
          <w:sz w:val="24"/>
          <w:szCs w:val="24"/>
          <w:lang w:val="es-ES" w:eastAsia="es-ES"/>
        </w:rPr>
        <w:t xml:space="preserve">Adriana Muñoz </w:t>
      </w:r>
      <w:proofErr w:type="spellStart"/>
      <w:r w:rsidR="002A67CA" w:rsidRPr="00060EB6">
        <w:rPr>
          <w:rFonts w:ascii="Arial" w:eastAsia="Times New Roman" w:hAnsi="Arial" w:cs="Arial"/>
          <w:sz w:val="24"/>
          <w:szCs w:val="24"/>
          <w:lang w:val="es-ES" w:eastAsia="es-ES"/>
        </w:rPr>
        <w:t>D´Albora</w:t>
      </w:r>
      <w:proofErr w:type="spellEnd"/>
      <w:r w:rsidRPr="00060EB6">
        <w:rPr>
          <w:rFonts w:ascii="Arial" w:eastAsia="Times New Roman" w:hAnsi="Arial" w:cs="Arial"/>
          <w:sz w:val="24"/>
          <w:szCs w:val="24"/>
          <w:lang w:val="es-ES" w:eastAsia="es-ES"/>
        </w:rPr>
        <w:t xml:space="preserve"> y Jorge Pizarro Soto.</w:t>
      </w:r>
    </w:p>
    <w:p w:rsidR="00951E3E" w:rsidRPr="00060EB6" w:rsidRDefault="00951E3E" w:rsidP="00951E3E">
      <w:pPr>
        <w:tabs>
          <w:tab w:val="left" w:pos="2835"/>
        </w:tabs>
        <w:spacing w:after="0" w:line="240" w:lineRule="auto"/>
        <w:jc w:val="both"/>
        <w:rPr>
          <w:rFonts w:ascii="Arial" w:eastAsia="Times New Roman" w:hAnsi="Arial" w:cs="Arial"/>
          <w:sz w:val="24"/>
          <w:szCs w:val="24"/>
          <w:lang w:val="es-ES" w:eastAsia="es-ES"/>
        </w:rPr>
      </w:pPr>
    </w:p>
    <w:p w:rsidR="00951E3E" w:rsidRPr="00060EB6" w:rsidRDefault="00951E3E" w:rsidP="00951E3E">
      <w:pPr>
        <w:tabs>
          <w:tab w:val="left" w:pos="2835"/>
        </w:tabs>
        <w:spacing w:after="0" w:line="240" w:lineRule="auto"/>
        <w:ind w:firstLine="2835"/>
        <w:jc w:val="both"/>
        <w:rPr>
          <w:rFonts w:ascii="Arial" w:eastAsia="Times New Roman" w:hAnsi="Arial" w:cs="Arial"/>
          <w:sz w:val="24"/>
          <w:szCs w:val="24"/>
          <w:lang w:val="es-ES" w:eastAsia="es-ES"/>
        </w:rPr>
      </w:pPr>
      <w:r w:rsidRPr="00060EB6">
        <w:rPr>
          <w:rFonts w:ascii="Arial" w:eastAsia="Times New Roman" w:hAnsi="Arial" w:cs="Arial"/>
          <w:sz w:val="24"/>
          <w:szCs w:val="24"/>
          <w:lang w:val="es-ES" w:eastAsia="es-ES"/>
        </w:rPr>
        <w:t>Concurri</w:t>
      </w:r>
      <w:r w:rsidR="00B015E8" w:rsidRPr="00060EB6">
        <w:rPr>
          <w:rFonts w:ascii="Arial" w:eastAsia="Times New Roman" w:hAnsi="Arial" w:cs="Arial"/>
          <w:sz w:val="24"/>
          <w:szCs w:val="24"/>
          <w:lang w:val="es-ES" w:eastAsia="es-ES"/>
        </w:rPr>
        <w:t>eron</w:t>
      </w:r>
      <w:r w:rsidR="002A67CA" w:rsidRPr="00060EB6">
        <w:rPr>
          <w:rFonts w:ascii="Arial" w:eastAsia="Times New Roman" w:hAnsi="Arial" w:cs="Arial"/>
          <w:sz w:val="24"/>
          <w:szCs w:val="24"/>
          <w:lang w:val="es-ES" w:eastAsia="es-ES"/>
        </w:rPr>
        <w:t xml:space="preserve">, además, el Honorable Senador señor Baldo </w:t>
      </w:r>
      <w:proofErr w:type="spellStart"/>
      <w:r w:rsidR="002A67CA" w:rsidRPr="00060EB6">
        <w:rPr>
          <w:rFonts w:ascii="Arial" w:eastAsia="Times New Roman" w:hAnsi="Arial" w:cs="Arial"/>
          <w:sz w:val="24"/>
          <w:szCs w:val="24"/>
          <w:lang w:val="es-ES" w:eastAsia="es-ES"/>
        </w:rPr>
        <w:t>Prokurica</w:t>
      </w:r>
      <w:proofErr w:type="spellEnd"/>
      <w:r w:rsidR="002A67CA" w:rsidRPr="00060EB6">
        <w:rPr>
          <w:rFonts w:ascii="Arial" w:eastAsia="Times New Roman" w:hAnsi="Arial" w:cs="Arial"/>
          <w:sz w:val="24"/>
          <w:szCs w:val="24"/>
          <w:lang w:val="es-ES" w:eastAsia="es-ES"/>
        </w:rPr>
        <w:t xml:space="preserve"> </w:t>
      </w:r>
      <w:proofErr w:type="spellStart"/>
      <w:r w:rsidR="002A67CA" w:rsidRPr="00060EB6">
        <w:rPr>
          <w:rFonts w:ascii="Arial" w:eastAsia="Times New Roman" w:hAnsi="Arial" w:cs="Arial"/>
          <w:sz w:val="24"/>
          <w:szCs w:val="24"/>
          <w:lang w:val="es-ES" w:eastAsia="es-ES"/>
        </w:rPr>
        <w:t>Prokurica</w:t>
      </w:r>
      <w:proofErr w:type="spellEnd"/>
      <w:r w:rsidR="00B015E8" w:rsidRPr="00060EB6">
        <w:rPr>
          <w:rFonts w:ascii="Arial" w:eastAsia="Times New Roman" w:hAnsi="Arial" w:cs="Arial"/>
          <w:sz w:val="24"/>
          <w:szCs w:val="24"/>
          <w:lang w:val="es-ES" w:eastAsia="es-ES"/>
        </w:rPr>
        <w:t>, y las siguientes personas:</w:t>
      </w:r>
    </w:p>
    <w:p w:rsidR="00951E3E" w:rsidRPr="00060EB6" w:rsidRDefault="00951E3E" w:rsidP="00951E3E">
      <w:pPr>
        <w:tabs>
          <w:tab w:val="left" w:pos="2835"/>
        </w:tabs>
        <w:spacing w:after="0" w:line="240" w:lineRule="auto"/>
        <w:ind w:firstLine="2835"/>
        <w:jc w:val="both"/>
        <w:rPr>
          <w:rFonts w:ascii="Arial" w:eastAsia="Times New Roman" w:hAnsi="Arial" w:cs="Arial"/>
          <w:sz w:val="24"/>
          <w:szCs w:val="24"/>
          <w:lang w:val="es-ES" w:eastAsia="es-ES"/>
        </w:rPr>
      </w:pPr>
    </w:p>
    <w:p w:rsidR="00B015E8" w:rsidRPr="00060EB6" w:rsidRDefault="00B015E8" w:rsidP="00B015E8">
      <w:pPr>
        <w:tabs>
          <w:tab w:val="left" w:pos="2835"/>
        </w:tabs>
        <w:spacing w:after="0" w:line="240" w:lineRule="auto"/>
        <w:ind w:firstLine="2835"/>
        <w:jc w:val="both"/>
        <w:rPr>
          <w:rFonts w:ascii="Arial" w:eastAsia="Times New Roman" w:hAnsi="Arial" w:cs="Arial"/>
          <w:sz w:val="24"/>
          <w:szCs w:val="24"/>
          <w:lang w:eastAsia="es-ES"/>
        </w:rPr>
      </w:pPr>
      <w:r w:rsidRPr="00060EB6">
        <w:rPr>
          <w:rFonts w:ascii="Arial" w:eastAsia="Times New Roman" w:hAnsi="Arial" w:cs="Arial"/>
          <w:sz w:val="24"/>
          <w:szCs w:val="24"/>
          <w:lang w:eastAsia="es-ES"/>
        </w:rPr>
        <w:t>Del Ministerio de Hacienda, el Coordinador de Política Tributaria, señor Ricardo Guerrero.</w:t>
      </w:r>
    </w:p>
    <w:p w:rsidR="00B015E8" w:rsidRPr="00060EB6" w:rsidRDefault="00B015E8" w:rsidP="00B015E8">
      <w:pPr>
        <w:tabs>
          <w:tab w:val="left" w:pos="2835"/>
        </w:tabs>
        <w:spacing w:after="0" w:line="240" w:lineRule="auto"/>
        <w:ind w:firstLine="2835"/>
        <w:jc w:val="both"/>
        <w:rPr>
          <w:rFonts w:ascii="Arial" w:eastAsia="Times New Roman" w:hAnsi="Arial" w:cs="Arial"/>
          <w:sz w:val="24"/>
          <w:szCs w:val="24"/>
          <w:lang w:eastAsia="es-ES"/>
        </w:rPr>
      </w:pPr>
    </w:p>
    <w:p w:rsidR="00B015E8" w:rsidRPr="00060EB6" w:rsidRDefault="00B015E8" w:rsidP="00B015E8">
      <w:pPr>
        <w:tabs>
          <w:tab w:val="left" w:pos="2835"/>
        </w:tabs>
        <w:spacing w:after="0" w:line="240" w:lineRule="auto"/>
        <w:ind w:firstLine="2835"/>
        <w:jc w:val="both"/>
        <w:rPr>
          <w:rFonts w:ascii="Arial" w:eastAsia="Times New Roman" w:hAnsi="Arial" w:cs="Arial"/>
          <w:sz w:val="24"/>
          <w:szCs w:val="24"/>
          <w:lang w:eastAsia="es-ES"/>
        </w:rPr>
      </w:pPr>
      <w:r w:rsidRPr="00060EB6">
        <w:rPr>
          <w:rFonts w:ascii="Arial" w:eastAsia="Times New Roman" w:hAnsi="Arial" w:cs="Arial"/>
          <w:sz w:val="24"/>
          <w:szCs w:val="24"/>
          <w:lang w:eastAsia="es-ES"/>
        </w:rPr>
        <w:t>De los Tribunales Tributarios y Aduaneros, el Juez, señor Francisco Orellana.</w:t>
      </w:r>
    </w:p>
    <w:p w:rsidR="00951E3E" w:rsidRPr="00060EB6" w:rsidRDefault="00951E3E" w:rsidP="00951E3E">
      <w:pPr>
        <w:tabs>
          <w:tab w:val="left" w:pos="2835"/>
        </w:tabs>
        <w:spacing w:after="0" w:line="240" w:lineRule="auto"/>
        <w:jc w:val="both"/>
        <w:rPr>
          <w:rFonts w:ascii="Arial" w:eastAsia="Times New Roman" w:hAnsi="Arial" w:cs="Arial"/>
          <w:sz w:val="24"/>
          <w:szCs w:val="24"/>
          <w:lang w:val="es-ES" w:eastAsia="es-ES"/>
        </w:rPr>
      </w:pPr>
    </w:p>
    <w:p w:rsidR="00951E3E" w:rsidRPr="00060EB6" w:rsidRDefault="00951E3E" w:rsidP="00951E3E">
      <w:pPr>
        <w:tabs>
          <w:tab w:val="left" w:pos="2835"/>
        </w:tabs>
        <w:spacing w:after="0" w:line="240" w:lineRule="auto"/>
        <w:jc w:val="center"/>
        <w:rPr>
          <w:rFonts w:ascii="Arial" w:eastAsia="Times New Roman" w:hAnsi="Arial" w:cs="Arial"/>
          <w:b/>
          <w:sz w:val="24"/>
          <w:szCs w:val="24"/>
          <w:lang w:val="es-ES" w:eastAsia="es-ES"/>
        </w:rPr>
      </w:pPr>
      <w:r w:rsidRPr="00060EB6">
        <w:rPr>
          <w:rFonts w:ascii="Arial" w:eastAsia="Times New Roman" w:hAnsi="Arial" w:cs="Arial"/>
          <w:b/>
          <w:sz w:val="24"/>
          <w:szCs w:val="24"/>
          <w:lang w:val="es-ES" w:eastAsia="es-ES"/>
        </w:rPr>
        <w:t>- - -</w:t>
      </w:r>
    </w:p>
    <w:p w:rsidR="00951E3E" w:rsidRPr="00060EB6" w:rsidRDefault="00951E3E" w:rsidP="00951E3E">
      <w:pPr>
        <w:spacing w:after="0" w:line="240" w:lineRule="auto"/>
        <w:jc w:val="center"/>
        <w:rPr>
          <w:rFonts w:ascii="Arial" w:eastAsia="Times New Roman" w:hAnsi="Arial" w:cs="Arial"/>
          <w:b/>
          <w:sz w:val="24"/>
          <w:szCs w:val="24"/>
          <w:lang w:val="es-ES" w:eastAsia="es-ES"/>
        </w:rPr>
      </w:pPr>
      <w:r w:rsidRPr="00060EB6">
        <w:rPr>
          <w:rFonts w:ascii="Arial" w:eastAsia="Times New Roman" w:hAnsi="Arial" w:cs="Times New Roman"/>
          <w:spacing w:val="6"/>
          <w:sz w:val="24"/>
          <w:szCs w:val="24"/>
          <w:lang w:val="es-ES" w:eastAsia="es-ES"/>
        </w:rPr>
        <w:tab/>
      </w:r>
    </w:p>
    <w:p w:rsidR="00951E3E" w:rsidRPr="00060EB6" w:rsidRDefault="00951E3E" w:rsidP="00951E3E">
      <w:pPr>
        <w:spacing w:after="0" w:line="240" w:lineRule="auto"/>
        <w:ind w:firstLine="2835"/>
        <w:jc w:val="both"/>
        <w:rPr>
          <w:rFonts w:ascii="Arial" w:eastAsia="Times New Roman" w:hAnsi="Arial" w:cs="Arial"/>
          <w:sz w:val="24"/>
          <w:szCs w:val="24"/>
          <w:lang w:eastAsia="es-ES"/>
        </w:rPr>
      </w:pPr>
      <w:r w:rsidRPr="00060EB6">
        <w:rPr>
          <w:rFonts w:ascii="Arial" w:eastAsia="Times New Roman" w:hAnsi="Arial" w:cs="Arial"/>
          <w:sz w:val="24"/>
          <w:szCs w:val="24"/>
          <w:lang w:eastAsia="es-ES"/>
        </w:rPr>
        <w:t>Cabe señalar que con posterioridad a que la Comisión de Hacienda despachara su informe respecto de las disposiciones de su competencia, l</w:t>
      </w:r>
      <w:r w:rsidR="003033AF" w:rsidRPr="00060EB6">
        <w:rPr>
          <w:rFonts w:ascii="Arial" w:eastAsia="Times New Roman" w:hAnsi="Arial" w:cs="Arial"/>
          <w:sz w:val="24"/>
          <w:szCs w:val="24"/>
          <w:lang w:eastAsia="es-ES"/>
        </w:rPr>
        <w:t xml:space="preserve">os Comités del </w:t>
      </w:r>
      <w:r w:rsidRPr="00060EB6">
        <w:rPr>
          <w:rFonts w:ascii="Arial" w:eastAsia="Times New Roman" w:hAnsi="Arial" w:cs="Arial"/>
          <w:sz w:val="24"/>
          <w:szCs w:val="24"/>
          <w:lang w:eastAsia="es-ES"/>
        </w:rPr>
        <w:t>Senado, en sesión de 4 de julio de 2017, dispus</w:t>
      </w:r>
      <w:r w:rsidR="003033AF" w:rsidRPr="00060EB6">
        <w:rPr>
          <w:rFonts w:ascii="Arial" w:eastAsia="Times New Roman" w:hAnsi="Arial" w:cs="Arial"/>
          <w:sz w:val="24"/>
          <w:szCs w:val="24"/>
          <w:lang w:eastAsia="es-ES"/>
        </w:rPr>
        <w:t xml:space="preserve">ieron </w:t>
      </w:r>
      <w:r w:rsidRPr="00060EB6">
        <w:rPr>
          <w:rFonts w:ascii="Arial" w:eastAsia="Times New Roman" w:hAnsi="Arial" w:cs="Arial"/>
          <w:sz w:val="24"/>
          <w:szCs w:val="24"/>
          <w:lang w:eastAsia="es-ES"/>
        </w:rPr>
        <w:t>la emisión de un informe complementario por parte de la misma Comisión.</w:t>
      </w:r>
    </w:p>
    <w:p w:rsidR="00951E3E" w:rsidRPr="00060EB6" w:rsidRDefault="00951E3E" w:rsidP="00951E3E">
      <w:pPr>
        <w:spacing w:after="0" w:line="240" w:lineRule="auto"/>
        <w:ind w:firstLine="2835"/>
        <w:jc w:val="both"/>
        <w:rPr>
          <w:rFonts w:ascii="Arial" w:eastAsia="Times New Roman" w:hAnsi="Arial" w:cs="Times New Roman"/>
          <w:spacing w:val="-3"/>
          <w:sz w:val="24"/>
          <w:szCs w:val="24"/>
          <w:lang w:val="es-ES_tradnl" w:eastAsia="es-ES"/>
        </w:rPr>
      </w:pPr>
      <w:r w:rsidRPr="00060EB6">
        <w:rPr>
          <w:rFonts w:ascii="Arial" w:eastAsia="Times New Roman" w:hAnsi="Arial" w:cs="Times New Roman"/>
          <w:spacing w:val="-3"/>
          <w:sz w:val="24"/>
          <w:szCs w:val="24"/>
          <w:lang w:val="es-ES_tradnl" w:eastAsia="es-ES"/>
        </w:rPr>
        <w:t xml:space="preserve"> </w:t>
      </w:r>
    </w:p>
    <w:p w:rsidR="00951E3E" w:rsidRPr="00060EB6" w:rsidRDefault="00951E3E" w:rsidP="00951E3E">
      <w:pPr>
        <w:tabs>
          <w:tab w:val="left" w:pos="2835"/>
        </w:tabs>
        <w:spacing w:after="0" w:line="240" w:lineRule="auto"/>
        <w:jc w:val="center"/>
        <w:rPr>
          <w:rFonts w:ascii="Arial" w:eastAsia="Times New Roman" w:hAnsi="Arial" w:cs="Arial"/>
          <w:b/>
          <w:sz w:val="24"/>
          <w:szCs w:val="24"/>
          <w:lang w:val="es-ES" w:eastAsia="es-ES"/>
        </w:rPr>
      </w:pPr>
      <w:r w:rsidRPr="00060EB6">
        <w:rPr>
          <w:rFonts w:ascii="Arial" w:eastAsia="Times New Roman" w:hAnsi="Arial" w:cs="Arial"/>
          <w:b/>
          <w:sz w:val="24"/>
          <w:szCs w:val="24"/>
          <w:lang w:val="es-ES" w:eastAsia="es-ES"/>
        </w:rPr>
        <w:t>- - -</w:t>
      </w:r>
    </w:p>
    <w:p w:rsidR="00951E3E" w:rsidRPr="00060EB6" w:rsidRDefault="00951E3E" w:rsidP="00951E3E">
      <w:pPr>
        <w:tabs>
          <w:tab w:val="left" w:pos="2835"/>
        </w:tabs>
        <w:spacing w:after="0" w:line="240" w:lineRule="auto"/>
        <w:jc w:val="center"/>
        <w:rPr>
          <w:rFonts w:ascii="Arial" w:eastAsia="Times New Roman" w:hAnsi="Arial" w:cs="Arial"/>
          <w:b/>
          <w:sz w:val="24"/>
          <w:szCs w:val="24"/>
          <w:lang w:val="es-ES" w:eastAsia="es-ES"/>
        </w:rPr>
      </w:pPr>
    </w:p>
    <w:p w:rsidR="00951E3E" w:rsidRPr="00060EB6" w:rsidRDefault="00951E3E" w:rsidP="00951E3E">
      <w:pPr>
        <w:tabs>
          <w:tab w:val="left" w:pos="0"/>
          <w:tab w:val="left" w:pos="2835"/>
        </w:tabs>
        <w:spacing w:after="0" w:line="240" w:lineRule="auto"/>
        <w:jc w:val="center"/>
        <w:rPr>
          <w:rFonts w:ascii="Arial" w:eastAsia="Times New Roman" w:hAnsi="Arial" w:cs="Times New Roman"/>
          <w:b/>
          <w:sz w:val="24"/>
          <w:szCs w:val="24"/>
          <w:lang w:val="es-ES" w:eastAsia="es-ES"/>
        </w:rPr>
      </w:pPr>
      <w:r w:rsidRPr="00060EB6">
        <w:rPr>
          <w:rFonts w:ascii="Arial" w:eastAsia="Times New Roman" w:hAnsi="Arial" w:cs="Times New Roman"/>
          <w:b/>
          <w:sz w:val="24"/>
          <w:szCs w:val="24"/>
          <w:lang w:val="es-ES" w:eastAsia="es-ES"/>
        </w:rPr>
        <w:t>NORMAS DE QUÓRUM ESPECIAL</w:t>
      </w:r>
    </w:p>
    <w:p w:rsidR="00951E3E" w:rsidRPr="00060EB6" w:rsidRDefault="00951E3E" w:rsidP="00951E3E">
      <w:pPr>
        <w:tabs>
          <w:tab w:val="left" w:pos="0"/>
          <w:tab w:val="left" w:pos="2835"/>
        </w:tabs>
        <w:spacing w:after="0" w:line="240" w:lineRule="auto"/>
        <w:jc w:val="center"/>
        <w:rPr>
          <w:rFonts w:ascii="Arial" w:eastAsia="Times New Roman" w:hAnsi="Arial" w:cs="Times New Roman"/>
          <w:b/>
          <w:sz w:val="24"/>
          <w:szCs w:val="24"/>
          <w:lang w:val="es-ES" w:eastAsia="es-ES"/>
        </w:rPr>
      </w:pPr>
    </w:p>
    <w:p w:rsidR="00951E3E" w:rsidRPr="00060EB6" w:rsidRDefault="00951E3E" w:rsidP="00951E3E">
      <w:pPr>
        <w:widowControl w:val="0"/>
        <w:tabs>
          <w:tab w:val="left" w:pos="2268"/>
          <w:tab w:val="left" w:pos="2835"/>
        </w:tabs>
        <w:spacing w:after="0" w:line="240" w:lineRule="auto"/>
        <w:jc w:val="both"/>
        <w:rPr>
          <w:rFonts w:ascii="Arial" w:eastAsia="Times New Roman" w:hAnsi="Arial" w:cs="Arial"/>
          <w:sz w:val="24"/>
          <w:szCs w:val="24"/>
          <w:lang w:val="es-ES" w:eastAsia="es-ES"/>
        </w:rPr>
      </w:pPr>
      <w:r w:rsidRPr="00060EB6">
        <w:rPr>
          <w:rFonts w:ascii="Arial" w:eastAsia="Times New Roman" w:hAnsi="Arial" w:cs="Arial"/>
          <w:sz w:val="24"/>
          <w:szCs w:val="24"/>
          <w:lang w:val="es-ES" w:eastAsia="es-ES"/>
        </w:rPr>
        <w:tab/>
      </w:r>
      <w:r w:rsidRPr="00060EB6">
        <w:rPr>
          <w:rFonts w:ascii="Arial" w:eastAsia="Times New Roman" w:hAnsi="Arial" w:cs="Arial"/>
          <w:sz w:val="24"/>
          <w:szCs w:val="24"/>
          <w:lang w:val="es-ES" w:eastAsia="es-ES"/>
        </w:rPr>
        <w:tab/>
        <w:t xml:space="preserve">La Comisión de Hacienda se remite, al efecto, a lo expresado por la Comisión de </w:t>
      </w:r>
      <w:r w:rsidRPr="00060EB6">
        <w:rPr>
          <w:rFonts w:ascii="Arial" w:eastAsia="Times New Roman" w:hAnsi="Arial" w:cs="Arial"/>
          <w:sz w:val="24"/>
          <w:szCs w:val="24"/>
          <w:lang w:val="es-ES_tradnl" w:eastAsia="es-ES"/>
        </w:rPr>
        <w:t>Constitución, Legislación, Justicia y Reglamento</w:t>
      </w:r>
      <w:r w:rsidRPr="00060EB6">
        <w:rPr>
          <w:rFonts w:ascii="Arial" w:eastAsia="Times New Roman" w:hAnsi="Arial" w:cs="Arial"/>
          <w:sz w:val="24"/>
          <w:szCs w:val="24"/>
          <w:lang w:val="es-ES" w:eastAsia="es-ES"/>
        </w:rPr>
        <w:t xml:space="preserve"> en su segundo informe.</w:t>
      </w:r>
    </w:p>
    <w:p w:rsidR="00951E3E" w:rsidRPr="00060EB6" w:rsidRDefault="00951E3E" w:rsidP="00951E3E">
      <w:pPr>
        <w:spacing w:after="0" w:line="240" w:lineRule="auto"/>
        <w:ind w:firstLine="2835"/>
        <w:jc w:val="both"/>
        <w:rPr>
          <w:rFonts w:ascii="Arial" w:eastAsia="Times New Roman" w:hAnsi="Arial" w:cs="Times New Roman"/>
          <w:spacing w:val="-3"/>
          <w:sz w:val="24"/>
          <w:szCs w:val="24"/>
          <w:lang w:val="es-ES" w:eastAsia="es-ES"/>
        </w:rPr>
      </w:pPr>
    </w:p>
    <w:p w:rsidR="00951E3E" w:rsidRPr="00060EB6" w:rsidRDefault="00951E3E" w:rsidP="00951E3E">
      <w:pPr>
        <w:tabs>
          <w:tab w:val="left" w:pos="2835"/>
        </w:tabs>
        <w:spacing w:after="0" w:line="240" w:lineRule="auto"/>
        <w:jc w:val="center"/>
        <w:rPr>
          <w:rFonts w:ascii="Arial" w:eastAsia="Times New Roman" w:hAnsi="Arial" w:cs="Arial"/>
          <w:b/>
          <w:sz w:val="24"/>
          <w:szCs w:val="24"/>
          <w:lang w:val="es-ES" w:eastAsia="es-ES"/>
        </w:rPr>
      </w:pPr>
      <w:r w:rsidRPr="00060EB6">
        <w:rPr>
          <w:rFonts w:ascii="Arial" w:eastAsia="Times New Roman" w:hAnsi="Arial" w:cs="Arial"/>
          <w:b/>
          <w:sz w:val="24"/>
          <w:szCs w:val="24"/>
          <w:lang w:val="es-ES" w:eastAsia="es-ES"/>
        </w:rPr>
        <w:t>- - -</w:t>
      </w:r>
    </w:p>
    <w:p w:rsidR="00951E3E" w:rsidRPr="00060EB6" w:rsidRDefault="00951E3E" w:rsidP="00951E3E">
      <w:pPr>
        <w:tabs>
          <w:tab w:val="left" w:pos="2835"/>
        </w:tabs>
        <w:spacing w:after="0" w:line="240" w:lineRule="auto"/>
        <w:jc w:val="both"/>
        <w:rPr>
          <w:rFonts w:ascii="Arial" w:eastAsia="Times New Roman" w:hAnsi="Arial" w:cs="Arial"/>
          <w:sz w:val="24"/>
          <w:szCs w:val="24"/>
          <w:lang w:val="es-ES_tradnl" w:eastAsia="es-ES"/>
        </w:rPr>
      </w:pPr>
    </w:p>
    <w:p w:rsidR="00951E3E" w:rsidRPr="00060EB6" w:rsidRDefault="002A67CA" w:rsidP="00951E3E">
      <w:pPr>
        <w:spacing w:after="0" w:line="240" w:lineRule="auto"/>
        <w:ind w:firstLine="2880"/>
        <w:jc w:val="both"/>
        <w:rPr>
          <w:rFonts w:ascii="Arial" w:eastAsia="Times New Roman" w:hAnsi="Arial" w:cs="Arial"/>
          <w:sz w:val="24"/>
          <w:szCs w:val="24"/>
          <w:lang w:val="es-ES" w:eastAsia="es-ES"/>
        </w:rPr>
      </w:pPr>
      <w:r w:rsidRPr="00060EB6">
        <w:rPr>
          <w:rFonts w:ascii="Arial" w:eastAsia="Times New Roman" w:hAnsi="Arial" w:cs="Arial"/>
          <w:sz w:val="24"/>
          <w:szCs w:val="24"/>
          <w:lang w:val="es-ES" w:eastAsia="es-ES"/>
        </w:rPr>
        <w:t xml:space="preserve">Para </w:t>
      </w:r>
      <w:r w:rsidR="00951E3E" w:rsidRPr="00060EB6">
        <w:rPr>
          <w:rFonts w:ascii="Arial" w:eastAsia="Times New Roman" w:hAnsi="Arial" w:cs="Arial"/>
          <w:sz w:val="24"/>
          <w:szCs w:val="24"/>
          <w:lang w:val="es-ES" w:eastAsia="es-ES"/>
        </w:rPr>
        <w:t xml:space="preserve">efectos de lo dispuesto en el artículo 124 del Reglamento del Senado, se deja constancia de que la Comisión de Hacienda </w:t>
      </w:r>
      <w:r w:rsidRPr="00060EB6">
        <w:rPr>
          <w:rFonts w:ascii="Arial" w:eastAsia="Times New Roman" w:hAnsi="Arial" w:cs="Arial"/>
          <w:sz w:val="24"/>
          <w:szCs w:val="24"/>
          <w:lang w:val="es-ES" w:eastAsia="es-ES"/>
        </w:rPr>
        <w:t xml:space="preserve">no </w:t>
      </w:r>
      <w:r w:rsidR="00951E3E" w:rsidRPr="00060EB6">
        <w:rPr>
          <w:rFonts w:ascii="Arial" w:eastAsia="Times New Roman" w:hAnsi="Arial" w:cs="Arial"/>
          <w:sz w:val="24"/>
          <w:szCs w:val="24"/>
          <w:lang w:val="es-ES" w:eastAsia="es-ES"/>
        </w:rPr>
        <w:t>introdujo enmienda</w:t>
      </w:r>
      <w:r w:rsidRPr="00060EB6">
        <w:rPr>
          <w:rFonts w:ascii="Arial" w:eastAsia="Times New Roman" w:hAnsi="Arial" w:cs="Arial"/>
          <w:sz w:val="24"/>
          <w:szCs w:val="24"/>
          <w:lang w:val="es-ES" w:eastAsia="es-ES"/>
        </w:rPr>
        <w:t>s</w:t>
      </w:r>
      <w:r w:rsidR="00951E3E" w:rsidRPr="00060EB6">
        <w:rPr>
          <w:rFonts w:ascii="Arial" w:eastAsia="Times New Roman" w:hAnsi="Arial" w:cs="Arial"/>
          <w:sz w:val="24"/>
          <w:szCs w:val="24"/>
          <w:lang w:val="es-ES" w:eastAsia="es-ES"/>
        </w:rPr>
        <w:t xml:space="preserve"> respecto del texto que en su oportunidad había despachado.</w:t>
      </w:r>
    </w:p>
    <w:p w:rsidR="002A67CA" w:rsidRPr="00060EB6" w:rsidRDefault="002A67CA" w:rsidP="00951E3E">
      <w:pPr>
        <w:tabs>
          <w:tab w:val="left" w:pos="2835"/>
        </w:tabs>
        <w:spacing w:after="0" w:line="240" w:lineRule="auto"/>
        <w:jc w:val="center"/>
        <w:rPr>
          <w:rFonts w:ascii="Arial" w:eastAsia="Times New Roman" w:hAnsi="Arial" w:cs="Arial"/>
          <w:b/>
          <w:sz w:val="24"/>
          <w:szCs w:val="24"/>
          <w:lang w:eastAsia="es-ES"/>
        </w:rPr>
      </w:pPr>
    </w:p>
    <w:p w:rsidR="00951E3E" w:rsidRPr="00060EB6" w:rsidRDefault="00951E3E" w:rsidP="00951E3E">
      <w:pPr>
        <w:tabs>
          <w:tab w:val="left" w:pos="2835"/>
        </w:tabs>
        <w:spacing w:after="0" w:line="240" w:lineRule="auto"/>
        <w:jc w:val="center"/>
        <w:rPr>
          <w:rFonts w:ascii="Arial" w:eastAsia="Times New Roman" w:hAnsi="Arial" w:cs="Arial"/>
          <w:b/>
          <w:sz w:val="24"/>
          <w:szCs w:val="24"/>
          <w:lang w:eastAsia="es-ES"/>
        </w:rPr>
      </w:pPr>
      <w:r w:rsidRPr="00060EB6">
        <w:rPr>
          <w:rFonts w:ascii="Arial" w:eastAsia="Times New Roman" w:hAnsi="Arial" w:cs="Arial"/>
          <w:b/>
          <w:sz w:val="24"/>
          <w:szCs w:val="24"/>
          <w:lang w:eastAsia="es-ES"/>
        </w:rPr>
        <w:t>- - -</w:t>
      </w:r>
    </w:p>
    <w:p w:rsidR="002A67CA" w:rsidRPr="00060EB6" w:rsidRDefault="002A67CA" w:rsidP="002A67CA">
      <w:pPr>
        <w:tabs>
          <w:tab w:val="left" w:pos="2835"/>
        </w:tabs>
        <w:spacing w:after="0" w:line="240" w:lineRule="auto"/>
        <w:rPr>
          <w:rFonts w:ascii="Arial" w:eastAsia="MS Mincho" w:hAnsi="Arial" w:cs="Times New Roman"/>
          <w:b/>
          <w:sz w:val="24"/>
          <w:szCs w:val="24"/>
          <w:lang w:eastAsia="es-ES"/>
        </w:rPr>
      </w:pPr>
    </w:p>
    <w:p w:rsidR="00B015E8" w:rsidRPr="00060EB6" w:rsidRDefault="002A67CA" w:rsidP="002A67CA">
      <w:pPr>
        <w:tabs>
          <w:tab w:val="left" w:pos="2835"/>
        </w:tabs>
        <w:spacing w:after="0" w:line="240" w:lineRule="auto"/>
        <w:jc w:val="both"/>
        <w:rPr>
          <w:rFonts w:ascii="Arial" w:eastAsia="MS Mincho" w:hAnsi="Arial" w:cs="Times New Roman"/>
          <w:sz w:val="24"/>
          <w:szCs w:val="24"/>
          <w:lang w:eastAsia="es-ES"/>
        </w:rPr>
      </w:pPr>
      <w:r w:rsidRPr="00060EB6">
        <w:rPr>
          <w:rFonts w:ascii="Arial" w:eastAsia="MS Mincho" w:hAnsi="Arial" w:cs="Times New Roman"/>
          <w:b/>
          <w:sz w:val="24"/>
          <w:szCs w:val="24"/>
          <w:lang w:eastAsia="es-ES"/>
        </w:rPr>
        <w:tab/>
      </w:r>
      <w:r w:rsidRPr="00060EB6">
        <w:rPr>
          <w:rFonts w:ascii="Arial" w:eastAsia="MS Mincho" w:hAnsi="Arial" w:cs="Times New Roman"/>
          <w:sz w:val="24"/>
          <w:szCs w:val="24"/>
          <w:lang w:eastAsia="es-ES"/>
        </w:rPr>
        <w:t xml:space="preserve">En relación con el contenido de la iniciativa legal, el </w:t>
      </w:r>
      <w:r w:rsidRPr="00060EB6">
        <w:rPr>
          <w:rFonts w:ascii="Arial" w:eastAsia="MS Mincho" w:hAnsi="Arial" w:cs="Times New Roman"/>
          <w:b/>
          <w:sz w:val="24"/>
          <w:szCs w:val="24"/>
          <w:lang w:eastAsia="es-ES"/>
        </w:rPr>
        <w:t xml:space="preserve">Honorable Senador señor </w:t>
      </w:r>
      <w:proofErr w:type="spellStart"/>
      <w:r w:rsidRPr="00060EB6">
        <w:rPr>
          <w:rFonts w:ascii="Arial" w:eastAsia="MS Mincho" w:hAnsi="Arial" w:cs="Times New Roman"/>
          <w:b/>
          <w:sz w:val="24"/>
          <w:szCs w:val="24"/>
          <w:lang w:eastAsia="es-ES"/>
        </w:rPr>
        <w:t>Prokurica</w:t>
      </w:r>
      <w:proofErr w:type="spellEnd"/>
      <w:r w:rsidRPr="00060EB6">
        <w:rPr>
          <w:rFonts w:ascii="Arial" w:eastAsia="MS Mincho" w:hAnsi="Arial" w:cs="Times New Roman"/>
          <w:b/>
          <w:sz w:val="24"/>
          <w:szCs w:val="24"/>
          <w:lang w:eastAsia="es-ES"/>
        </w:rPr>
        <w:t xml:space="preserve"> </w:t>
      </w:r>
      <w:r w:rsidRPr="00060EB6">
        <w:rPr>
          <w:rFonts w:ascii="Arial" w:eastAsia="MS Mincho" w:hAnsi="Arial" w:cs="Times New Roman"/>
          <w:sz w:val="24"/>
          <w:szCs w:val="24"/>
          <w:lang w:eastAsia="es-ES"/>
        </w:rPr>
        <w:t xml:space="preserve">planteó la preocupación, a su vez expresada por el Colegio de Contadores Auditores Universitarios de Chile y por diversos abogados </w:t>
      </w:r>
      <w:proofErr w:type="spellStart"/>
      <w:r w:rsidRPr="00060EB6">
        <w:rPr>
          <w:rFonts w:ascii="Arial" w:eastAsia="MS Mincho" w:hAnsi="Arial" w:cs="Times New Roman"/>
          <w:sz w:val="24"/>
          <w:szCs w:val="24"/>
          <w:lang w:eastAsia="es-ES"/>
        </w:rPr>
        <w:t>tributaristas</w:t>
      </w:r>
      <w:proofErr w:type="spellEnd"/>
      <w:r w:rsidRPr="00060EB6">
        <w:rPr>
          <w:rFonts w:ascii="Arial" w:eastAsia="MS Mincho" w:hAnsi="Arial" w:cs="Times New Roman"/>
          <w:sz w:val="24"/>
          <w:szCs w:val="24"/>
          <w:lang w:eastAsia="es-ES"/>
        </w:rPr>
        <w:t xml:space="preserve">, en relación con el alcance del nuevo artículo 130 del Código Tributario, que el numeral 6 del artículo 2° del </w:t>
      </w:r>
      <w:r w:rsidRPr="00060EB6">
        <w:rPr>
          <w:rFonts w:ascii="Arial" w:eastAsia="MS Mincho" w:hAnsi="Arial" w:cs="Times New Roman"/>
          <w:sz w:val="24"/>
          <w:szCs w:val="24"/>
          <w:lang w:eastAsia="es-ES"/>
        </w:rPr>
        <w:lastRenderedPageBreak/>
        <w:t>proyecto propone. En concreto, respecto de la oración final del inciso tercero</w:t>
      </w:r>
      <w:r w:rsidR="00B015E8" w:rsidRPr="00060EB6">
        <w:rPr>
          <w:rFonts w:ascii="Arial" w:eastAsia="MS Mincho" w:hAnsi="Arial" w:cs="Times New Roman"/>
          <w:sz w:val="24"/>
          <w:szCs w:val="24"/>
          <w:lang w:eastAsia="es-ES"/>
        </w:rPr>
        <w:t>, que faculta al Tribunal para exigir que los documentos y demás pruebas que se acompañen en un proceso sean presentados en forma física.</w:t>
      </w:r>
    </w:p>
    <w:p w:rsidR="00B015E8" w:rsidRPr="00060EB6" w:rsidRDefault="00B015E8" w:rsidP="002A67CA">
      <w:pPr>
        <w:tabs>
          <w:tab w:val="left" w:pos="2835"/>
        </w:tabs>
        <w:spacing w:after="0" w:line="240" w:lineRule="auto"/>
        <w:jc w:val="both"/>
        <w:rPr>
          <w:rFonts w:ascii="Arial" w:eastAsia="MS Mincho" w:hAnsi="Arial" w:cs="Times New Roman"/>
          <w:sz w:val="24"/>
          <w:szCs w:val="24"/>
          <w:lang w:eastAsia="es-ES"/>
        </w:rPr>
      </w:pPr>
    </w:p>
    <w:p w:rsidR="002A67CA" w:rsidRPr="00060EB6" w:rsidRDefault="00B015E8" w:rsidP="002A67CA">
      <w:pPr>
        <w:tabs>
          <w:tab w:val="left" w:pos="2835"/>
        </w:tabs>
        <w:spacing w:after="0" w:line="240" w:lineRule="auto"/>
        <w:jc w:val="both"/>
        <w:rPr>
          <w:rFonts w:ascii="Arial" w:eastAsia="MS Mincho" w:hAnsi="Arial" w:cs="Times New Roman"/>
          <w:sz w:val="24"/>
          <w:szCs w:val="24"/>
          <w:lang w:eastAsia="es-ES"/>
        </w:rPr>
      </w:pPr>
      <w:r w:rsidRPr="00060EB6">
        <w:rPr>
          <w:rFonts w:ascii="Arial" w:eastAsia="MS Mincho" w:hAnsi="Arial" w:cs="Times New Roman"/>
          <w:sz w:val="24"/>
          <w:szCs w:val="24"/>
          <w:lang w:eastAsia="es-ES"/>
        </w:rPr>
        <w:tab/>
        <w:t xml:space="preserve">Sostuvo que tal facultad podría poner en situación de indefensión a los contribuyentes que intervengan en un juicio tributario, toda vez que si un tribunal puede exigir que los documentos probatorios sean presentados en forma física, las partes no estarán habilitadas para decidir si los presentan en </w:t>
      </w:r>
      <w:r w:rsidR="00DE1E41" w:rsidRPr="00060EB6">
        <w:rPr>
          <w:rFonts w:ascii="Arial" w:eastAsia="MS Mincho" w:hAnsi="Arial" w:cs="Times New Roman"/>
          <w:sz w:val="24"/>
          <w:szCs w:val="24"/>
          <w:lang w:eastAsia="es-ES"/>
        </w:rPr>
        <w:t xml:space="preserve">dicho </w:t>
      </w:r>
      <w:r w:rsidRPr="00060EB6">
        <w:rPr>
          <w:rFonts w:ascii="Arial" w:eastAsia="MS Mincho" w:hAnsi="Arial" w:cs="Times New Roman"/>
          <w:sz w:val="24"/>
          <w:szCs w:val="24"/>
          <w:lang w:eastAsia="es-ES"/>
        </w:rPr>
        <w:t xml:space="preserve">formato o </w:t>
      </w:r>
      <w:r w:rsidR="00DE1E41" w:rsidRPr="00060EB6">
        <w:rPr>
          <w:rFonts w:ascii="Arial" w:eastAsia="MS Mincho" w:hAnsi="Arial" w:cs="Times New Roman"/>
          <w:sz w:val="24"/>
          <w:szCs w:val="24"/>
          <w:lang w:eastAsia="es-ES"/>
        </w:rPr>
        <w:t xml:space="preserve">en formato </w:t>
      </w:r>
      <w:r w:rsidRPr="00060EB6">
        <w:rPr>
          <w:rFonts w:ascii="Arial" w:eastAsia="MS Mincho" w:hAnsi="Arial" w:cs="Times New Roman"/>
          <w:sz w:val="24"/>
          <w:szCs w:val="24"/>
          <w:lang w:eastAsia="es-ES"/>
        </w:rPr>
        <w:t xml:space="preserve">electrónico.   </w:t>
      </w:r>
    </w:p>
    <w:p w:rsidR="00B015E8" w:rsidRPr="00060EB6" w:rsidRDefault="00B015E8" w:rsidP="002A67CA">
      <w:pPr>
        <w:tabs>
          <w:tab w:val="left" w:pos="2835"/>
        </w:tabs>
        <w:spacing w:after="0" w:line="240" w:lineRule="auto"/>
        <w:jc w:val="both"/>
        <w:rPr>
          <w:rFonts w:ascii="Arial" w:eastAsia="MS Mincho" w:hAnsi="Arial" w:cs="Times New Roman"/>
          <w:sz w:val="24"/>
          <w:szCs w:val="24"/>
          <w:lang w:eastAsia="es-ES"/>
        </w:rPr>
      </w:pPr>
    </w:p>
    <w:p w:rsidR="00B015E8" w:rsidRPr="00060EB6" w:rsidRDefault="00B015E8" w:rsidP="00B015E8">
      <w:pPr>
        <w:tabs>
          <w:tab w:val="left" w:pos="2835"/>
        </w:tabs>
        <w:spacing w:after="0" w:line="240" w:lineRule="auto"/>
        <w:jc w:val="both"/>
        <w:rPr>
          <w:rFonts w:ascii="Arial" w:eastAsia="MS Mincho" w:hAnsi="Arial" w:cs="Times New Roman"/>
          <w:sz w:val="24"/>
          <w:szCs w:val="24"/>
          <w:lang w:eastAsia="es-ES"/>
        </w:rPr>
      </w:pPr>
      <w:r w:rsidRPr="00060EB6">
        <w:rPr>
          <w:rFonts w:ascii="Arial" w:eastAsia="MS Mincho" w:hAnsi="Arial" w:cs="Times New Roman"/>
          <w:sz w:val="24"/>
          <w:szCs w:val="24"/>
          <w:lang w:eastAsia="es-ES"/>
        </w:rPr>
        <w:tab/>
        <w:t xml:space="preserve">El </w:t>
      </w:r>
      <w:r w:rsidRPr="00060EB6">
        <w:rPr>
          <w:rFonts w:ascii="Arial" w:eastAsia="MS Mincho" w:hAnsi="Arial" w:cs="Times New Roman"/>
          <w:b/>
          <w:sz w:val="24"/>
          <w:szCs w:val="24"/>
          <w:lang w:eastAsia="es-ES"/>
        </w:rPr>
        <w:t>Coordinador de Política Tributaria del Ministerio de Hacienda, señor Ricardo Guerrero</w:t>
      </w:r>
      <w:r w:rsidRPr="00060EB6">
        <w:rPr>
          <w:rFonts w:ascii="Arial" w:eastAsia="MS Mincho" w:hAnsi="Arial" w:cs="Times New Roman"/>
          <w:sz w:val="24"/>
          <w:szCs w:val="24"/>
          <w:lang w:eastAsia="es-ES"/>
        </w:rPr>
        <w:t xml:space="preserve">, manifestó que, </w:t>
      </w:r>
      <w:r w:rsidR="00DE1E41" w:rsidRPr="00060EB6">
        <w:rPr>
          <w:rFonts w:ascii="Arial" w:eastAsia="MS Mincho" w:hAnsi="Arial" w:cs="Times New Roman"/>
          <w:sz w:val="24"/>
          <w:szCs w:val="24"/>
          <w:lang w:eastAsia="es-ES"/>
        </w:rPr>
        <w:t>en opinión</w:t>
      </w:r>
      <w:r w:rsidRPr="00060EB6">
        <w:rPr>
          <w:rFonts w:ascii="Arial" w:eastAsia="MS Mincho" w:hAnsi="Arial" w:cs="Times New Roman"/>
          <w:sz w:val="24"/>
          <w:szCs w:val="24"/>
          <w:lang w:eastAsia="es-ES"/>
        </w:rPr>
        <w:t xml:space="preserve"> del Ejecutivo, la interpretación que debe darse a la disposición </w:t>
      </w:r>
      <w:r w:rsidR="00DE1E41" w:rsidRPr="00060EB6">
        <w:rPr>
          <w:rFonts w:ascii="Arial" w:eastAsia="MS Mincho" w:hAnsi="Arial" w:cs="Times New Roman"/>
          <w:sz w:val="24"/>
          <w:szCs w:val="24"/>
          <w:lang w:eastAsia="es-ES"/>
        </w:rPr>
        <w:t xml:space="preserve">en </w:t>
      </w:r>
      <w:r w:rsidRPr="00060EB6">
        <w:rPr>
          <w:rFonts w:ascii="Arial" w:eastAsia="MS Mincho" w:hAnsi="Arial" w:cs="Times New Roman"/>
          <w:sz w:val="24"/>
          <w:szCs w:val="24"/>
          <w:lang w:eastAsia="es-ES"/>
        </w:rPr>
        <w:t xml:space="preserve">comento es distinta. Esta, argumentó, simplemente da cuenta de la facultad que </w:t>
      </w:r>
      <w:r w:rsidR="002A1B62" w:rsidRPr="00060EB6">
        <w:rPr>
          <w:rFonts w:ascii="Arial" w:eastAsia="MS Mincho" w:hAnsi="Arial" w:cs="Times New Roman"/>
          <w:sz w:val="24"/>
          <w:szCs w:val="24"/>
          <w:lang w:eastAsia="es-ES"/>
        </w:rPr>
        <w:t>tendrán</w:t>
      </w:r>
      <w:r w:rsidRPr="00060EB6">
        <w:rPr>
          <w:rFonts w:ascii="Arial" w:eastAsia="MS Mincho" w:hAnsi="Arial" w:cs="Times New Roman"/>
          <w:sz w:val="24"/>
          <w:szCs w:val="24"/>
          <w:lang w:eastAsia="es-ES"/>
        </w:rPr>
        <w:t xml:space="preserve"> los litigantes para presentar los documentos probatorios por medios digitales o en formato físico. En caso alguno, entonces, se </w:t>
      </w:r>
      <w:r w:rsidR="002A1B62" w:rsidRPr="00060EB6">
        <w:rPr>
          <w:rFonts w:ascii="Arial" w:eastAsia="MS Mincho" w:hAnsi="Arial" w:cs="Times New Roman"/>
          <w:sz w:val="24"/>
          <w:szCs w:val="24"/>
          <w:lang w:eastAsia="es-ES"/>
        </w:rPr>
        <w:t>excluye</w:t>
      </w:r>
      <w:r w:rsidRPr="00060EB6">
        <w:rPr>
          <w:rFonts w:ascii="Arial" w:eastAsia="MS Mincho" w:hAnsi="Arial" w:cs="Times New Roman"/>
          <w:sz w:val="24"/>
          <w:szCs w:val="24"/>
          <w:lang w:eastAsia="es-ES"/>
        </w:rPr>
        <w:t xml:space="preserve"> esta última posibilidad o se limita al caso en que el tribunal así lo exija. </w:t>
      </w:r>
      <w:r w:rsidR="002A1B62" w:rsidRPr="00060EB6">
        <w:rPr>
          <w:rFonts w:ascii="Arial" w:eastAsia="MS Mincho" w:hAnsi="Arial" w:cs="Times New Roman"/>
          <w:sz w:val="24"/>
          <w:szCs w:val="24"/>
          <w:lang w:eastAsia="es-ES"/>
        </w:rPr>
        <w:t>Son las partes las que decidirán qué antecedentes aportar al proceso, no existiendo límites respecto a la vía material de presentación.</w:t>
      </w:r>
    </w:p>
    <w:p w:rsidR="002A1B62" w:rsidRPr="00060EB6" w:rsidRDefault="002A1B62" w:rsidP="00B015E8">
      <w:pPr>
        <w:tabs>
          <w:tab w:val="left" w:pos="2835"/>
        </w:tabs>
        <w:spacing w:after="0" w:line="240" w:lineRule="auto"/>
        <w:jc w:val="both"/>
        <w:rPr>
          <w:rFonts w:ascii="Arial" w:eastAsia="MS Mincho" w:hAnsi="Arial" w:cs="Times New Roman"/>
          <w:sz w:val="24"/>
          <w:szCs w:val="24"/>
          <w:lang w:eastAsia="es-ES"/>
        </w:rPr>
      </w:pPr>
    </w:p>
    <w:p w:rsidR="00B015E8" w:rsidRPr="00060EB6" w:rsidRDefault="002A1B62" w:rsidP="00B015E8">
      <w:pPr>
        <w:tabs>
          <w:tab w:val="left" w:pos="2835"/>
        </w:tabs>
        <w:spacing w:after="0" w:line="240" w:lineRule="auto"/>
        <w:jc w:val="both"/>
        <w:rPr>
          <w:rFonts w:ascii="Arial" w:eastAsia="MS Mincho" w:hAnsi="Arial" w:cs="Times New Roman"/>
          <w:b/>
          <w:sz w:val="24"/>
          <w:szCs w:val="24"/>
          <w:lang w:eastAsia="es-ES"/>
        </w:rPr>
      </w:pPr>
      <w:r w:rsidRPr="00060EB6">
        <w:rPr>
          <w:rFonts w:ascii="Arial" w:eastAsia="MS Mincho" w:hAnsi="Arial" w:cs="Times New Roman"/>
          <w:sz w:val="24"/>
          <w:szCs w:val="24"/>
          <w:lang w:eastAsia="es-ES"/>
        </w:rPr>
        <w:tab/>
        <w:t xml:space="preserve">El </w:t>
      </w:r>
      <w:r w:rsidRPr="00060EB6">
        <w:rPr>
          <w:rFonts w:ascii="Arial" w:eastAsia="MS Mincho" w:hAnsi="Arial" w:cs="Times New Roman"/>
          <w:b/>
          <w:sz w:val="24"/>
          <w:szCs w:val="24"/>
          <w:lang w:eastAsia="es-ES"/>
        </w:rPr>
        <w:t>J</w:t>
      </w:r>
      <w:r w:rsidR="00B015E8" w:rsidRPr="00060EB6">
        <w:rPr>
          <w:rFonts w:ascii="Arial" w:eastAsia="MS Mincho" w:hAnsi="Arial" w:cs="Times New Roman"/>
          <w:b/>
          <w:sz w:val="24"/>
          <w:szCs w:val="24"/>
          <w:lang w:eastAsia="es-ES"/>
        </w:rPr>
        <w:t>uez</w:t>
      </w:r>
      <w:r w:rsidRPr="00060EB6">
        <w:rPr>
          <w:rFonts w:ascii="Arial" w:eastAsia="MS Mincho" w:hAnsi="Arial" w:cs="Times New Roman"/>
          <w:b/>
          <w:sz w:val="24"/>
          <w:szCs w:val="24"/>
          <w:lang w:eastAsia="es-ES"/>
        </w:rPr>
        <w:t xml:space="preserve"> Tributario y Aduanero</w:t>
      </w:r>
      <w:r w:rsidR="00B015E8" w:rsidRPr="00060EB6">
        <w:rPr>
          <w:rFonts w:ascii="Arial" w:eastAsia="MS Mincho" w:hAnsi="Arial" w:cs="Times New Roman"/>
          <w:b/>
          <w:sz w:val="24"/>
          <w:szCs w:val="24"/>
          <w:lang w:eastAsia="es-ES"/>
        </w:rPr>
        <w:t>, señor Francisco Orellana</w:t>
      </w:r>
      <w:r w:rsidRPr="00060EB6">
        <w:rPr>
          <w:rFonts w:ascii="Arial" w:eastAsia="MS Mincho" w:hAnsi="Arial" w:cs="Times New Roman"/>
          <w:sz w:val="24"/>
          <w:szCs w:val="24"/>
          <w:lang w:eastAsia="es-ES"/>
        </w:rPr>
        <w:t xml:space="preserve"> señaló que, a juicio de sus pares, la sana interpretación de la disposición en análisis es la expuesta por el representante del Ejecutivo.</w:t>
      </w:r>
    </w:p>
    <w:p w:rsidR="00B015E8" w:rsidRPr="00060EB6" w:rsidRDefault="00B015E8" w:rsidP="002A67CA">
      <w:pPr>
        <w:tabs>
          <w:tab w:val="left" w:pos="2835"/>
        </w:tabs>
        <w:spacing w:after="0" w:line="240" w:lineRule="auto"/>
        <w:jc w:val="both"/>
        <w:rPr>
          <w:rFonts w:ascii="Arial" w:eastAsia="MS Mincho" w:hAnsi="Arial" w:cs="Times New Roman"/>
          <w:sz w:val="24"/>
          <w:szCs w:val="24"/>
          <w:lang w:eastAsia="es-ES"/>
        </w:rPr>
      </w:pPr>
    </w:p>
    <w:p w:rsidR="002A1B62" w:rsidRPr="00060EB6" w:rsidRDefault="002A1B62" w:rsidP="002A67CA">
      <w:pPr>
        <w:tabs>
          <w:tab w:val="left" w:pos="2835"/>
        </w:tabs>
        <w:spacing w:after="0" w:line="240" w:lineRule="auto"/>
        <w:jc w:val="both"/>
        <w:rPr>
          <w:rFonts w:ascii="Arial" w:eastAsia="MS Mincho" w:hAnsi="Arial" w:cs="Times New Roman"/>
          <w:sz w:val="24"/>
          <w:szCs w:val="24"/>
          <w:lang w:eastAsia="es-ES"/>
        </w:rPr>
      </w:pPr>
    </w:p>
    <w:p w:rsidR="002A1B62" w:rsidRPr="00060EB6" w:rsidRDefault="002A1B62" w:rsidP="002A67CA">
      <w:pPr>
        <w:tabs>
          <w:tab w:val="left" w:pos="2835"/>
        </w:tabs>
        <w:spacing w:after="0" w:line="240" w:lineRule="auto"/>
        <w:jc w:val="both"/>
        <w:rPr>
          <w:rFonts w:ascii="Arial" w:eastAsia="MS Mincho" w:hAnsi="Arial" w:cs="Times New Roman"/>
          <w:b/>
          <w:sz w:val="24"/>
          <w:szCs w:val="24"/>
          <w:lang w:eastAsia="es-ES"/>
        </w:rPr>
      </w:pPr>
      <w:r w:rsidRPr="00060EB6">
        <w:rPr>
          <w:rFonts w:ascii="Arial" w:eastAsia="MS Mincho" w:hAnsi="Arial" w:cs="Times New Roman"/>
          <w:sz w:val="24"/>
          <w:szCs w:val="24"/>
          <w:lang w:eastAsia="es-ES"/>
        </w:rPr>
        <w:tab/>
      </w:r>
      <w:r w:rsidRPr="00060EB6">
        <w:rPr>
          <w:rFonts w:ascii="Arial" w:eastAsia="MS Mincho" w:hAnsi="Arial" w:cs="Times New Roman"/>
          <w:b/>
          <w:sz w:val="24"/>
          <w:szCs w:val="24"/>
          <w:lang w:eastAsia="es-ES"/>
        </w:rPr>
        <w:t xml:space="preserve">Una vez concluido el debate, la unanimidad de los integrantes de la Comisión (Honorable Senadora señora Muñoz y Honorables Senadores señores Coloma, García, Montes y Pizarro), estuvieron de acuerdo en que el informe complementario de la Comisión de Hacienda respecto del proyecto de ley en informe, debe dar cuenta de manera lata de los argumentos expuestos por el Honorable Senador señor </w:t>
      </w:r>
      <w:proofErr w:type="spellStart"/>
      <w:r w:rsidRPr="00060EB6">
        <w:rPr>
          <w:rFonts w:ascii="Arial" w:eastAsia="MS Mincho" w:hAnsi="Arial" w:cs="Times New Roman"/>
          <w:b/>
          <w:sz w:val="24"/>
          <w:szCs w:val="24"/>
          <w:lang w:eastAsia="es-ES"/>
        </w:rPr>
        <w:t>Prokurica</w:t>
      </w:r>
      <w:proofErr w:type="spellEnd"/>
      <w:r w:rsidRPr="00060EB6">
        <w:rPr>
          <w:rFonts w:ascii="Arial" w:eastAsia="MS Mincho" w:hAnsi="Arial" w:cs="Times New Roman"/>
          <w:b/>
          <w:sz w:val="24"/>
          <w:szCs w:val="24"/>
          <w:lang w:eastAsia="es-ES"/>
        </w:rPr>
        <w:t>, por el representante del Ministerio de Hacienda y por el señor Juez Tributario y Aduanero. En particular, respecto de la recta interpretación que, a juicio del Ejecutivo, debe darse al nuevo artículo 130 del Código Tributario.</w:t>
      </w:r>
    </w:p>
    <w:p w:rsidR="002A1B62" w:rsidRPr="00060EB6" w:rsidRDefault="002A1B62" w:rsidP="002A67CA">
      <w:pPr>
        <w:tabs>
          <w:tab w:val="left" w:pos="2835"/>
        </w:tabs>
        <w:spacing w:after="0" w:line="240" w:lineRule="auto"/>
        <w:jc w:val="both"/>
        <w:rPr>
          <w:rFonts w:ascii="Arial" w:eastAsia="MS Mincho" w:hAnsi="Arial" w:cs="Times New Roman"/>
          <w:b/>
          <w:sz w:val="24"/>
          <w:szCs w:val="24"/>
          <w:lang w:eastAsia="es-ES"/>
        </w:rPr>
      </w:pPr>
    </w:p>
    <w:p w:rsidR="002A1B62" w:rsidRPr="00060EB6" w:rsidRDefault="002A1B62" w:rsidP="002A67CA">
      <w:pPr>
        <w:tabs>
          <w:tab w:val="left" w:pos="2835"/>
        </w:tabs>
        <w:spacing w:after="0" w:line="240" w:lineRule="auto"/>
        <w:jc w:val="both"/>
        <w:rPr>
          <w:rFonts w:ascii="Arial" w:eastAsia="MS Mincho" w:hAnsi="Arial" w:cs="Times New Roman"/>
          <w:b/>
          <w:sz w:val="24"/>
          <w:szCs w:val="24"/>
          <w:lang w:eastAsia="es-ES"/>
        </w:rPr>
      </w:pPr>
      <w:r w:rsidRPr="00060EB6">
        <w:rPr>
          <w:rFonts w:ascii="Arial" w:eastAsia="MS Mincho" w:hAnsi="Arial" w:cs="Times New Roman"/>
          <w:b/>
          <w:sz w:val="24"/>
          <w:szCs w:val="24"/>
          <w:lang w:eastAsia="es-ES"/>
        </w:rPr>
        <w:tab/>
        <w:t>En consecuencia, la misma unanimidad precedentemente señalada estuvo por aprobar el proyecto de ley en los mismos términos en que la Comisión de Hacienda ya lo había hecho en su anterior informe, en el que se había pronunciado sobre los asuntos de su competencia.</w:t>
      </w:r>
    </w:p>
    <w:p w:rsidR="00951E3E" w:rsidRPr="00060EB6" w:rsidRDefault="00951E3E" w:rsidP="00951E3E">
      <w:pPr>
        <w:tabs>
          <w:tab w:val="left" w:pos="2835"/>
        </w:tabs>
        <w:spacing w:after="0" w:line="240" w:lineRule="auto"/>
        <w:ind w:firstLine="2835"/>
        <w:jc w:val="both"/>
        <w:rPr>
          <w:rFonts w:ascii="Arial" w:eastAsia="Times New Roman" w:hAnsi="Arial" w:cs="Arial"/>
          <w:color w:val="000000"/>
          <w:sz w:val="24"/>
          <w:szCs w:val="24"/>
          <w:lang w:val="es-ES_tradnl" w:eastAsia="es-ES"/>
        </w:rPr>
      </w:pPr>
    </w:p>
    <w:p w:rsidR="00951E3E" w:rsidRPr="00060EB6" w:rsidRDefault="00951E3E" w:rsidP="00951E3E">
      <w:pPr>
        <w:spacing w:after="0" w:line="240" w:lineRule="auto"/>
        <w:ind w:firstLine="2835"/>
        <w:jc w:val="both"/>
        <w:rPr>
          <w:rFonts w:ascii="Arial" w:eastAsia="Times New Roman" w:hAnsi="Arial" w:cs="Arial"/>
          <w:sz w:val="24"/>
          <w:szCs w:val="24"/>
          <w:lang w:val="es-ES" w:eastAsia="es-ES"/>
        </w:rPr>
      </w:pPr>
    </w:p>
    <w:p w:rsidR="00951E3E" w:rsidRPr="00060EB6" w:rsidRDefault="00951E3E" w:rsidP="00951E3E">
      <w:pPr>
        <w:spacing w:after="0" w:line="240" w:lineRule="auto"/>
        <w:jc w:val="center"/>
        <w:rPr>
          <w:rFonts w:ascii="Arial" w:eastAsia="Times New Roman" w:hAnsi="Arial" w:cs="Arial"/>
          <w:b/>
          <w:sz w:val="24"/>
          <w:szCs w:val="24"/>
          <w:lang w:val="es-ES" w:eastAsia="es-ES"/>
        </w:rPr>
      </w:pPr>
      <w:r w:rsidRPr="00060EB6">
        <w:rPr>
          <w:rFonts w:ascii="Arial" w:eastAsia="Times New Roman" w:hAnsi="Arial" w:cs="Arial"/>
          <w:b/>
          <w:sz w:val="24"/>
          <w:szCs w:val="24"/>
          <w:lang w:val="es-ES" w:eastAsia="es-ES"/>
        </w:rPr>
        <w:t>- - -</w:t>
      </w:r>
    </w:p>
    <w:p w:rsidR="002A1B62" w:rsidRPr="00060EB6" w:rsidRDefault="002A1B62" w:rsidP="00951E3E">
      <w:pPr>
        <w:spacing w:after="0" w:line="240" w:lineRule="auto"/>
        <w:ind w:firstLine="2835"/>
        <w:jc w:val="both"/>
        <w:rPr>
          <w:rFonts w:ascii="Arial" w:eastAsia="Times New Roman" w:hAnsi="Arial" w:cs="Arial"/>
          <w:sz w:val="24"/>
          <w:szCs w:val="24"/>
          <w:lang w:val="es-ES" w:eastAsia="es-ES"/>
        </w:rPr>
      </w:pPr>
    </w:p>
    <w:p w:rsidR="002A1B62" w:rsidRPr="00060EB6" w:rsidRDefault="002A1B62" w:rsidP="00951E3E">
      <w:pPr>
        <w:spacing w:after="0" w:line="240" w:lineRule="auto"/>
        <w:ind w:firstLine="2835"/>
        <w:jc w:val="both"/>
        <w:rPr>
          <w:rFonts w:ascii="Arial" w:eastAsia="Times New Roman" w:hAnsi="Arial" w:cs="Arial"/>
          <w:sz w:val="24"/>
          <w:szCs w:val="24"/>
          <w:lang w:val="es-ES" w:eastAsia="es-ES"/>
        </w:rPr>
      </w:pPr>
    </w:p>
    <w:p w:rsidR="00DE1E41" w:rsidRPr="00060EB6" w:rsidRDefault="00DE1E41" w:rsidP="00951E3E">
      <w:pPr>
        <w:spacing w:after="0" w:line="240" w:lineRule="auto"/>
        <w:ind w:firstLine="2835"/>
        <w:jc w:val="both"/>
        <w:rPr>
          <w:rFonts w:ascii="Arial" w:eastAsia="Times New Roman" w:hAnsi="Arial" w:cs="Arial"/>
          <w:sz w:val="24"/>
          <w:szCs w:val="24"/>
          <w:lang w:val="es-ES" w:eastAsia="es-ES"/>
        </w:rPr>
      </w:pPr>
    </w:p>
    <w:p w:rsidR="002A1B62" w:rsidRPr="00060EB6" w:rsidRDefault="002A1B62" w:rsidP="00951E3E">
      <w:pPr>
        <w:spacing w:after="0" w:line="240" w:lineRule="auto"/>
        <w:ind w:firstLine="2835"/>
        <w:jc w:val="both"/>
        <w:rPr>
          <w:rFonts w:ascii="Arial" w:eastAsia="Times New Roman" w:hAnsi="Arial" w:cs="Arial"/>
          <w:sz w:val="24"/>
          <w:szCs w:val="24"/>
          <w:lang w:val="es-ES" w:eastAsia="es-ES"/>
        </w:rPr>
      </w:pPr>
    </w:p>
    <w:p w:rsidR="002A1B62" w:rsidRPr="00060EB6" w:rsidRDefault="002A1B62" w:rsidP="00951E3E">
      <w:pPr>
        <w:spacing w:after="0" w:line="240" w:lineRule="auto"/>
        <w:ind w:firstLine="2835"/>
        <w:jc w:val="both"/>
        <w:rPr>
          <w:rFonts w:ascii="Arial" w:eastAsia="Times New Roman" w:hAnsi="Arial" w:cs="Arial"/>
          <w:sz w:val="24"/>
          <w:szCs w:val="24"/>
          <w:lang w:val="es-ES" w:eastAsia="es-ES"/>
        </w:rPr>
      </w:pPr>
    </w:p>
    <w:p w:rsidR="002A1B62" w:rsidRPr="00060EB6" w:rsidRDefault="002A1B62" w:rsidP="00951E3E">
      <w:pPr>
        <w:spacing w:after="0" w:line="240" w:lineRule="auto"/>
        <w:ind w:firstLine="2835"/>
        <w:jc w:val="both"/>
        <w:rPr>
          <w:rFonts w:ascii="Arial" w:eastAsia="Times New Roman" w:hAnsi="Arial" w:cs="Arial"/>
          <w:sz w:val="24"/>
          <w:szCs w:val="24"/>
          <w:lang w:val="es-ES" w:eastAsia="es-ES"/>
        </w:rPr>
      </w:pPr>
    </w:p>
    <w:p w:rsidR="00951E3E" w:rsidRPr="00060EB6" w:rsidRDefault="00951E3E" w:rsidP="00951E3E">
      <w:pPr>
        <w:tabs>
          <w:tab w:val="left" w:pos="2835"/>
        </w:tabs>
        <w:spacing w:after="0" w:line="240" w:lineRule="auto"/>
        <w:jc w:val="center"/>
        <w:rPr>
          <w:rFonts w:ascii="Arial" w:eastAsia="Times New Roman" w:hAnsi="Arial" w:cs="Arial"/>
          <w:sz w:val="24"/>
          <w:szCs w:val="24"/>
          <w:lang w:val="es-ES" w:eastAsia="es-ES"/>
        </w:rPr>
      </w:pPr>
      <w:r w:rsidRPr="00060EB6">
        <w:rPr>
          <w:rFonts w:ascii="Arial" w:eastAsia="Times New Roman" w:hAnsi="Arial" w:cs="Arial"/>
          <w:sz w:val="24"/>
          <w:szCs w:val="24"/>
          <w:lang w:val="es-ES" w:eastAsia="es-ES"/>
        </w:rPr>
        <w:t>ROBERTO BUSTOS LATORRE</w:t>
      </w:r>
    </w:p>
    <w:p w:rsidR="0077118D" w:rsidRPr="00951E3E" w:rsidRDefault="00951E3E" w:rsidP="002A1B62">
      <w:pPr>
        <w:tabs>
          <w:tab w:val="left" w:pos="2835"/>
        </w:tabs>
        <w:spacing w:after="0" w:line="240" w:lineRule="auto"/>
        <w:jc w:val="center"/>
        <w:rPr>
          <w:lang w:val="es-ES"/>
        </w:rPr>
      </w:pPr>
      <w:r w:rsidRPr="00060EB6">
        <w:rPr>
          <w:rFonts w:ascii="Arial" w:eastAsia="Times New Roman" w:hAnsi="Arial" w:cs="Arial"/>
          <w:sz w:val="24"/>
          <w:szCs w:val="24"/>
          <w:lang w:val="es-ES" w:eastAsia="es-ES"/>
        </w:rPr>
        <w:t>Secretario de la Comisión</w:t>
      </w:r>
      <w:bookmarkStart w:id="0" w:name="_GoBack"/>
      <w:bookmarkEnd w:id="0"/>
    </w:p>
    <w:sectPr w:rsidR="0077118D" w:rsidRPr="00951E3E" w:rsidSect="002A1B62">
      <w:headerReference w:type="even" r:id="rId8"/>
      <w:headerReference w:type="default" r:id="rId9"/>
      <w:footerReference w:type="even" r:id="rId10"/>
      <w:footerReference w:type="default" r:id="rId11"/>
      <w:pgSz w:w="12242" w:h="20163" w:code="5"/>
      <w:pgMar w:top="2835" w:right="1701" w:bottom="2835" w:left="2268" w:header="709" w:footer="709" w:gutter="0"/>
      <w:paperSrc w:first="2" w:other="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8F7" w:rsidRDefault="008D18F7">
      <w:pPr>
        <w:spacing w:after="0" w:line="240" w:lineRule="auto"/>
      </w:pPr>
      <w:r>
        <w:separator/>
      </w:r>
    </w:p>
  </w:endnote>
  <w:endnote w:type="continuationSeparator" w:id="0">
    <w:p w:rsidR="008D18F7" w:rsidRDefault="008D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8D" w:rsidRDefault="0077118D" w:rsidP="0077118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8D" w:rsidRDefault="0077118D" w:rsidP="0077118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8F7" w:rsidRDefault="008D18F7">
      <w:pPr>
        <w:spacing w:after="0" w:line="240" w:lineRule="auto"/>
      </w:pPr>
      <w:r>
        <w:separator/>
      </w:r>
    </w:p>
  </w:footnote>
  <w:footnote w:type="continuationSeparator" w:id="0">
    <w:p w:rsidR="008D18F7" w:rsidRDefault="008D1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8D" w:rsidRDefault="0077118D" w:rsidP="0077118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7118D" w:rsidRDefault="0077118D" w:rsidP="0077118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18D" w:rsidRDefault="0077118D" w:rsidP="0077118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0EB6">
      <w:rPr>
        <w:rStyle w:val="Nmerodepgina"/>
        <w:noProof/>
      </w:rPr>
      <w:t>2</w:t>
    </w:r>
    <w:r>
      <w:rPr>
        <w:rStyle w:val="Nmerodepgina"/>
      </w:rPr>
      <w:fldChar w:fldCharType="end"/>
    </w:r>
  </w:p>
  <w:p w:rsidR="0077118D" w:rsidRDefault="0077118D" w:rsidP="0077118D">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3E"/>
    <w:rsid w:val="00020251"/>
    <w:rsid w:val="00060EB6"/>
    <w:rsid w:val="00201DBD"/>
    <w:rsid w:val="00240956"/>
    <w:rsid w:val="002A1B62"/>
    <w:rsid w:val="002A67CA"/>
    <w:rsid w:val="003033AF"/>
    <w:rsid w:val="003D57F9"/>
    <w:rsid w:val="0077118D"/>
    <w:rsid w:val="007767A2"/>
    <w:rsid w:val="007E7322"/>
    <w:rsid w:val="008A244C"/>
    <w:rsid w:val="008C3E61"/>
    <w:rsid w:val="008D18F7"/>
    <w:rsid w:val="00951E3E"/>
    <w:rsid w:val="00AE4A8B"/>
    <w:rsid w:val="00B015E8"/>
    <w:rsid w:val="00B25165"/>
    <w:rsid w:val="00CA73BD"/>
    <w:rsid w:val="00DE1E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951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51E3E"/>
  </w:style>
  <w:style w:type="paragraph" w:styleId="Encabezado">
    <w:name w:val="header"/>
    <w:basedOn w:val="Normal"/>
    <w:link w:val="EncabezadoCar"/>
    <w:uiPriority w:val="99"/>
    <w:semiHidden/>
    <w:unhideWhenUsed/>
    <w:rsid w:val="00951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51E3E"/>
  </w:style>
  <w:style w:type="character" w:styleId="Nmerodepgina">
    <w:name w:val="page number"/>
    <w:rsid w:val="00951E3E"/>
  </w:style>
  <w:style w:type="paragraph" w:styleId="Textodeglobo">
    <w:name w:val="Balloon Text"/>
    <w:basedOn w:val="Normal"/>
    <w:link w:val="TextodegloboCar"/>
    <w:uiPriority w:val="99"/>
    <w:semiHidden/>
    <w:unhideWhenUsed/>
    <w:rsid w:val="00951E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951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51E3E"/>
  </w:style>
  <w:style w:type="paragraph" w:styleId="Encabezado">
    <w:name w:val="header"/>
    <w:basedOn w:val="Normal"/>
    <w:link w:val="EncabezadoCar"/>
    <w:uiPriority w:val="99"/>
    <w:semiHidden/>
    <w:unhideWhenUsed/>
    <w:rsid w:val="00951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51E3E"/>
  </w:style>
  <w:style w:type="character" w:styleId="Nmerodepgina">
    <w:name w:val="page number"/>
    <w:rsid w:val="00951E3E"/>
  </w:style>
  <w:style w:type="paragraph" w:styleId="Textodeglobo">
    <w:name w:val="Balloon Text"/>
    <w:basedOn w:val="Normal"/>
    <w:link w:val="TextodegloboCar"/>
    <w:uiPriority w:val="99"/>
    <w:semiHidden/>
    <w:unhideWhenUsed/>
    <w:rsid w:val="00951E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07406">
      <w:bodyDiv w:val="1"/>
      <w:marLeft w:val="240"/>
      <w:marRight w:val="240"/>
      <w:marTop w:val="240"/>
      <w:marBottom w:val="60"/>
      <w:divBdr>
        <w:top w:val="none" w:sz="0" w:space="0" w:color="auto"/>
        <w:left w:val="none" w:sz="0" w:space="0" w:color="auto"/>
        <w:bottom w:val="none" w:sz="0" w:space="0" w:color="auto"/>
        <w:right w:val="none" w:sz="0" w:space="0" w:color="auto"/>
      </w:divBdr>
      <w:divsChild>
        <w:div w:id="900676483">
          <w:marLeft w:val="0"/>
          <w:marRight w:val="0"/>
          <w:marTop w:val="0"/>
          <w:marBottom w:val="0"/>
          <w:divBdr>
            <w:top w:val="none" w:sz="0" w:space="0" w:color="auto"/>
            <w:left w:val="none" w:sz="0" w:space="0" w:color="auto"/>
            <w:bottom w:val="single" w:sz="6" w:space="9" w:color="C8C8C8"/>
            <w:right w:val="none" w:sz="0" w:space="0" w:color="auto"/>
          </w:divBdr>
          <w:divsChild>
            <w:div w:id="2018193464">
              <w:marLeft w:val="0"/>
              <w:marRight w:val="0"/>
              <w:marTop w:val="0"/>
              <w:marBottom w:val="0"/>
              <w:divBdr>
                <w:top w:val="none" w:sz="0" w:space="0" w:color="auto"/>
                <w:left w:val="none" w:sz="0" w:space="0" w:color="auto"/>
                <w:bottom w:val="none" w:sz="0" w:space="0" w:color="auto"/>
                <w:right w:val="none" w:sz="0" w:space="0" w:color="auto"/>
              </w:divBdr>
            </w:div>
            <w:div w:id="1707292935">
              <w:marLeft w:val="0"/>
              <w:marRight w:val="0"/>
              <w:marTop w:val="0"/>
              <w:marBottom w:val="0"/>
              <w:divBdr>
                <w:top w:val="none" w:sz="0" w:space="0" w:color="auto"/>
                <w:left w:val="none" w:sz="0" w:space="0" w:color="auto"/>
                <w:bottom w:val="none" w:sz="0" w:space="0" w:color="auto"/>
                <w:right w:val="none" w:sz="0" w:space="0" w:color="auto"/>
              </w:divBdr>
            </w:div>
            <w:div w:id="12777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011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17599219">
          <w:marLeft w:val="0"/>
          <w:marRight w:val="0"/>
          <w:marTop w:val="0"/>
          <w:marBottom w:val="0"/>
          <w:divBdr>
            <w:top w:val="none" w:sz="0" w:space="0" w:color="auto"/>
            <w:left w:val="none" w:sz="0" w:space="0" w:color="auto"/>
            <w:bottom w:val="single" w:sz="6" w:space="9" w:color="C8C8C8"/>
            <w:right w:val="none" w:sz="0" w:space="0" w:color="auto"/>
          </w:divBdr>
          <w:divsChild>
            <w:div w:id="8142697">
              <w:marLeft w:val="0"/>
              <w:marRight w:val="0"/>
              <w:marTop w:val="0"/>
              <w:marBottom w:val="0"/>
              <w:divBdr>
                <w:top w:val="none" w:sz="0" w:space="0" w:color="auto"/>
                <w:left w:val="none" w:sz="0" w:space="0" w:color="auto"/>
                <w:bottom w:val="none" w:sz="0" w:space="0" w:color="auto"/>
                <w:right w:val="none" w:sz="0" w:space="0" w:color="auto"/>
              </w:divBdr>
            </w:div>
            <w:div w:id="952248342">
              <w:marLeft w:val="0"/>
              <w:marRight w:val="0"/>
              <w:marTop w:val="0"/>
              <w:marBottom w:val="0"/>
              <w:divBdr>
                <w:top w:val="none" w:sz="0" w:space="0" w:color="auto"/>
                <w:left w:val="none" w:sz="0" w:space="0" w:color="auto"/>
                <w:bottom w:val="none" w:sz="0" w:space="0" w:color="auto"/>
                <w:right w:val="none" w:sz="0" w:space="0" w:color="auto"/>
              </w:divBdr>
            </w:div>
            <w:div w:id="155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2FFC-3EBD-44FA-9601-4A64A556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AVILLARROEL</cp:lastModifiedBy>
  <cp:revision>4</cp:revision>
  <cp:lastPrinted>2017-07-05T20:10:00Z</cp:lastPrinted>
  <dcterms:created xsi:type="dcterms:W3CDTF">2017-07-04T21:56:00Z</dcterms:created>
  <dcterms:modified xsi:type="dcterms:W3CDTF">2017-07-05T20:17:00Z</dcterms:modified>
</cp:coreProperties>
</file>