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A66E49" w:rsidP="00C91BEC">
      <w:pPr>
        <w:tabs>
          <w:tab w:val="left" w:pos="709"/>
        </w:tabs>
        <w:jc w:val="both"/>
        <w:rPr>
          <w:rFonts w:ascii="Arial" w:hAnsi="Arial"/>
          <w:b/>
          <w:sz w:val="24"/>
        </w:rPr>
      </w:pPr>
      <w:r w:rsidRPr="009763EB">
        <w:rPr>
          <w:rFonts w:ascii="Arial" w:hAnsi="Arial"/>
          <w:b/>
          <w:sz w:val="24"/>
        </w:rPr>
        <w:t xml:space="preserve">INFORME DE LA COMISIÓN DE </w:t>
      </w:r>
      <w:r w:rsidR="00EA6805" w:rsidRPr="009763EB">
        <w:rPr>
          <w:rFonts w:ascii="Arial" w:hAnsi="Arial"/>
          <w:b/>
          <w:sz w:val="24"/>
        </w:rPr>
        <w:t>EDUCACIÓN</w:t>
      </w:r>
      <w:r w:rsidRPr="009763EB">
        <w:rPr>
          <w:rFonts w:ascii="Arial" w:hAnsi="Arial" w:cs="Arial"/>
          <w:b/>
          <w:sz w:val="24"/>
          <w:szCs w:val="24"/>
        </w:rPr>
        <w:t xml:space="preserve"> </w:t>
      </w:r>
      <w:r w:rsidR="00EA6805" w:rsidRPr="009763EB">
        <w:rPr>
          <w:rFonts w:ascii="Arial" w:hAnsi="Arial" w:cs="Arial"/>
          <w:b/>
          <w:sz w:val="24"/>
          <w:szCs w:val="24"/>
        </w:rPr>
        <w:t xml:space="preserve">ACERCA DEL </w:t>
      </w:r>
      <w:r w:rsidR="00EA6805" w:rsidRPr="009763EB">
        <w:rPr>
          <w:rFonts w:ascii="Arial" w:hAnsi="Arial"/>
          <w:b/>
          <w:sz w:val="24"/>
        </w:rPr>
        <w:t xml:space="preserve">PROYECTO </w:t>
      </w:r>
      <w:r w:rsidR="00350102" w:rsidRPr="009763EB">
        <w:rPr>
          <w:rFonts w:ascii="Arial" w:hAnsi="Arial"/>
          <w:b/>
          <w:sz w:val="24"/>
        </w:rPr>
        <w:t>DE LEY QUE</w:t>
      </w:r>
      <w:r w:rsidR="00350102">
        <w:rPr>
          <w:rFonts w:ascii="Arial" w:hAnsi="Arial"/>
          <w:b/>
          <w:sz w:val="24"/>
        </w:rPr>
        <w:t xml:space="preserve"> </w:t>
      </w:r>
      <w:r w:rsidR="00350102" w:rsidRPr="00350102">
        <w:rPr>
          <w:rFonts w:ascii="Arial" w:hAnsi="Arial"/>
          <w:b/>
          <w:sz w:val="24"/>
          <w:lang w:val="es-CL"/>
        </w:rPr>
        <w:t>OTORGA UNA BONIFICACIÓN ADICIONAL POR RETIRO AL PERSONAL ACADÉMICO, DIRECTIVO Y PROFESIONAL NO ACADÉMICO DE LAS UNIVERSIDADES DEL ESTADO Y FACULTA A LAS MISMAS PARA CONCEDER OTROS BENEFICIOS TRANSITORIOS QUE INDICA.</w:t>
      </w:r>
    </w:p>
    <w:p w:rsidR="00BD377D" w:rsidRPr="00D146F3" w:rsidRDefault="009763EB" w:rsidP="00C91BEC">
      <w:pPr>
        <w:tabs>
          <w:tab w:val="left" w:pos="709"/>
        </w:tabs>
        <w:jc w:val="right"/>
        <w:rPr>
          <w:rFonts w:ascii="Arial" w:hAnsi="Arial"/>
          <w:b/>
          <w:sz w:val="24"/>
        </w:rPr>
      </w:pPr>
      <w:r>
        <w:rPr>
          <w:rFonts w:ascii="Arial" w:hAnsi="Arial"/>
          <w:b/>
          <w:sz w:val="24"/>
        </w:rPr>
        <w:t>_____________________________________________________________</w:t>
      </w:r>
      <w:r w:rsidR="00BD377D" w:rsidRPr="00D146F3">
        <w:rPr>
          <w:rFonts w:ascii="Arial" w:hAnsi="Arial"/>
          <w:b/>
          <w:sz w:val="24"/>
        </w:rPr>
        <w:t xml:space="preserve">BOLETÍN N° </w:t>
      </w:r>
      <w:r w:rsidR="00A84E70">
        <w:rPr>
          <w:rFonts w:ascii="Arial" w:hAnsi="Arial"/>
          <w:b/>
          <w:sz w:val="24"/>
        </w:rPr>
        <w:t>11.271</w:t>
      </w:r>
      <w:r w:rsidR="00EA6805" w:rsidRPr="00EA6805">
        <w:rPr>
          <w:rFonts w:ascii="Arial" w:hAnsi="Arial"/>
          <w:b/>
          <w:sz w:val="24"/>
        </w:rPr>
        <w:t>-04</w:t>
      </w:r>
    </w:p>
    <w:p w:rsidR="00A85E57" w:rsidRDefault="00BD377D" w:rsidP="00C91BEC">
      <w:pPr>
        <w:pStyle w:val="Estilo1"/>
        <w:tabs>
          <w:tab w:val="left" w:pos="709"/>
        </w:tabs>
        <w:spacing w:before="720"/>
        <w:rPr>
          <w:bCs w:val="0"/>
        </w:rPr>
      </w:pPr>
      <w:r>
        <w:rPr>
          <w:bCs w:val="0"/>
        </w:rPr>
        <w:t>Honorable Cámara</w:t>
      </w:r>
    </w:p>
    <w:p w:rsidR="009D32D6" w:rsidRDefault="001644DF" w:rsidP="00C91BEC">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6014FD">
        <w:rPr>
          <w:rFonts w:ascii="Arial" w:hAnsi="Arial" w:cs="Arial"/>
          <w:sz w:val="24"/>
          <w:szCs w:val="24"/>
        </w:rPr>
        <w:t xml:space="preserve"> de la referencia</w:t>
      </w:r>
      <w:r w:rsidRPr="00D146F3">
        <w:rPr>
          <w:rFonts w:ascii="Arial" w:hAnsi="Arial" w:cs="Arial"/>
          <w:sz w:val="24"/>
          <w:szCs w:val="24"/>
        </w:rPr>
        <w:t xml:space="preserve">, en primer trámite </w:t>
      </w:r>
      <w:r>
        <w:rPr>
          <w:rFonts w:ascii="Arial" w:hAnsi="Arial" w:cs="Arial"/>
          <w:sz w:val="24"/>
          <w:szCs w:val="24"/>
        </w:rPr>
        <w:t xml:space="preserve">constitucional y </w:t>
      </w:r>
      <w:r w:rsidRPr="00D146F3">
        <w:rPr>
          <w:rFonts w:ascii="Arial" w:hAnsi="Arial" w:cs="Arial"/>
          <w:sz w:val="24"/>
          <w:szCs w:val="24"/>
        </w:rPr>
        <w:t>reglamentario, originado en un mensaje de S.E. la Presidenta de la República</w:t>
      </w:r>
      <w:r w:rsidR="00175AAC">
        <w:rPr>
          <w:rFonts w:ascii="Arial" w:hAnsi="Arial" w:cs="Arial"/>
          <w:sz w:val="24"/>
          <w:szCs w:val="24"/>
        </w:rPr>
        <w:t>,</w:t>
      </w:r>
      <w:r w:rsidR="00175AAC" w:rsidRPr="00175AAC">
        <w:rPr>
          <w:rFonts w:ascii="Arial" w:hAnsi="Arial" w:cs="Arial"/>
          <w:sz w:val="24"/>
          <w:szCs w:val="24"/>
        </w:rPr>
        <w:t xml:space="preserve"> </w:t>
      </w:r>
      <w:r w:rsidR="00175AAC">
        <w:rPr>
          <w:rFonts w:ascii="Arial" w:hAnsi="Arial" w:cs="Arial"/>
          <w:sz w:val="24"/>
          <w:szCs w:val="24"/>
        </w:rPr>
        <w:t>co</w:t>
      </w:r>
      <w:r w:rsidR="00175AAC" w:rsidRPr="00D146F3">
        <w:rPr>
          <w:rFonts w:ascii="Arial" w:hAnsi="Arial" w:cs="Arial"/>
          <w:sz w:val="24"/>
          <w:szCs w:val="24"/>
        </w:rPr>
        <w:t xml:space="preserve">n urgencia </w:t>
      </w:r>
      <w:r w:rsidR="00175AAC">
        <w:rPr>
          <w:rFonts w:ascii="Arial" w:hAnsi="Arial" w:cs="Arial"/>
          <w:sz w:val="24"/>
          <w:szCs w:val="24"/>
        </w:rPr>
        <w:t>calificada de “suma”, la que fue hecha presente en sesión 39ª, de fecha 4 de julio de 2017.</w:t>
      </w:r>
    </w:p>
    <w:p w:rsidR="00350102" w:rsidRDefault="001644DF" w:rsidP="00C91BEC">
      <w:pPr>
        <w:tabs>
          <w:tab w:val="left" w:pos="709"/>
          <w:tab w:val="left" w:pos="3119"/>
        </w:tabs>
        <w:spacing w:before="120"/>
        <w:jc w:val="both"/>
        <w:rPr>
          <w:rFonts w:ascii="Arial" w:hAnsi="Arial"/>
          <w:sz w:val="24"/>
          <w:szCs w:val="24"/>
        </w:rPr>
      </w:pPr>
      <w:r>
        <w:rPr>
          <w:rFonts w:ascii="Arial" w:hAnsi="Arial"/>
          <w:sz w:val="24"/>
          <w:szCs w:val="24"/>
        </w:rPr>
        <w:tab/>
      </w:r>
      <w:r w:rsidRPr="00356B39">
        <w:rPr>
          <w:rFonts w:ascii="Arial" w:hAnsi="Arial"/>
          <w:sz w:val="24"/>
          <w:szCs w:val="24"/>
        </w:rPr>
        <w:t xml:space="preserve">Asistieron en representación del Ejecutivo, </w:t>
      </w:r>
      <w:r w:rsidR="00350102">
        <w:rPr>
          <w:rFonts w:ascii="Arial" w:hAnsi="Arial"/>
          <w:sz w:val="24"/>
          <w:szCs w:val="24"/>
        </w:rPr>
        <w:t xml:space="preserve">la </w:t>
      </w:r>
      <w:r w:rsidR="00350102" w:rsidRPr="00350102">
        <w:rPr>
          <w:rFonts w:ascii="Arial" w:hAnsi="Arial"/>
          <w:sz w:val="24"/>
          <w:szCs w:val="24"/>
        </w:rPr>
        <w:t>Ministra de Educación, señora Adriana Delpiano Puelma</w:t>
      </w:r>
      <w:r w:rsidR="00350102">
        <w:rPr>
          <w:rFonts w:ascii="Arial" w:hAnsi="Arial"/>
          <w:sz w:val="24"/>
          <w:szCs w:val="24"/>
        </w:rPr>
        <w:t>, a</w:t>
      </w:r>
      <w:r w:rsidR="00350102" w:rsidRPr="00350102">
        <w:rPr>
          <w:rFonts w:ascii="Arial" w:hAnsi="Arial"/>
          <w:sz w:val="24"/>
          <w:szCs w:val="24"/>
        </w:rPr>
        <w:t>compañ</w:t>
      </w:r>
      <w:r w:rsidR="00350102">
        <w:rPr>
          <w:rFonts w:ascii="Arial" w:hAnsi="Arial"/>
          <w:sz w:val="24"/>
          <w:szCs w:val="24"/>
        </w:rPr>
        <w:t>ada de</w:t>
      </w:r>
      <w:r w:rsidR="00350102" w:rsidRPr="00350102">
        <w:rPr>
          <w:rFonts w:ascii="Arial" w:hAnsi="Arial"/>
          <w:sz w:val="24"/>
          <w:szCs w:val="24"/>
        </w:rPr>
        <w:t xml:space="preserve"> la Jefa de la División de Educación Superior, señora Alejandra Contreras Altmann</w:t>
      </w:r>
      <w:r w:rsidR="00350102">
        <w:rPr>
          <w:rFonts w:ascii="Arial" w:hAnsi="Arial"/>
          <w:sz w:val="24"/>
          <w:szCs w:val="24"/>
        </w:rPr>
        <w:t xml:space="preserve">, y </w:t>
      </w:r>
      <w:r w:rsidR="00350102" w:rsidRPr="00350102">
        <w:rPr>
          <w:rFonts w:ascii="Arial" w:hAnsi="Arial"/>
          <w:sz w:val="24"/>
          <w:szCs w:val="24"/>
        </w:rPr>
        <w:t>la Jefa del Subdepartamento Institucional Laboral de la Dirección de Presupuestos del Ministerio de Hacienda, señora Patricia Orellana Flores.</w:t>
      </w:r>
    </w:p>
    <w:p w:rsidR="004B5CE6" w:rsidRDefault="001644DF" w:rsidP="00C91BEC">
      <w:pPr>
        <w:tabs>
          <w:tab w:val="left" w:pos="709"/>
        </w:tabs>
        <w:spacing w:before="120"/>
        <w:jc w:val="both"/>
        <w:rPr>
          <w:rFonts w:ascii="Arial" w:hAnsi="Arial" w:cs="Arial"/>
          <w:sz w:val="24"/>
        </w:rPr>
      </w:pPr>
      <w:r>
        <w:rPr>
          <w:rFonts w:ascii="Arial" w:hAnsi="Arial" w:cs="Arial"/>
          <w:sz w:val="24"/>
        </w:rPr>
        <w:tab/>
      </w:r>
      <w:r w:rsidRPr="00350102">
        <w:rPr>
          <w:rFonts w:ascii="Arial" w:hAnsi="Arial" w:cs="Arial"/>
          <w:sz w:val="24"/>
        </w:rPr>
        <w:t>Asimismo, concurrieron a exponer</w:t>
      </w:r>
      <w:r w:rsidR="00F02B6B" w:rsidRPr="00350102">
        <w:rPr>
          <w:rFonts w:ascii="Arial" w:hAnsi="Arial" w:cs="Arial"/>
          <w:sz w:val="24"/>
        </w:rPr>
        <w:t xml:space="preserve"> </w:t>
      </w:r>
      <w:r w:rsidR="004B5CE6" w:rsidRPr="00350102">
        <w:rPr>
          <w:rFonts w:ascii="Arial" w:hAnsi="Arial" w:cs="Arial"/>
          <w:sz w:val="24"/>
        </w:rPr>
        <w:t>representantes de la Federación Nacional de Asociaciones de Profesionales y Técnicos de Universidades Estatales de Chile (FENAPTUECH)</w:t>
      </w:r>
      <w:r w:rsidR="005475EE">
        <w:rPr>
          <w:rFonts w:ascii="Arial" w:hAnsi="Arial" w:cs="Arial"/>
          <w:sz w:val="24"/>
        </w:rPr>
        <w:t xml:space="preserve"> y</w:t>
      </w:r>
      <w:r w:rsidR="004B5CE6" w:rsidRPr="00350102">
        <w:rPr>
          <w:rFonts w:ascii="Arial" w:hAnsi="Arial" w:cs="Arial"/>
          <w:sz w:val="24"/>
        </w:rPr>
        <w:t xml:space="preserve"> de la Federación Nacional de Asociaciones de Académicos de las Universidades Estatales de Chile (FAUECH).</w:t>
      </w:r>
    </w:p>
    <w:p w:rsidR="00A85E57" w:rsidRDefault="00A85E57" w:rsidP="00C91BEC">
      <w:pPr>
        <w:pStyle w:val="Ttulo1"/>
        <w:tabs>
          <w:tab w:val="left" w:pos="709"/>
        </w:tabs>
        <w:spacing w:before="480"/>
        <w:jc w:val="both"/>
      </w:pPr>
      <w:bookmarkStart w:id="8" w:name="_Toc487615152"/>
      <w:r>
        <w:t>I. CONSTANCIAS REGLAMENTARIAS PREVIAS.</w:t>
      </w:r>
      <w:bookmarkEnd w:id="0"/>
      <w:bookmarkEnd w:id="1"/>
      <w:bookmarkEnd w:id="2"/>
      <w:bookmarkEnd w:id="3"/>
      <w:bookmarkEnd w:id="4"/>
      <w:bookmarkEnd w:id="8"/>
    </w:p>
    <w:p w:rsidR="00E26382" w:rsidRPr="00E26382" w:rsidRDefault="00E26382" w:rsidP="00C91BEC">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487615153"/>
      <w:r w:rsidRPr="00E26382">
        <w:rPr>
          <w:lang w:val="es-ES_tradnl"/>
        </w:rPr>
        <w:t>1) Idea matriz o fundamental del proyecto.</w:t>
      </w:r>
      <w:bookmarkEnd w:id="9"/>
      <w:bookmarkEnd w:id="10"/>
      <w:bookmarkEnd w:id="11"/>
      <w:bookmarkEnd w:id="12"/>
      <w:bookmarkEnd w:id="13"/>
    </w:p>
    <w:p w:rsidR="00A84E70" w:rsidRPr="00A84E70" w:rsidRDefault="00E26382" w:rsidP="00C91BEC">
      <w:pPr>
        <w:tabs>
          <w:tab w:val="left" w:pos="709"/>
          <w:tab w:val="left" w:pos="3119"/>
        </w:tabs>
        <w:spacing w:before="120"/>
        <w:jc w:val="both"/>
        <w:rPr>
          <w:rFonts w:ascii="Arial" w:hAnsi="Arial"/>
          <w:sz w:val="24"/>
          <w:szCs w:val="24"/>
        </w:rPr>
      </w:pPr>
      <w:r w:rsidRPr="00E26382">
        <w:rPr>
          <w:rFonts w:ascii="Arial" w:hAnsi="Arial"/>
          <w:sz w:val="24"/>
          <w:szCs w:val="24"/>
        </w:rPr>
        <w:tab/>
        <w:t xml:space="preserve">La iniciativa legal </w:t>
      </w:r>
      <w:r w:rsidR="00FF5A75">
        <w:rPr>
          <w:rFonts w:ascii="Arial" w:hAnsi="Arial"/>
          <w:sz w:val="24"/>
          <w:szCs w:val="24"/>
        </w:rPr>
        <w:t xml:space="preserve">tiene como </w:t>
      </w:r>
      <w:r w:rsidRPr="00E26382">
        <w:rPr>
          <w:rFonts w:ascii="Arial" w:hAnsi="Arial"/>
          <w:sz w:val="24"/>
          <w:szCs w:val="24"/>
        </w:rPr>
        <w:t>prop</w:t>
      </w:r>
      <w:r w:rsidR="00FF5A75">
        <w:rPr>
          <w:rFonts w:ascii="Arial" w:hAnsi="Arial"/>
          <w:sz w:val="24"/>
          <w:szCs w:val="24"/>
        </w:rPr>
        <w:t>ósito</w:t>
      </w:r>
      <w:r w:rsidR="00521842">
        <w:rPr>
          <w:rFonts w:ascii="Arial" w:hAnsi="Arial"/>
          <w:sz w:val="24"/>
          <w:szCs w:val="24"/>
        </w:rPr>
        <w:t xml:space="preserve"> </w:t>
      </w:r>
      <w:r w:rsidR="00521842" w:rsidRPr="00521842">
        <w:rPr>
          <w:rFonts w:ascii="Arial" w:hAnsi="Arial"/>
          <w:sz w:val="24"/>
          <w:szCs w:val="24"/>
          <w:lang w:val="es-ES_tradnl"/>
        </w:rPr>
        <w:t>concede</w:t>
      </w:r>
      <w:r w:rsidR="00521842">
        <w:rPr>
          <w:rFonts w:ascii="Arial" w:hAnsi="Arial"/>
          <w:sz w:val="24"/>
          <w:szCs w:val="24"/>
          <w:lang w:val="es-ES_tradnl"/>
        </w:rPr>
        <w:t>r</w:t>
      </w:r>
      <w:r w:rsidR="00521842" w:rsidRPr="00521842">
        <w:rPr>
          <w:rFonts w:ascii="Arial" w:hAnsi="Arial"/>
          <w:sz w:val="24"/>
          <w:szCs w:val="24"/>
          <w:lang w:val="es-ES_tradnl"/>
        </w:rPr>
        <w:t xml:space="preserve"> una bonificación adicional al personal que indica y permite otorgar, excepcionalmente, el beneficio compensatorio que estableció el artículo 9 de la ley N° 20.374 a funcionarios que tuvieran más de 65 años de edad y cumplan las demás condiciones de la presente iniciativa legal</w:t>
      </w:r>
      <w:r w:rsidR="00521842">
        <w:rPr>
          <w:rFonts w:ascii="Arial" w:hAnsi="Arial"/>
          <w:sz w:val="24"/>
          <w:szCs w:val="24"/>
          <w:lang w:val="es-ES_tradnl"/>
        </w:rPr>
        <w:t xml:space="preserve">, </w:t>
      </w:r>
      <w:bookmarkStart w:id="14" w:name="_Toc269741811"/>
      <w:bookmarkStart w:id="15" w:name="_Toc272221408"/>
      <w:bookmarkStart w:id="16" w:name="_Toc312147132"/>
      <w:bookmarkStart w:id="17" w:name="_Toc400351701"/>
      <w:r w:rsidR="00A84E70">
        <w:rPr>
          <w:rFonts w:ascii="Arial" w:hAnsi="Arial"/>
          <w:sz w:val="24"/>
          <w:szCs w:val="24"/>
        </w:rPr>
        <w:t>o</w:t>
      </w:r>
      <w:r w:rsidR="00A84E70" w:rsidRPr="00A84E70">
        <w:rPr>
          <w:rFonts w:ascii="Arial" w:hAnsi="Arial"/>
          <w:sz w:val="24"/>
          <w:szCs w:val="24"/>
        </w:rPr>
        <w:t>torgando mejores condiciones de egreso de la carrera para los funcionarios y las funcionarias académicos, directivos y profesionales no académicos de las universidades del Estado, potenciando además el desarrollo de dicha carrera al interior de ellas.</w:t>
      </w:r>
    </w:p>
    <w:p w:rsidR="00E26382" w:rsidRPr="00824B28" w:rsidRDefault="00E26382" w:rsidP="00C91BEC">
      <w:pPr>
        <w:pStyle w:val="Ttulo2"/>
        <w:tabs>
          <w:tab w:val="left" w:pos="709"/>
        </w:tabs>
        <w:rPr>
          <w:lang w:val="es-ES_tradnl"/>
        </w:rPr>
      </w:pPr>
      <w:bookmarkStart w:id="18" w:name="_Toc487615154"/>
      <w:r w:rsidRPr="00824B28">
        <w:rPr>
          <w:lang w:val="es-ES_tradnl"/>
        </w:rPr>
        <w:t>2) Normas de quórum especial.</w:t>
      </w:r>
      <w:bookmarkEnd w:id="14"/>
      <w:bookmarkEnd w:id="15"/>
      <w:bookmarkEnd w:id="16"/>
      <w:bookmarkEnd w:id="17"/>
      <w:bookmarkEnd w:id="18"/>
    </w:p>
    <w:p w:rsidR="00675351" w:rsidRDefault="00342006" w:rsidP="00C91BEC">
      <w:pPr>
        <w:pStyle w:val="Textoindependiente2"/>
        <w:tabs>
          <w:tab w:val="left" w:pos="709"/>
        </w:tabs>
        <w:spacing w:before="120" w:after="0"/>
        <w:ind w:right="0"/>
        <w:rPr>
          <w:szCs w:val="24"/>
        </w:rPr>
      </w:pPr>
      <w:r>
        <w:rPr>
          <w:szCs w:val="24"/>
        </w:rPr>
        <w:tab/>
      </w:r>
      <w:r w:rsidR="00675351">
        <w:rPr>
          <w:szCs w:val="24"/>
        </w:rPr>
        <w:t>El proyecto</w:t>
      </w:r>
      <w:r w:rsidR="00E34654">
        <w:rPr>
          <w:szCs w:val="24"/>
        </w:rPr>
        <w:t xml:space="preserve"> no contempla no</w:t>
      </w:r>
      <w:r w:rsidR="00675351" w:rsidRPr="00E26382">
        <w:rPr>
          <w:szCs w:val="24"/>
        </w:rPr>
        <w:t xml:space="preserve">rmas </w:t>
      </w:r>
      <w:r w:rsidR="007E168A">
        <w:rPr>
          <w:szCs w:val="24"/>
        </w:rPr>
        <w:t xml:space="preserve">de carácter orgánico constitucional ni </w:t>
      </w:r>
      <w:r w:rsidR="00675351" w:rsidRPr="00E26382">
        <w:rPr>
          <w:szCs w:val="24"/>
        </w:rPr>
        <w:t>de quórum calificado</w:t>
      </w:r>
      <w:r w:rsidR="00675351">
        <w:rPr>
          <w:szCs w:val="24"/>
        </w:rPr>
        <w:t>.</w:t>
      </w:r>
    </w:p>
    <w:p w:rsidR="00E26382" w:rsidRPr="00824B28" w:rsidRDefault="00E26382" w:rsidP="00C91BEC">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487615155"/>
      <w:r w:rsidRPr="00824B28">
        <w:rPr>
          <w:lang w:val="es-ES_tradnl"/>
        </w:rPr>
        <w:t>3) Normas que requieren trámite de Hacienda.</w:t>
      </w:r>
      <w:bookmarkEnd w:id="19"/>
      <w:bookmarkEnd w:id="20"/>
      <w:bookmarkEnd w:id="21"/>
      <w:bookmarkEnd w:id="22"/>
      <w:bookmarkEnd w:id="23"/>
    </w:p>
    <w:p w:rsidR="00E26382" w:rsidRDefault="00E26382" w:rsidP="00C91BEC">
      <w:pPr>
        <w:pStyle w:val="Textoindependiente"/>
        <w:tabs>
          <w:tab w:val="clear" w:pos="3119"/>
          <w:tab w:val="left" w:pos="709"/>
        </w:tabs>
        <w:spacing w:before="120"/>
        <w:rPr>
          <w:sz w:val="24"/>
          <w:szCs w:val="24"/>
        </w:rPr>
      </w:pPr>
      <w:r w:rsidRPr="00E26382">
        <w:rPr>
          <w:sz w:val="24"/>
          <w:szCs w:val="24"/>
        </w:rPr>
        <w:tab/>
      </w:r>
      <w:r w:rsidR="009763EB">
        <w:rPr>
          <w:sz w:val="24"/>
          <w:szCs w:val="24"/>
        </w:rPr>
        <w:t>D</w:t>
      </w:r>
      <w:r w:rsidRPr="00E26382">
        <w:rPr>
          <w:sz w:val="24"/>
          <w:szCs w:val="24"/>
        </w:rPr>
        <w:t>e acuerdo con el artículo 220 del Reglamento de la Corporación, l</w:t>
      </w:r>
      <w:r w:rsidR="00704B60">
        <w:rPr>
          <w:sz w:val="24"/>
          <w:szCs w:val="24"/>
        </w:rPr>
        <w:t>as normas del</w:t>
      </w:r>
      <w:r w:rsidR="003311F3">
        <w:rPr>
          <w:sz w:val="24"/>
          <w:szCs w:val="24"/>
        </w:rPr>
        <w:t xml:space="preserve"> </w:t>
      </w:r>
      <w:r w:rsidRPr="00E26382">
        <w:rPr>
          <w:sz w:val="24"/>
          <w:szCs w:val="24"/>
        </w:rPr>
        <w:t>proyecto de ley aprobado por la Comisión deben ser conocid</w:t>
      </w:r>
      <w:r w:rsidR="007F341B">
        <w:rPr>
          <w:sz w:val="24"/>
          <w:szCs w:val="24"/>
        </w:rPr>
        <w:t>a</w:t>
      </w:r>
      <w:r w:rsidR="0039328A">
        <w:rPr>
          <w:sz w:val="24"/>
          <w:szCs w:val="24"/>
        </w:rPr>
        <w:t>s</w:t>
      </w:r>
      <w:r w:rsidRPr="00E26382">
        <w:rPr>
          <w:sz w:val="24"/>
          <w:szCs w:val="24"/>
        </w:rPr>
        <w:t xml:space="preserve"> por la Comisión de Hacienda.</w:t>
      </w:r>
    </w:p>
    <w:p w:rsidR="00E26382" w:rsidRPr="00824B28" w:rsidRDefault="00E26382" w:rsidP="00C91BEC">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487615156"/>
      <w:r w:rsidRPr="00824B28">
        <w:rPr>
          <w:lang w:val="es-ES_tradnl"/>
        </w:rPr>
        <w:lastRenderedPageBreak/>
        <w:t>4) Aprobación general del proyecto de ley.</w:t>
      </w:r>
      <w:bookmarkEnd w:id="24"/>
      <w:bookmarkEnd w:id="25"/>
      <w:bookmarkEnd w:id="26"/>
      <w:bookmarkEnd w:id="27"/>
      <w:bookmarkEnd w:id="28"/>
    </w:p>
    <w:p w:rsidR="001537AA" w:rsidRPr="001537AA" w:rsidRDefault="00E26382" w:rsidP="001537AA">
      <w:pPr>
        <w:pStyle w:val="Textoindependiente2"/>
        <w:tabs>
          <w:tab w:val="left" w:pos="709"/>
        </w:tabs>
        <w:spacing w:before="120" w:after="0"/>
        <w:ind w:right="0"/>
        <w:rPr>
          <w:szCs w:val="24"/>
          <w:lang w:val="es-CL"/>
        </w:rPr>
      </w:pPr>
      <w:r w:rsidRPr="00E26382">
        <w:rPr>
          <w:szCs w:val="24"/>
        </w:rPr>
        <w:tab/>
        <w:t xml:space="preserve">El proyecto fue aprobado, en general, por </w:t>
      </w:r>
      <w:r w:rsidR="007E168A">
        <w:rPr>
          <w:szCs w:val="24"/>
        </w:rPr>
        <w:t>unanimidad, con los</w:t>
      </w:r>
      <w:r w:rsidR="006C7542">
        <w:rPr>
          <w:szCs w:val="24"/>
        </w:rPr>
        <w:t xml:space="preserve"> votos a favor </w:t>
      </w:r>
      <w:r w:rsidR="003B7632" w:rsidRPr="003B7632">
        <w:rPr>
          <w:szCs w:val="24"/>
        </w:rPr>
        <w:t xml:space="preserve">de </w:t>
      </w:r>
      <w:r w:rsidR="001537AA" w:rsidRPr="001537AA">
        <w:rPr>
          <w:szCs w:val="24"/>
          <w:lang w:val="es-CL"/>
        </w:rPr>
        <w:t>los diputados Bellolio, Edwards, Girardi, Gahona, González</w:t>
      </w:r>
      <w:r w:rsidR="005475EE">
        <w:rPr>
          <w:szCs w:val="24"/>
          <w:lang w:val="es-CL"/>
        </w:rPr>
        <w:t>,</w:t>
      </w:r>
      <w:r w:rsidR="001537AA" w:rsidRPr="001537AA">
        <w:rPr>
          <w:szCs w:val="24"/>
          <w:lang w:val="es-CL"/>
        </w:rPr>
        <w:t xml:space="preserve"> Hoffmann, Jackson, Poblete, Robles, Vallejo y Venegas.</w:t>
      </w:r>
    </w:p>
    <w:p w:rsidR="00E26382" w:rsidRPr="00824B28" w:rsidRDefault="00E26382" w:rsidP="00C91BEC">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487615157"/>
      <w:r w:rsidRPr="00824B28">
        <w:rPr>
          <w:lang w:val="es-ES_tradnl"/>
        </w:rPr>
        <w:t>5) Diputado informante.</w:t>
      </w:r>
      <w:bookmarkEnd w:id="29"/>
      <w:bookmarkEnd w:id="30"/>
      <w:bookmarkEnd w:id="31"/>
      <w:bookmarkEnd w:id="32"/>
      <w:bookmarkEnd w:id="33"/>
    </w:p>
    <w:p w:rsidR="00A84E70" w:rsidRDefault="00E26382" w:rsidP="00C91BEC">
      <w:pPr>
        <w:pStyle w:val="Textoindependiente2"/>
        <w:tabs>
          <w:tab w:val="clear" w:pos="3119"/>
          <w:tab w:val="left" w:pos="709"/>
        </w:tabs>
        <w:spacing w:before="120" w:after="0"/>
        <w:ind w:right="0"/>
        <w:rPr>
          <w:szCs w:val="24"/>
        </w:rPr>
      </w:pPr>
      <w:r w:rsidRPr="00E26382">
        <w:rPr>
          <w:szCs w:val="24"/>
        </w:rPr>
        <w:tab/>
        <w:t>Se designó diputado informante al señor</w:t>
      </w:r>
      <w:r w:rsidR="00A84E70">
        <w:rPr>
          <w:szCs w:val="24"/>
        </w:rPr>
        <w:t xml:space="preserve"> </w:t>
      </w:r>
      <w:r w:rsidR="001537AA">
        <w:rPr>
          <w:szCs w:val="24"/>
        </w:rPr>
        <w:t>Roberto Poblete Zapata.</w:t>
      </w:r>
    </w:p>
    <w:p w:rsidR="00A85E57" w:rsidRDefault="00A85E57" w:rsidP="00C91BEC">
      <w:pPr>
        <w:pStyle w:val="Ttulo1"/>
        <w:tabs>
          <w:tab w:val="left" w:pos="709"/>
        </w:tabs>
        <w:spacing w:before="480"/>
        <w:jc w:val="both"/>
      </w:pPr>
      <w:bookmarkStart w:id="34" w:name="_Toc81655371"/>
      <w:bookmarkStart w:id="35" w:name="_Toc106429769"/>
      <w:bookmarkStart w:id="36" w:name="_Toc148515252"/>
      <w:bookmarkStart w:id="37" w:name="_Toc400351705"/>
      <w:bookmarkStart w:id="38" w:name="_Toc487615158"/>
      <w:r>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C91BEC">
      <w:pPr>
        <w:pStyle w:val="Ttulo2"/>
        <w:tabs>
          <w:tab w:val="left" w:pos="709"/>
        </w:tabs>
        <w:jc w:val="both"/>
      </w:pPr>
      <w:bookmarkStart w:id="39" w:name="_Toc81655372"/>
      <w:bookmarkStart w:id="40" w:name="_Toc106429770"/>
      <w:bookmarkStart w:id="41" w:name="_Toc148515253"/>
      <w:bookmarkStart w:id="42" w:name="_Toc400351706"/>
      <w:bookmarkStart w:id="43" w:name="_Toc487615159"/>
      <w:r w:rsidRPr="001C7FF7">
        <w:t>A) Fundamentos.</w:t>
      </w:r>
      <w:bookmarkEnd w:id="39"/>
      <w:bookmarkEnd w:id="40"/>
      <w:bookmarkEnd w:id="41"/>
      <w:bookmarkEnd w:id="42"/>
      <w:bookmarkEnd w:id="43"/>
    </w:p>
    <w:p w:rsidR="00521842" w:rsidRDefault="00AD3084" w:rsidP="00C91BEC">
      <w:pPr>
        <w:pStyle w:val="Textoindependiente2"/>
        <w:tabs>
          <w:tab w:val="clear" w:pos="3119"/>
          <w:tab w:val="left" w:pos="709"/>
        </w:tabs>
        <w:spacing w:before="120" w:after="0"/>
        <w:ind w:right="0"/>
      </w:pPr>
      <w:r w:rsidRPr="001C7FF7">
        <w:tab/>
      </w:r>
      <w:r w:rsidR="00E57AE1" w:rsidRPr="001C7FF7">
        <w:t>Según se expresa en el mensaje remitido por S.E.</w:t>
      </w:r>
      <w:r w:rsidR="00B27F08">
        <w:t xml:space="preserve"> la Presidenta de la República, el </w:t>
      </w:r>
      <w:r w:rsidR="00521842">
        <w:t>3 de marzo de 2017, el Gobierno suscribió un protocolo de acuerdo con el Consorcio de Universidades del Estado, representado por su Presidente y Rector de la Universidad de Chile y el Secretario de la Corporación y Rector de la Universidad de Santiago de Chile. Además, concurrieron con su firma el representante de la Federación Nacional de Académicos de las Universidades del Estado de Chile y de la Federación Nacional de Profesionales y Técnicos de las Universidades del Estado, el cual se refiere a las condiciones de egreso del personal académico, directivo y profesional no académico de las universidades del Estado que se encuentran en edad de pensionarse por vejez.</w:t>
      </w:r>
    </w:p>
    <w:p w:rsidR="00521842" w:rsidRDefault="00521842" w:rsidP="00C91BEC">
      <w:pPr>
        <w:pStyle w:val="Ttulo3"/>
      </w:pPr>
      <w:bookmarkStart w:id="44" w:name="_Toc487615160"/>
      <w:r>
        <w:t>1. Beneficiarios de la bonificación adicional.</w:t>
      </w:r>
      <w:bookmarkEnd w:id="44"/>
    </w:p>
    <w:p w:rsidR="00521842" w:rsidRDefault="00521842" w:rsidP="00C91BEC">
      <w:pPr>
        <w:pStyle w:val="Textoindependiente2"/>
        <w:tabs>
          <w:tab w:val="left" w:pos="709"/>
        </w:tabs>
        <w:spacing w:before="120" w:after="0"/>
        <w:ind w:right="0"/>
      </w:pPr>
      <w:r>
        <w:tab/>
        <w:t>Esta iniciativa establece una bonificación adicional para los siguientes beneficiarios:</w:t>
      </w:r>
    </w:p>
    <w:p w:rsidR="00521842" w:rsidRDefault="00521842" w:rsidP="00C91BEC">
      <w:pPr>
        <w:pStyle w:val="Textoindependiente2"/>
        <w:tabs>
          <w:tab w:val="left" w:pos="709"/>
        </w:tabs>
        <w:spacing w:before="120" w:after="0"/>
        <w:ind w:right="0"/>
      </w:pPr>
      <w:r>
        <w:tab/>
        <w:t>a</w:t>
      </w:r>
      <w:r w:rsidR="00AB798A">
        <w:t>)</w:t>
      </w:r>
      <w:r>
        <w:t xml:space="preserve"> Académicos, directivos y profesionales no académicos de las universidades del Estado que reúnan los siguientes requisitos copulativos:</w:t>
      </w:r>
    </w:p>
    <w:p w:rsidR="00521842" w:rsidRDefault="00521842" w:rsidP="00C91BEC">
      <w:pPr>
        <w:pStyle w:val="Textoindependiente2"/>
        <w:tabs>
          <w:tab w:val="left" w:pos="709"/>
        </w:tabs>
        <w:spacing w:before="120" w:after="0"/>
        <w:ind w:right="0"/>
      </w:pPr>
      <w:r>
        <w:tab/>
      </w:r>
      <w:r w:rsidR="00AB798A">
        <w:t>i. P</w:t>
      </w:r>
      <w:r>
        <w:t>erciban el beneficio compensatorio del artículo 9 de la ley N° 20.374.</w:t>
      </w:r>
    </w:p>
    <w:p w:rsidR="00521842" w:rsidRDefault="00AB798A" w:rsidP="00C91BEC">
      <w:pPr>
        <w:pStyle w:val="Textoindependiente2"/>
        <w:tabs>
          <w:tab w:val="left" w:pos="709"/>
        </w:tabs>
        <w:spacing w:before="120" w:after="0"/>
        <w:ind w:right="0"/>
      </w:pPr>
      <w:r>
        <w:tab/>
      </w:r>
      <w:r w:rsidR="00521842">
        <w:t>ii.</w:t>
      </w:r>
      <w:r>
        <w:t xml:space="preserve"> </w:t>
      </w:r>
      <w:r w:rsidR="00521842">
        <w:t>Se encuentren afiliados al sistema de pensiones establecido en el decreto ley N° 3.500, de 1980.</w:t>
      </w:r>
    </w:p>
    <w:p w:rsidR="00521842" w:rsidRDefault="00AB798A" w:rsidP="00C91BEC">
      <w:pPr>
        <w:pStyle w:val="Textoindependiente2"/>
        <w:tabs>
          <w:tab w:val="left" w:pos="709"/>
        </w:tabs>
        <w:spacing w:before="120" w:after="0"/>
        <w:ind w:right="0"/>
      </w:pPr>
      <w:r>
        <w:tab/>
      </w:r>
      <w:r w:rsidR="00521842">
        <w:t>iii.</w:t>
      </w:r>
      <w:r>
        <w:t xml:space="preserve"> </w:t>
      </w:r>
      <w:r w:rsidR="00521842">
        <w:t>Tratándose del personal académico y directivo, haber cumplido o cumplan 65 ó 60 años de edad, si son hombres o mujeres, respectivamente, entre el 1 de enero de 2012 y hasta el 31 de diciembre de 2024. Este beneficio también se otorgará a quienes cumplieron las edades antes mencionadas, al 31 de diciembre de 2011.</w:t>
      </w:r>
    </w:p>
    <w:p w:rsidR="00521842" w:rsidRDefault="00AB798A" w:rsidP="00C91BEC">
      <w:pPr>
        <w:pStyle w:val="Textoindependiente2"/>
        <w:tabs>
          <w:tab w:val="left" w:pos="709"/>
        </w:tabs>
        <w:spacing w:before="120" w:after="0"/>
        <w:ind w:right="0"/>
      </w:pPr>
      <w:r>
        <w:tab/>
      </w:r>
      <w:r w:rsidR="00521842">
        <w:t>iv.</w:t>
      </w:r>
      <w:r>
        <w:t xml:space="preserve"> </w:t>
      </w:r>
      <w:r w:rsidR="00521842">
        <w:t>Tratándose del personal profesional no académico, haber cumplido o cumplan 65 ó 60 años de edad, si son hombres o mujeres, respectivamente, entre el 1 de enero de 2015 y hasta el 31 de diciembre de 2024. Este beneficio también se otorgará a quienes cumplieron las edades antes mencionadas, al 31 de diciembre de 2014</w:t>
      </w:r>
      <w:r>
        <w:t>.</w:t>
      </w:r>
    </w:p>
    <w:p w:rsidR="00521842" w:rsidRDefault="00AB798A" w:rsidP="00C91BEC">
      <w:pPr>
        <w:pStyle w:val="Textoindependiente2"/>
        <w:tabs>
          <w:tab w:val="left" w:pos="709"/>
        </w:tabs>
        <w:spacing w:before="120" w:after="0"/>
        <w:ind w:right="0"/>
      </w:pPr>
      <w:r>
        <w:tab/>
      </w:r>
      <w:r w:rsidR="00521842">
        <w:t>v.</w:t>
      </w:r>
      <w:r>
        <w:t xml:space="preserve"> </w:t>
      </w:r>
      <w:r w:rsidR="00521842">
        <w:t>Servir sus cargos en calidad de planta o a contrata, por un período no inferior a 10 años al inicio del respectivo período de postulación, continuos o discontinuos, en las Universidades del Estado.</w:t>
      </w:r>
    </w:p>
    <w:p w:rsidR="00521842" w:rsidRDefault="00AB798A" w:rsidP="00C91BEC">
      <w:pPr>
        <w:pStyle w:val="Textoindependiente2"/>
        <w:tabs>
          <w:tab w:val="left" w:pos="709"/>
        </w:tabs>
        <w:spacing w:before="120" w:after="0"/>
        <w:ind w:right="0"/>
      </w:pPr>
      <w:r>
        <w:lastRenderedPageBreak/>
        <w:tab/>
      </w:r>
      <w:r w:rsidR="00521842">
        <w:t>vi.</w:t>
      </w:r>
      <w:r>
        <w:t xml:space="preserve"> </w:t>
      </w:r>
      <w:r w:rsidR="00521842">
        <w:t>Hacer efectiva la renuncia voluntaria a sus cargos o al total de horas que sirvan, en los plazos que se establecen en el presente proyecto de ley.</w:t>
      </w:r>
    </w:p>
    <w:p w:rsidR="00521842" w:rsidRDefault="00AB798A" w:rsidP="00C91BEC">
      <w:pPr>
        <w:pStyle w:val="Textoindependiente2"/>
        <w:tabs>
          <w:tab w:val="left" w:pos="709"/>
        </w:tabs>
        <w:spacing w:before="120" w:after="0"/>
        <w:ind w:right="0"/>
      </w:pPr>
      <w:r>
        <w:tab/>
      </w:r>
      <w:r w:rsidR="00521842">
        <w:t>b</w:t>
      </w:r>
      <w:r>
        <w:t xml:space="preserve">) </w:t>
      </w:r>
      <w:r w:rsidR="00521842">
        <w:t xml:space="preserve">Funcionarios académicos, directivos y profesionales no académicos, que obtengan o hayan obtenido una pensión de invalidez del </w:t>
      </w:r>
      <w:r>
        <w:t>decreto ley</w:t>
      </w:r>
      <w:r w:rsidR="00521842">
        <w:t xml:space="preserve"> N° 3.500 o hayan cesado en el cargo por declaración de vacancia por salud irrecuperable o incompatible, entre la fecha de publicación de la ley y el 31 de diciembre de 2024.</w:t>
      </w:r>
    </w:p>
    <w:p w:rsidR="00521842" w:rsidRDefault="00AB798A" w:rsidP="00C91BEC">
      <w:pPr>
        <w:pStyle w:val="Textoindependiente2"/>
        <w:tabs>
          <w:tab w:val="left" w:pos="709"/>
        </w:tabs>
        <w:spacing w:before="120" w:after="0"/>
        <w:ind w:right="0"/>
      </w:pPr>
      <w:r>
        <w:tab/>
      </w:r>
      <w:r w:rsidR="00521842">
        <w:t>Los funcionarios de esta cobertura, para acceder a la bonificación adicional, deberán reunir los siguientes requisitos copulativos:</w:t>
      </w:r>
    </w:p>
    <w:p w:rsidR="00521842" w:rsidRDefault="00AB798A" w:rsidP="00C91BEC">
      <w:pPr>
        <w:pStyle w:val="Textoindependiente2"/>
        <w:tabs>
          <w:tab w:val="left" w:pos="709"/>
        </w:tabs>
        <w:spacing w:before="120" w:after="0"/>
        <w:ind w:right="0"/>
      </w:pPr>
      <w:r>
        <w:tab/>
      </w:r>
      <w:r w:rsidR="00521842">
        <w:t>i.</w:t>
      </w:r>
      <w:r>
        <w:t xml:space="preserve"> </w:t>
      </w:r>
      <w:r w:rsidR="00521842">
        <w:t xml:space="preserve">Servir cargos en calidad de planta o a contrata. </w:t>
      </w:r>
    </w:p>
    <w:p w:rsidR="00521842" w:rsidRDefault="00AB798A" w:rsidP="00C91BEC">
      <w:pPr>
        <w:pStyle w:val="Textoindependiente2"/>
        <w:tabs>
          <w:tab w:val="left" w:pos="709"/>
        </w:tabs>
        <w:spacing w:before="120" w:after="0"/>
        <w:ind w:right="0"/>
      </w:pPr>
      <w:r>
        <w:tab/>
      </w:r>
      <w:r w:rsidR="00521842">
        <w:t>ii.</w:t>
      </w:r>
      <w:r>
        <w:t xml:space="preserve"> </w:t>
      </w:r>
      <w:r w:rsidR="00521842">
        <w:t>Obtener o haber obtenido entre la fecha de publicación de la ley y el 31 de diciembre de 2024, una pensión de invalidez conforme al decreto ley N° 3.500, de 1980, o cesar o haber cesado en sus funciones por declaración de vacancia por salud irrecuperable o incompatible con el desempeño del cargo.</w:t>
      </w:r>
    </w:p>
    <w:p w:rsidR="00521842" w:rsidRDefault="00AB798A" w:rsidP="00C91BEC">
      <w:pPr>
        <w:pStyle w:val="Textoindependiente2"/>
        <w:tabs>
          <w:tab w:val="left" w:pos="709"/>
        </w:tabs>
        <w:spacing w:before="120" w:after="0"/>
        <w:ind w:right="0"/>
      </w:pPr>
      <w:r>
        <w:tab/>
      </w:r>
      <w:r w:rsidR="00521842">
        <w:t>iii.</w:t>
      </w:r>
      <w:r>
        <w:t xml:space="preserve"> </w:t>
      </w:r>
      <w:r w:rsidR="00521842">
        <w:t>Estos afiliados al sistema de pensiones establecido en el decreto ley N° 3.500, de 1980.</w:t>
      </w:r>
    </w:p>
    <w:p w:rsidR="00521842" w:rsidRDefault="00AB798A" w:rsidP="00C91BEC">
      <w:pPr>
        <w:pStyle w:val="Textoindependiente2"/>
        <w:tabs>
          <w:tab w:val="left" w:pos="709"/>
        </w:tabs>
        <w:spacing w:before="120" w:after="0"/>
        <w:ind w:right="0"/>
      </w:pPr>
      <w:r>
        <w:tab/>
      </w:r>
      <w:r w:rsidR="00521842">
        <w:t>iv.</w:t>
      </w:r>
      <w:r>
        <w:t xml:space="preserve"> </w:t>
      </w:r>
      <w:r w:rsidR="00521842">
        <w:t>Cumplir 65 ó 60 años de edad, dependiendo de si se trata de hombres o mujeres, respectivamente, dentro de los tres años siguientes a la obtención de su pensión de invalidez o la declaración de vacancia del cargo por las causales indicadas previamente, y, no más allá del 31 de diciembre de 2024.</w:t>
      </w:r>
    </w:p>
    <w:p w:rsidR="00521842" w:rsidRDefault="00AB798A" w:rsidP="00C91BEC">
      <w:pPr>
        <w:pStyle w:val="Textoindependiente2"/>
        <w:tabs>
          <w:tab w:val="left" w:pos="709"/>
        </w:tabs>
        <w:spacing w:before="120" w:after="0"/>
        <w:ind w:right="0"/>
      </w:pPr>
      <w:r>
        <w:tab/>
      </w:r>
      <w:r w:rsidR="00521842">
        <w:t>No obstante, quienes no cumplan las edades en referencia dentro de los plazos fijados, pero posean 30 o más años de servicios al cesar en sus funciones, podrán igualmente recibir la bonificación, siempre que cumplan las demás condiciones que establece esta iniciativa.</w:t>
      </w:r>
    </w:p>
    <w:p w:rsidR="00521842" w:rsidRDefault="00521842" w:rsidP="00C91BEC">
      <w:pPr>
        <w:pStyle w:val="Ttulo3"/>
      </w:pPr>
      <w:bookmarkStart w:id="45" w:name="_Toc487615161"/>
      <w:r>
        <w:t>2.</w:t>
      </w:r>
      <w:r w:rsidR="00AB798A">
        <w:t xml:space="preserve"> </w:t>
      </w:r>
      <w:r>
        <w:t>Beneficios</w:t>
      </w:r>
      <w:r w:rsidR="00AB798A">
        <w:t>.</w:t>
      </w:r>
      <w:bookmarkEnd w:id="45"/>
    </w:p>
    <w:p w:rsidR="00521842" w:rsidRPr="00AB798A" w:rsidRDefault="00AB798A" w:rsidP="00C91BEC">
      <w:pPr>
        <w:pStyle w:val="Textoindependiente2"/>
        <w:tabs>
          <w:tab w:val="left" w:pos="709"/>
        </w:tabs>
        <w:spacing w:before="120" w:after="0"/>
        <w:ind w:right="0"/>
        <w:rPr>
          <w:i/>
        </w:rPr>
      </w:pPr>
      <w:r w:rsidRPr="00AB798A">
        <w:rPr>
          <w:i/>
        </w:rPr>
        <w:tab/>
      </w:r>
      <w:r w:rsidR="00521842" w:rsidRPr="00AB798A">
        <w:rPr>
          <w:i/>
        </w:rPr>
        <w:t>a</w:t>
      </w:r>
      <w:r w:rsidRPr="00AB798A">
        <w:rPr>
          <w:i/>
        </w:rPr>
        <w:t xml:space="preserve">) </w:t>
      </w:r>
      <w:r w:rsidR="00521842" w:rsidRPr="00AB798A">
        <w:rPr>
          <w:i/>
        </w:rPr>
        <w:t>Bonificación adicional</w:t>
      </w:r>
      <w:r w:rsidRPr="00AB798A">
        <w:rPr>
          <w:i/>
        </w:rPr>
        <w:t>.</w:t>
      </w:r>
    </w:p>
    <w:p w:rsidR="00521842" w:rsidRDefault="00AB798A" w:rsidP="00C91BEC">
      <w:pPr>
        <w:pStyle w:val="Textoindependiente2"/>
        <w:tabs>
          <w:tab w:val="left" w:pos="709"/>
        </w:tabs>
        <w:spacing w:before="120" w:after="0"/>
        <w:ind w:right="0"/>
      </w:pPr>
      <w:r>
        <w:tab/>
      </w:r>
      <w:r w:rsidR="00521842">
        <w:t>Tratándose de Directivos y Profesionales no académicos, que tengan 10 o más años de servicios continuos o discontinuos prestados en las Universidades del Estado a la fecha de inicio del proceso de postulación, el monto de la bonificación adicional que concede esta iniciativa ascenderá a 935 UF.</w:t>
      </w:r>
    </w:p>
    <w:p w:rsidR="00521842" w:rsidRDefault="00AB798A" w:rsidP="00C91BEC">
      <w:pPr>
        <w:pStyle w:val="Textoindependiente2"/>
        <w:tabs>
          <w:tab w:val="left" w:pos="709"/>
        </w:tabs>
        <w:spacing w:before="120" w:after="0"/>
        <w:ind w:right="0"/>
      </w:pPr>
      <w:r>
        <w:tab/>
      </w:r>
      <w:r w:rsidR="00521842">
        <w:t>Tratándose de Académicos, la bonificación ascenderá a 935 unidades de fomento para quienes tengan 10 y menos de 15 años, continuos o discontinuos en las universidades del Estado. Respecto de los académicos que tengan 15 o más años de servicio, su monto ascenderá a 950 unidades de fomento.</w:t>
      </w:r>
    </w:p>
    <w:p w:rsidR="00521842" w:rsidRDefault="00AB798A" w:rsidP="00C91BEC">
      <w:pPr>
        <w:pStyle w:val="Textoindependiente2"/>
        <w:tabs>
          <w:tab w:val="left" w:pos="709"/>
        </w:tabs>
        <w:spacing w:before="120" w:after="0"/>
        <w:ind w:right="0"/>
      </w:pPr>
      <w:r>
        <w:tab/>
      </w:r>
      <w:r w:rsidR="00521842">
        <w:t>Los montos de la bonificación corresponden a una jornada máxima de 44 horas semanales. Si aquélla fuera inferior, el beneficio se calculará en forma proporcional a la jornada de trabajo. En caso de que el funcionario se desempeñe por una jornada mayor o en más de una universidad, la bonificación sólo se le otorgará en base a las antedichas 44 horas.</w:t>
      </w:r>
    </w:p>
    <w:p w:rsidR="00521842" w:rsidRDefault="00AB798A" w:rsidP="00C91BEC">
      <w:pPr>
        <w:pStyle w:val="Textoindependiente2"/>
        <w:tabs>
          <w:tab w:val="left" w:pos="709"/>
        </w:tabs>
        <w:spacing w:before="120" w:after="0"/>
        <w:ind w:right="0"/>
      </w:pPr>
      <w:r>
        <w:tab/>
      </w:r>
      <w:r w:rsidR="00521842">
        <w:t xml:space="preserve">La bonificación adicional no se considerará remuneración ni renta para ningún efecto legal, y no será tributable ni imponible. </w:t>
      </w:r>
    </w:p>
    <w:p w:rsidR="00521842" w:rsidRDefault="00AB798A" w:rsidP="00C91BEC">
      <w:pPr>
        <w:pStyle w:val="Textoindependiente2"/>
        <w:tabs>
          <w:tab w:val="left" w:pos="709"/>
        </w:tabs>
        <w:spacing w:before="120" w:after="0"/>
        <w:ind w:right="0"/>
      </w:pPr>
      <w:r>
        <w:lastRenderedPageBreak/>
        <w:tab/>
      </w:r>
      <w:r w:rsidR="00521842">
        <w:t>Para efectos de acceder a esta bonificación, no se podrán contabilizar los mismos años de servicio que ya hayan sido computados para percibir otros beneficios asociados al retiro voluntario tales como, la ley N° 20.807 o los establecidos en los artículos 1 y 4 de la ley N° 20.374. Lo anterior, es con excepción del artículo 9 de la ley N° 20.374.</w:t>
      </w:r>
    </w:p>
    <w:p w:rsidR="00521842" w:rsidRPr="00AB798A" w:rsidRDefault="00AB798A" w:rsidP="00C91BEC">
      <w:pPr>
        <w:pStyle w:val="Textoindependiente2"/>
        <w:tabs>
          <w:tab w:val="left" w:pos="709"/>
        </w:tabs>
        <w:spacing w:before="120" w:after="0"/>
        <w:ind w:right="0"/>
        <w:rPr>
          <w:i/>
        </w:rPr>
      </w:pPr>
      <w:r w:rsidRPr="00AB798A">
        <w:rPr>
          <w:i/>
        </w:rPr>
        <w:tab/>
      </w:r>
      <w:r w:rsidR="00521842" w:rsidRPr="00AB798A">
        <w:rPr>
          <w:i/>
        </w:rPr>
        <w:t>b</w:t>
      </w:r>
      <w:r w:rsidRPr="00AB798A">
        <w:rPr>
          <w:i/>
        </w:rPr>
        <w:t xml:space="preserve">) </w:t>
      </w:r>
      <w:r w:rsidR="00521842" w:rsidRPr="00AB798A">
        <w:rPr>
          <w:i/>
        </w:rPr>
        <w:t>Bonificación compensatoria del artículo 9 de la ley N° 20.374</w:t>
      </w:r>
      <w:r w:rsidRPr="00AB798A">
        <w:rPr>
          <w:i/>
        </w:rPr>
        <w:t>.</w:t>
      </w:r>
    </w:p>
    <w:p w:rsidR="00521842" w:rsidRDefault="00AB798A" w:rsidP="00C91BEC">
      <w:pPr>
        <w:pStyle w:val="Textoindependiente2"/>
        <w:tabs>
          <w:tab w:val="left" w:pos="709"/>
        </w:tabs>
        <w:spacing w:before="120" w:after="0"/>
        <w:ind w:right="0"/>
      </w:pPr>
      <w:r>
        <w:tab/>
      </w:r>
      <w:r w:rsidR="00521842">
        <w:t>El proyecto de ley faculta a las universidades estatales para otorgar el beneficio compensatorio del artículo 9 de la ley N° 20.374, por única vez, al personal académico, directivo y profesional no académico, de planta o contrata, que tuviere más de 65 años y 180 días de edad a la fecha de publicación de la ley. Ello, siempre que los funcionarios antes indicados tengan sólo derecho a este beneficio y presenten su renuncia voluntaria en el plazo que señala la presente iniciativa legal.</w:t>
      </w:r>
    </w:p>
    <w:p w:rsidR="00521842" w:rsidRDefault="00AB798A" w:rsidP="00C91BEC">
      <w:pPr>
        <w:pStyle w:val="Textoindependiente2"/>
        <w:tabs>
          <w:tab w:val="left" w:pos="709"/>
        </w:tabs>
        <w:spacing w:before="120" w:after="0"/>
        <w:ind w:right="0"/>
      </w:pPr>
      <w:r>
        <w:tab/>
      </w:r>
      <w:r w:rsidR="00521842">
        <w:t>La autorización antes mencionada también podrán ejercerlas las universidades estatales, en forma excepcional, respecto del personal académico, directivo y profesional no académico, de planta o a contrata, que tuviere más de 65 años de edad, con anterioridad a la fecha de inicio del primer proceso de postulación a la bonificación adicional, y siempre que tenga derecho a esta bonificación y hagan efectiva su renuncia voluntaria dentro de los plazos que establece el presente proyecto de ley.</w:t>
      </w:r>
    </w:p>
    <w:p w:rsidR="00521842" w:rsidRDefault="00521842" w:rsidP="00C91BEC">
      <w:pPr>
        <w:pStyle w:val="Ttulo3"/>
      </w:pPr>
      <w:bookmarkStart w:id="46" w:name="_Toc487615162"/>
      <w:r>
        <w:t>3.</w:t>
      </w:r>
      <w:r w:rsidR="00AB798A">
        <w:t xml:space="preserve"> </w:t>
      </w:r>
      <w:r>
        <w:t>Cupos.</w:t>
      </w:r>
      <w:bookmarkEnd w:id="46"/>
    </w:p>
    <w:p w:rsidR="00521842" w:rsidRDefault="00AB798A" w:rsidP="00C91BEC">
      <w:pPr>
        <w:pStyle w:val="Textoindependiente2"/>
        <w:tabs>
          <w:tab w:val="left" w:pos="709"/>
        </w:tabs>
        <w:spacing w:before="120" w:after="0"/>
        <w:ind w:right="0"/>
      </w:pPr>
      <w:r>
        <w:tab/>
      </w:r>
      <w:r w:rsidR="00521842">
        <w:t xml:space="preserve">La iniciativa establece que la bonificación adicional tendrá cupos para los años 2017 a 2024, ascendiendo en total a 3.800 beneficiarios que tengan la calidad de académicos y directivos, y, a 900 beneficiarios que tengan la calidad de profesionales no académicos, quienes podrán postular a todas las coberturas señaladas en el numeral 1. </w:t>
      </w:r>
    </w:p>
    <w:p w:rsidR="00521842" w:rsidRDefault="00AB798A" w:rsidP="00C91BEC">
      <w:pPr>
        <w:pStyle w:val="Textoindependiente2"/>
        <w:tabs>
          <w:tab w:val="left" w:pos="709"/>
        </w:tabs>
        <w:spacing w:before="120" w:after="0"/>
        <w:ind w:right="0"/>
      </w:pPr>
      <w:r>
        <w:tab/>
      </w:r>
      <w:r w:rsidR="00521842">
        <w:t>Consecuentemente, se establecen criterios para asignar los cupos existentes en caso que de haber un número mayor de postulantes para la respectiva anualidad.</w:t>
      </w:r>
    </w:p>
    <w:p w:rsidR="00521842" w:rsidRDefault="00AB798A" w:rsidP="00C91BEC">
      <w:pPr>
        <w:pStyle w:val="Textoindependiente2"/>
        <w:tabs>
          <w:tab w:val="left" w:pos="709"/>
        </w:tabs>
        <w:spacing w:before="120" w:after="0"/>
        <w:ind w:right="0"/>
      </w:pPr>
      <w:r>
        <w:tab/>
      </w:r>
      <w:r w:rsidR="00521842">
        <w:t>Por otra parte, se establece que quienes, cumpliendo con los requisitos, no sean seleccionados por falta de cupos, no deberán realizar una nueva postulación, pasando a integrar en forma preferente el listado de seleccionados del proceso que corresponda al año o años siguientes. Asimismo, estos funcionarios mantendrán los beneficios que les correspondían a la fecha de la postulación, incluido aquel a que se refiere el artículo 9 de la ley N° 20.374 cuando corresponda.</w:t>
      </w:r>
    </w:p>
    <w:p w:rsidR="00521842" w:rsidRDefault="00521842" w:rsidP="00C91BEC">
      <w:pPr>
        <w:pStyle w:val="Ttulo3"/>
      </w:pPr>
      <w:bookmarkStart w:id="47" w:name="_Toc487615163"/>
      <w:r>
        <w:t>4.</w:t>
      </w:r>
      <w:r w:rsidR="00AB798A">
        <w:t xml:space="preserve"> </w:t>
      </w:r>
      <w:r>
        <w:t>Postulación y procedimientos generales para acceder a la bonificación adicional</w:t>
      </w:r>
      <w:r w:rsidR="00AB798A">
        <w:t>.</w:t>
      </w:r>
      <w:bookmarkEnd w:id="47"/>
    </w:p>
    <w:p w:rsidR="00521842" w:rsidRDefault="00AB798A" w:rsidP="00C91BEC">
      <w:pPr>
        <w:pStyle w:val="Textoindependiente2"/>
        <w:tabs>
          <w:tab w:val="left" w:pos="709"/>
        </w:tabs>
        <w:spacing w:before="120" w:after="0"/>
        <w:ind w:right="0"/>
      </w:pPr>
      <w:r>
        <w:tab/>
      </w:r>
      <w:r w:rsidR="00521842">
        <w:t>Los funcionarios deberán postular en su respectiva universidad empleadora en los plazos que fije el reglamento.</w:t>
      </w:r>
    </w:p>
    <w:p w:rsidR="00521842" w:rsidRDefault="00AB798A" w:rsidP="00C91BEC">
      <w:pPr>
        <w:pStyle w:val="Textoindependiente2"/>
        <w:tabs>
          <w:tab w:val="left" w:pos="709"/>
        </w:tabs>
        <w:spacing w:before="120" w:after="0"/>
        <w:ind w:right="0"/>
      </w:pPr>
      <w:r>
        <w:tab/>
      </w:r>
      <w:r w:rsidR="00521842">
        <w:t xml:space="preserve">Las universidades empleadoras deberán enviar las postulaciones de los funcionarios que cumplan con los requisitos al Ministerio de Educación. </w:t>
      </w:r>
    </w:p>
    <w:p w:rsidR="00521842" w:rsidRDefault="00AB798A" w:rsidP="00C91BEC">
      <w:pPr>
        <w:pStyle w:val="Textoindependiente2"/>
        <w:tabs>
          <w:tab w:val="left" w:pos="709"/>
        </w:tabs>
        <w:spacing w:before="120" w:after="0"/>
        <w:ind w:right="0"/>
      </w:pPr>
      <w:r>
        <w:tab/>
      </w:r>
      <w:r w:rsidR="00521842">
        <w:t>El Ministerio de Educación, mediante una o más resoluciones exentas, visadas por la Dirección de Presupuestos, determinará la distribución de los cupos anuales entre las universidades estatales de manera proporcional al número de postulaciones válidas que cumplan con los requisitos, según se trate de los cupos para académicos y directivos o de los cupos para profesionales no académicos.</w:t>
      </w:r>
    </w:p>
    <w:p w:rsidR="00521842" w:rsidRDefault="00AB798A" w:rsidP="00C91BEC">
      <w:pPr>
        <w:pStyle w:val="Textoindependiente2"/>
        <w:tabs>
          <w:tab w:val="left" w:pos="709"/>
        </w:tabs>
        <w:spacing w:before="120" w:after="0"/>
        <w:ind w:right="0"/>
      </w:pPr>
      <w:r>
        <w:tab/>
      </w:r>
      <w:r w:rsidR="00521842">
        <w:t>Posteriormente, las universidades del Estado, para cada proceso de postulación, dictarán una resolución con el listado de los postulantes que cumplen los requisitos. Para dicho efecto, habrán asignado los cupos respectivos conforme a los criterios que fija esta iniciativa, en el evento que existan un mayor número de postulantes que de vacantes disponibles.</w:t>
      </w:r>
    </w:p>
    <w:p w:rsidR="00521842" w:rsidRDefault="00AB798A" w:rsidP="00C91BEC">
      <w:pPr>
        <w:pStyle w:val="Textoindependiente2"/>
        <w:tabs>
          <w:tab w:val="left" w:pos="709"/>
        </w:tabs>
        <w:spacing w:before="120" w:after="0"/>
        <w:ind w:right="0"/>
      </w:pPr>
      <w:r>
        <w:tab/>
      </w:r>
      <w:r w:rsidR="00521842">
        <w:t>Cabe señalar que quienes no postulen en los términos que establezca el reglamento que se dicte, o no renuncien a sus cargos y al total de horas que sirvan dentro de los plazos que se indican, se entenderá que renuncian a los beneficios que contiene este proyecto de ley.</w:t>
      </w:r>
    </w:p>
    <w:p w:rsidR="00521842" w:rsidRDefault="00AB798A" w:rsidP="00C91BEC">
      <w:pPr>
        <w:pStyle w:val="Textoindependiente2"/>
        <w:tabs>
          <w:tab w:val="left" w:pos="709"/>
        </w:tabs>
        <w:spacing w:before="120" w:after="0"/>
        <w:ind w:right="0"/>
      </w:pPr>
      <w:r>
        <w:tab/>
      </w:r>
      <w:r w:rsidR="00521842">
        <w:t>Debe destacarse que el retiro definitivo del personal académico, directivo y profesional no académico, sólo se producirá una vez que la universidad del Estado empleadora ponga a su disposición la totalidad del beneficio compensatorio del artículo 9 de la ley N° 20.374.</w:t>
      </w:r>
    </w:p>
    <w:p w:rsidR="00521842" w:rsidRDefault="00AB798A" w:rsidP="00C91BEC">
      <w:pPr>
        <w:pStyle w:val="Textoindependiente2"/>
        <w:tabs>
          <w:tab w:val="left" w:pos="709"/>
        </w:tabs>
        <w:spacing w:before="120" w:after="0"/>
        <w:ind w:right="0"/>
      </w:pPr>
      <w:r>
        <w:tab/>
      </w:r>
      <w:r w:rsidR="00521842">
        <w:t>Finalmente, en el artículo primero transitorio del presente proyecto de ley se regula un procedimiento especial para la postulación a la bonificación adicional para asignar los cupos en el año 2017.</w:t>
      </w:r>
    </w:p>
    <w:p w:rsidR="00521842" w:rsidRDefault="00521842" w:rsidP="00C91BEC">
      <w:pPr>
        <w:pStyle w:val="Ttulo3"/>
      </w:pPr>
      <w:bookmarkStart w:id="48" w:name="_Toc487615164"/>
      <w:r>
        <w:t>5.</w:t>
      </w:r>
      <w:r w:rsidR="00AB798A">
        <w:t xml:space="preserve"> </w:t>
      </w:r>
      <w:r>
        <w:t>Renuncia</w:t>
      </w:r>
      <w:r w:rsidR="00AB798A">
        <w:t>.</w:t>
      </w:r>
      <w:bookmarkEnd w:id="48"/>
    </w:p>
    <w:p w:rsidR="00521842" w:rsidRDefault="00AB798A" w:rsidP="00C91BEC">
      <w:pPr>
        <w:pStyle w:val="Textoindependiente2"/>
        <w:tabs>
          <w:tab w:val="left" w:pos="709"/>
        </w:tabs>
        <w:spacing w:before="120" w:after="0"/>
        <w:ind w:right="0"/>
      </w:pPr>
      <w:r>
        <w:tab/>
      </w:r>
      <w:r w:rsidR="00521842">
        <w:t xml:space="preserve">El personal que se acoja a los beneficios que establece esta iniciativa deberá renunciar a todos los cargos y al total de horas que sirva en los plazos que establece el presente proyecto de ley. </w:t>
      </w:r>
    </w:p>
    <w:p w:rsidR="00521842" w:rsidRDefault="00AB798A" w:rsidP="00C91BEC">
      <w:pPr>
        <w:pStyle w:val="Textoindependiente2"/>
        <w:tabs>
          <w:tab w:val="left" w:pos="709"/>
        </w:tabs>
        <w:spacing w:before="120" w:after="0"/>
        <w:ind w:right="0"/>
      </w:pPr>
      <w:r>
        <w:tab/>
      </w:r>
      <w:r w:rsidR="00521842">
        <w:t>Si un funcionario se desempeña en más de una universidad del Estado, deberá renunciar a la totalidad de las horas y nombramientos o contratos que tenga con los respectivos empleadores.</w:t>
      </w:r>
    </w:p>
    <w:p w:rsidR="00521842" w:rsidRDefault="00521842" w:rsidP="00C91BEC">
      <w:pPr>
        <w:pStyle w:val="Ttulo3"/>
      </w:pPr>
      <w:bookmarkStart w:id="49" w:name="_Toc487615165"/>
      <w:r>
        <w:t>6.</w:t>
      </w:r>
      <w:r w:rsidR="00AB798A">
        <w:t xml:space="preserve"> </w:t>
      </w:r>
      <w:r>
        <w:t>Bono post laboral</w:t>
      </w:r>
      <w:r w:rsidR="00AB798A">
        <w:t>.</w:t>
      </w:r>
      <w:bookmarkEnd w:id="49"/>
    </w:p>
    <w:p w:rsidR="00521842" w:rsidRDefault="00AB798A" w:rsidP="00C91BEC">
      <w:pPr>
        <w:pStyle w:val="Textoindependiente2"/>
        <w:tabs>
          <w:tab w:val="left" w:pos="709"/>
        </w:tabs>
        <w:spacing w:before="120" w:after="0"/>
        <w:ind w:right="0"/>
      </w:pPr>
      <w:r>
        <w:tab/>
      </w:r>
      <w:r w:rsidR="00521842">
        <w:t>El personal que postule a la bonificación adicional que establece esta iniciativa, tendrá derecho a presentar la solicitud para acceder al bono post laboral que establece la ley N° 20.305, en la misma oportunidad en que comunique la fecha de su renuncia voluntaria. Ello, en los plazos y edades que establece este proyecto de ley.</w:t>
      </w:r>
    </w:p>
    <w:p w:rsidR="00521842" w:rsidRDefault="00521842" w:rsidP="00C91BEC">
      <w:pPr>
        <w:pStyle w:val="Ttulo3"/>
      </w:pPr>
      <w:bookmarkStart w:id="50" w:name="_Toc487615166"/>
      <w:r>
        <w:t>7.</w:t>
      </w:r>
      <w:r w:rsidR="00AB798A">
        <w:t xml:space="preserve"> </w:t>
      </w:r>
      <w:r>
        <w:t>Inhabilidades e incompatibilidades</w:t>
      </w:r>
      <w:r w:rsidR="00AB798A">
        <w:t>.</w:t>
      </w:r>
      <w:bookmarkEnd w:id="50"/>
    </w:p>
    <w:p w:rsidR="00521842" w:rsidRDefault="00AB798A" w:rsidP="00C91BEC">
      <w:pPr>
        <w:pStyle w:val="Textoindependiente2"/>
        <w:tabs>
          <w:tab w:val="left" w:pos="709"/>
        </w:tabs>
        <w:spacing w:before="120" w:after="0"/>
        <w:ind w:right="0"/>
      </w:pPr>
      <w:r>
        <w:tab/>
      </w:r>
      <w:r w:rsidR="00521842">
        <w:t>La bonificación adicional que se crea será incompatible con otras bonificaciones al retiro, tales como las otorgadas por la ley N° 20.807 o por los artículos 1 y 4 de la ley N° 20.374.</w:t>
      </w:r>
    </w:p>
    <w:p w:rsidR="00521842" w:rsidRDefault="00AB798A" w:rsidP="00C91BEC">
      <w:pPr>
        <w:pStyle w:val="Textoindependiente2"/>
        <w:tabs>
          <w:tab w:val="left" w:pos="709"/>
        </w:tabs>
        <w:spacing w:before="120" w:after="0"/>
        <w:ind w:right="0"/>
      </w:pPr>
      <w:r>
        <w:tab/>
      </w:r>
      <w:r w:rsidR="00521842">
        <w:t>Asimismo, la mencionada bonificación será incompatible con toda indemnización que, por concepto de término de la relación laboral o cese de funciones pudiere corresponderle al personal académico, directivo o profesional no académico, con las excepciones del beneficio post laboral contemplado en la ley Nº 20.305, la bonificación compensatoria establecida en el artículo 9 de la ley Nº 20.374 y el desahucio a que se refiere el artículo 13 transitorio del decreto con fuerza de ley Nº 29, de 2004, del Ministerio de Hacienda.</w:t>
      </w:r>
    </w:p>
    <w:p w:rsidR="00521842" w:rsidRDefault="00AB798A" w:rsidP="00C91BEC">
      <w:pPr>
        <w:pStyle w:val="Textoindependiente2"/>
        <w:tabs>
          <w:tab w:val="left" w:pos="709"/>
        </w:tabs>
        <w:spacing w:before="120" w:after="0"/>
        <w:ind w:right="0"/>
      </w:pPr>
      <w:r>
        <w:tab/>
      </w:r>
      <w:r w:rsidR="00521842">
        <w:t>A su vez, quienes cesen en su empleo por aplicación de lo dispuesto en la normativa que se propone u obtenga cualquiera de sus beneficios, no podrán ser nombrados ni contratados, ya sea a contrata o sobre la base de honorarios, en cualquier institución que conforma la Administración del Estado, durante los cinco años siguientes al término de su relación laboral, a menos que previamente devuelvan la totalidad del beneficio percibido, con los reajustes e intereses que se indican.</w:t>
      </w:r>
    </w:p>
    <w:p w:rsidR="00521842" w:rsidRDefault="00521842" w:rsidP="00C91BEC">
      <w:pPr>
        <w:pStyle w:val="Ttulo3"/>
      </w:pPr>
      <w:bookmarkStart w:id="51" w:name="_Toc487615167"/>
      <w:r>
        <w:t>8.</w:t>
      </w:r>
      <w:r w:rsidR="00AB798A">
        <w:t xml:space="preserve"> </w:t>
      </w:r>
      <w:r>
        <w:t>Recontrataciones</w:t>
      </w:r>
      <w:r w:rsidR="00AB798A">
        <w:t>.</w:t>
      </w:r>
      <w:bookmarkEnd w:id="51"/>
    </w:p>
    <w:p w:rsidR="00521842" w:rsidRDefault="00AB798A" w:rsidP="00C91BEC">
      <w:pPr>
        <w:pStyle w:val="Textoindependiente2"/>
        <w:tabs>
          <w:tab w:val="left" w:pos="709"/>
        </w:tabs>
        <w:spacing w:before="120" w:after="0"/>
        <w:ind w:right="0"/>
      </w:pPr>
      <w:r>
        <w:tab/>
      </w:r>
      <w:r w:rsidR="00521842">
        <w:t xml:space="preserve">Los académicos que accedan a los beneficios que establece la presente iniciativa podrán ser recontratados, acorde a las condiciones que se indican. </w:t>
      </w:r>
    </w:p>
    <w:p w:rsidR="00521842" w:rsidRDefault="00AB798A" w:rsidP="00C91BEC">
      <w:pPr>
        <w:pStyle w:val="Textoindependiente2"/>
        <w:tabs>
          <w:tab w:val="left" w:pos="709"/>
        </w:tabs>
        <w:spacing w:before="120" w:after="0"/>
        <w:ind w:right="0"/>
      </w:pPr>
      <w:r>
        <w:tab/>
      </w:r>
      <w:r w:rsidR="00521842">
        <w:t>De igual modo, el personal que no se encuentre en la situación señalada en el párrafo anterior y que perciba los beneficios que establece la presente iniciativa y tenga el título de médico cirujano u odontólogo podrá ser recontratado por las universidades estatales para el desempeño de labores de docencia, si cumplen con los requisitos y en las condiciones que para dicho efecto se disponen.</w:t>
      </w:r>
    </w:p>
    <w:p w:rsidR="00521842" w:rsidRDefault="00AB798A" w:rsidP="00C91BEC">
      <w:pPr>
        <w:pStyle w:val="Textoindependiente2"/>
        <w:tabs>
          <w:tab w:val="left" w:pos="709"/>
        </w:tabs>
        <w:spacing w:before="120" w:after="0"/>
        <w:ind w:right="0"/>
      </w:pPr>
      <w:r>
        <w:tab/>
      </w:r>
      <w:r w:rsidR="00521842">
        <w:t>También se establece, que las normas sobre recontratación indicadas en los párrafos anteriores podrán ser aplicadas a los ex funcionarios académicos que hubieren cesado en funciones hasta antes de la publicación de esta ley y hayan percibido el beneficio del artículo 9 de la ley N° 20.374.</w:t>
      </w:r>
    </w:p>
    <w:p w:rsidR="00521842" w:rsidRDefault="00AB798A" w:rsidP="00C91BEC">
      <w:pPr>
        <w:pStyle w:val="Textoindependiente2"/>
        <w:tabs>
          <w:tab w:val="left" w:pos="709"/>
        </w:tabs>
        <w:spacing w:before="120" w:after="0"/>
        <w:ind w:right="0"/>
      </w:pPr>
      <w:r>
        <w:tab/>
      </w:r>
      <w:r w:rsidR="00521842">
        <w:t xml:space="preserve">Quienes sean recontratados no podrán obtener un nuevo beneficio por retiro por dicho período, cualquiera sea su origen o fuente de financiamiento.  </w:t>
      </w:r>
    </w:p>
    <w:p w:rsidR="00521842" w:rsidRDefault="00521842" w:rsidP="00C91BEC">
      <w:pPr>
        <w:pStyle w:val="Ttulo3"/>
      </w:pPr>
      <w:bookmarkStart w:id="52" w:name="_Toc487615168"/>
      <w:r>
        <w:t>9.</w:t>
      </w:r>
      <w:r w:rsidR="00AB798A">
        <w:t xml:space="preserve"> </w:t>
      </w:r>
      <w:r>
        <w:t>Reglamento</w:t>
      </w:r>
      <w:r w:rsidR="00AB798A">
        <w:t>.</w:t>
      </w:r>
      <w:bookmarkEnd w:id="52"/>
    </w:p>
    <w:p w:rsidR="00521842" w:rsidRDefault="00521842" w:rsidP="00C91BEC">
      <w:pPr>
        <w:pStyle w:val="Textoindependiente2"/>
        <w:tabs>
          <w:tab w:val="left" w:pos="709"/>
        </w:tabs>
        <w:spacing w:before="120" w:after="0"/>
        <w:ind w:right="0"/>
      </w:pPr>
      <w:r>
        <w:t>De conformidad al proyecto de ley propuesto, deberá dictarse un reglamento que contenga las disposiciones sobre la postulación a los beneficios que se conceden, los mecanismos para la solicitud de fondos fiscales, y todas aquellas que sean necesarias para la concesión de los mismos.</w:t>
      </w:r>
    </w:p>
    <w:p w:rsidR="00521842" w:rsidRDefault="00521842" w:rsidP="00C91BEC">
      <w:pPr>
        <w:pStyle w:val="Ttulo3"/>
      </w:pPr>
      <w:bookmarkStart w:id="53" w:name="_Toc487615169"/>
      <w:r>
        <w:t>10.</w:t>
      </w:r>
      <w:r w:rsidR="00AB798A">
        <w:t xml:space="preserve"> </w:t>
      </w:r>
      <w:r>
        <w:t>Transmisión por causa de muerte</w:t>
      </w:r>
      <w:r w:rsidR="00AB798A">
        <w:t>.</w:t>
      </w:r>
      <w:bookmarkEnd w:id="53"/>
    </w:p>
    <w:p w:rsidR="00521842" w:rsidRDefault="00AB798A" w:rsidP="00C91BEC">
      <w:pPr>
        <w:pStyle w:val="Textoindependiente2"/>
        <w:tabs>
          <w:tab w:val="left" w:pos="709"/>
        </w:tabs>
        <w:spacing w:before="120" w:after="0"/>
        <w:ind w:right="0"/>
      </w:pPr>
      <w:r>
        <w:tab/>
      </w:r>
      <w:r w:rsidR="00521842">
        <w:t>La bonificación adicional que corresponda a un funcionario será transmisible por causa de muerte si este fallece entre la fecha de su postulación y antes de percibirla, siempre que cumpla con los requisitos y acceda a un cupo.</w:t>
      </w:r>
    </w:p>
    <w:p w:rsidR="00521842" w:rsidRDefault="00521842" w:rsidP="00C91BEC">
      <w:pPr>
        <w:pStyle w:val="Ttulo3"/>
      </w:pPr>
      <w:bookmarkStart w:id="54" w:name="_Toc487615170"/>
      <w:r>
        <w:t>11.</w:t>
      </w:r>
      <w:r w:rsidR="00AB798A">
        <w:t xml:space="preserve"> </w:t>
      </w:r>
      <w:r>
        <w:t>Contratación de empréstitos.</w:t>
      </w:r>
      <w:bookmarkEnd w:id="54"/>
    </w:p>
    <w:p w:rsidR="00521842" w:rsidRDefault="00AB798A" w:rsidP="00C91BEC">
      <w:pPr>
        <w:pStyle w:val="Textoindependiente2"/>
        <w:tabs>
          <w:tab w:val="clear" w:pos="3119"/>
          <w:tab w:val="left" w:pos="709"/>
        </w:tabs>
        <w:spacing w:before="120" w:after="0"/>
        <w:ind w:right="0"/>
      </w:pPr>
      <w:r>
        <w:tab/>
      </w:r>
      <w:r w:rsidR="00521842">
        <w:t>Con el objeto exclusivo de financiar la bonificación del artículo 9 de la ley N° 20.374, se autoriza a las universidades, en la forma que se indica, para contratar uno o más empréstitos.</w:t>
      </w:r>
    </w:p>
    <w:p w:rsidR="00A85E57" w:rsidRPr="00795F88" w:rsidRDefault="00A85E57" w:rsidP="00C91BEC">
      <w:pPr>
        <w:pStyle w:val="Ttulo2"/>
        <w:tabs>
          <w:tab w:val="left" w:pos="709"/>
        </w:tabs>
        <w:jc w:val="both"/>
      </w:pPr>
      <w:bookmarkStart w:id="55" w:name="_Toc81655373"/>
      <w:bookmarkStart w:id="56" w:name="_Toc106429771"/>
      <w:bookmarkStart w:id="57" w:name="_Toc148515254"/>
      <w:bookmarkStart w:id="58" w:name="_Toc400351707"/>
      <w:bookmarkStart w:id="59" w:name="_Toc487615171"/>
      <w:bookmarkStart w:id="60" w:name="_Toc504290053"/>
      <w:bookmarkStart w:id="61" w:name="_Toc344020388"/>
      <w:bookmarkStart w:id="62" w:name="_Toc344020540"/>
      <w:r w:rsidRPr="00795F88">
        <w:t>B) Comentario sobre el articulado del proyecto.</w:t>
      </w:r>
      <w:bookmarkEnd w:id="55"/>
      <w:bookmarkEnd w:id="56"/>
      <w:bookmarkEnd w:id="57"/>
      <w:bookmarkEnd w:id="58"/>
      <w:bookmarkEnd w:id="59"/>
    </w:p>
    <w:p w:rsidR="007E168A" w:rsidRDefault="00B27F08" w:rsidP="00C91BEC">
      <w:pPr>
        <w:tabs>
          <w:tab w:val="left" w:pos="709"/>
        </w:tabs>
        <w:spacing w:before="120"/>
        <w:jc w:val="both"/>
        <w:rPr>
          <w:rFonts w:ascii="Arial" w:hAnsi="Arial" w:cs="Arial"/>
          <w:sz w:val="24"/>
          <w:szCs w:val="24"/>
        </w:rPr>
      </w:pPr>
      <w:r>
        <w:rPr>
          <w:rFonts w:ascii="Arial" w:hAnsi="Arial" w:cs="Arial"/>
          <w:sz w:val="24"/>
          <w:szCs w:val="24"/>
        </w:rPr>
        <w:tab/>
      </w:r>
      <w:r w:rsidR="007E168A" w:rsidRPr="007E168A">
        <w:rPr>
          <w:rFonts w:ascii="Arial" w:hAnsi="Arial" w:cs="Arial"/>
          <w:sz w:val="24"/>
          <w:szCs w:val="24"/>
        </w:rPr>
        <w:t>El proyecto consta de diez artículos permanentes y un artículo transitorio.</w:t>
      </w:r>
    </w:p>
    <w:p w:rsidR="00521842" w:rsidRPr="00521842" w:rsidRDefault="00521842"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Por el a</w:t>
      </w:r>
      <w:r w:rsidRPr="00521842">
        <w:rPr>
          <w:rFonts w:ascii="Arial" w:hAnsi="Arial" w:cs="Arial"/>
          <w:sz w:val="24"/>
          <w:szCs w:val="24"/>
          <w:lang w:val="es-CL"/>
        </w:rPr>
        <w:t>rtículo 1</w:t>
      </w:r>
      <w:r>
        <w:rPr>
          <w:rFonts w:ascii="Arial" w:hAnsi="Arial" w:cs="Arial"/>
          <w:sz w:val="24"/>
          <w:szCs w:val="24"/>
          <w:lang w:val="es-CL"/>
        </w:rPr>
        <w:t xml:space="preserve"> se fijan</w:t>
      </w:r>
      <w:r w:rsidRPr="00521842">
        <w:rPr>
          <w:rFonts w:ascii="Arial" w:hAnsi="Arial" w:cs="Arial"/>
          <w:sz w:val="24"/>
          <w:szCs w:val="24"/>
          <w:lang w:val="es-CL"/>
        </w:rPr>
        <w:t xml:space="preserve"> los beneficiarios de la bonificación adicional.</w:t>
      </w:r>
    </w:p>
    <w:p w:rsidR="00521842" w:rsidRPr="00521842" w:rsidRDefault="00521842"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Pr="00521842">
        <w:rPr>
          <w:rFonts w:ascii="Arial" w:hAnsi="Arial" w:cs="Arial"/>
          <w:sz w:val="24"/>
          <w:szCs w:val="24"/>
          <w:lang w:val="es-CL"/>
        </w:rPr>
        <w:t>rtículo 2</w:t>
      </w:r>
      <w:r>
        <w:rPr>
          <w:rFonts w:ascii="Arial" w:hAnsi="Arial" w:cs="Arial"/>
          <w:sz w:val="24"/>
          <w:szCs w:val="24"/>
          <w:lang w:val="es-CL"/>
        </w:rPr>
        <w:t xml:space="preserve"> s</w:t>
      </w:r>
      <w:r w:rsidRPr="00521842">
        <w:rPr>
          <w:rFonts w:ascii="Arial" w:hAnsi="Arial" w:cs="Arial"/>
          <w:sz w:val="24"/>
          <w:szCs w:val="24"/>
          <w:lang w:val="es-CL"/>
        </w:rPr>
        <w:t>e refiere a la forma y oportunidad en que deberá hacerse efectiva la renuncia voluntaria a la universidad del Estado por parte de sus funcionarios.</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21842" w:rsidRPr="00521842">
        <w:rPr>
          <w:rFonts w:ascii="Arial" w:hAnsi="Arial" w:cs="Arial"/>
          <w:sz w:val="24"/>
          <w:szCs w:val="24"/>
          <w:lang w:val="es-CL"/>
        </w:rPr>
        <w:t>rtículo 3</w:t>
      </w:r>
      <w:r>
        <w:rPr>
          <w:rFonts w:ascii="Arial" w:hAnsi="Arial" w:cs="Arial"/>
          <w:sz w:val="24"/>
          <w:szCs w:val="24"/>
          <w:lang w:val="es-CL"/>
        </w:rPr>
        <w:t xml:space="preserve"> e</w:t>
      </w:r>
      <w:r w:rsidR="00521842" w:rsidRPr="00521842">
        <w:rPr>
          <w:rFonts w:ascii="Arial" w:hAnsi="Arial" w:cs="Arial"/>
          <w:sz w:val="24"/>
          <w:szCs w:val="24"/>
          <w:lang w:val="es-CL"/>
        </w:rPr>
        <w:t>stablece un máximo de 3.800 cupos para académicos y directivos, y hasta 900 cupos para profesionales no académicos. Además, establece sus montos en conformidad a los años servidos y oportunidad de pago.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Por el a</w:t>
      </w:r>
      <w:r w:rsidR="00521842" w:rsidRPr="00521842">
        <w:rPr>
          <w:rFonts w:ascii="Arial" w:hAnsi="Arial" w:cs="Arial"/>
          <w:sz w:val="24"/>
          <w:szCs w:val="24"/>
          <w:lang w:val="es-CL"/>
        </w:rPr>
        <w:t>rtículo 4</w:t>
      </w:r>
      <w:r>
        <w:rPr>
          <w:rFonts w:ascii="Arial" w:hAnsi="Arial" w:cs="Arial"/>
          <w:sz w:val="24"/>
          <w:szCs w:val="24"/>
          <w:lang w:val="es-CL"/>
        </w:rPr>
        <w:t xml:space="preserve"> se e</w:t>
      </w:r>
      <w:r w:rsidR="00521842" w:rsidRPr="00521842">
        <w:rPr>
          <w:rFonts w:ascii="Arial" w:hAnsi="Arial" w:cs="Arial"/>
          <w:sz w:val="24"/>
          <w:szCs w:val="24"/>
          <w:lang w:val="es-CL"/>
        </w:rPr>
        <w:t>xtiende la bonificación adicional al personal académico, directivo y profesional no académico de las universidades del Estado, de planta o a contrata, que obtenga o haya obtenido una pensión de invalidez del decreto ley N° 3.500, de 1980, o que cese o haya cesado en sus funciones por declaración de vacancia por salud irrecuperable o incompatible con el desempeño del cargo, entre el 1 de abril de 2015 y el 31 de diciembre de 2024, siempre que cumplan las condiciones que se señalan. También fija la oportunidad de pago.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21842" w:rsidRPr="00521842">
        <w:rPr>
          <w:rFonts w:ascii="Arial" w:hAnsi="Arial" w:cs="Arial"/>
          <w:sz w:val="24"/>
          <w:szCs w:val="24"/>
          <w:lang w:val="es-CL"/>
        </w:rPr>
        <w:t>rtículo 5</w:t>
      </w:r>
      <w:r>
        <w:rPr>
          <w:rFonts w:ascii="Arial" w:hAnsi="Arial" w:cs="Arial"/>
          <w:sz w:val="24"/>
          <w:szCs w:val="24"/>
          <w:lang w:val="es-CL"/>
        </w:rPr>
        <w:t xml:space="preserve"> d</w:t>
      </w:r>
      <w:r w:rsidR="00521842" w:rsidRPr="00521842">
        <w:rPr>
          <w:rFonts w:ascii="Arial" w:hAnsi="Arial" w:cs="Arial"/>
          <w:sz w:val="24"/>
          <w:szCs w:val="24"/>
          <w:lang w:val="es-CL"/>
        </w:rPr>
        <w:t>etermina la anualidad de cupos para el período 2017 a 2021 y el procedimiento de postulación.</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175AAC">
        <w:rPr>
          <w:rFonts w:ascii="Arial" w:hAnsi="Arial" w:cs="Arial"/>
          <w:sz w:val="24"/>
          <w:szCs w:val="24"/>
          <w:lang w:val="es-CL"/>
        </w:rPr>
        <w:t>r</w:t>
      </w:r>
      <w:r w:rsidR="00521842" w:rsidRPr="00521842">
        <w:rPr>
          <w:rFonts w:ascii="Arial" w:hAnsi="Arial" w:cs="Arial"/>
          <w:sz w:val="24"/>
          <w:szCs w:val="24"/>
          <w:lang w:val="es-CL"/>
        </w:rPr>
        <w:t>tículo 6</w:t>
      </w:r>
      <w:r>
        <w:rPr>
          <w:rFonts w:ascii="Arial" w:hAnsi="Arial" w:cs="Arial"/>
          <w:sz w:val="24"/>
          <w:szCs w:val="24"/>
          <w:lang w:val="es-CL"/>
        </w:rPr>
        <w:t xml:space="preserve"> r</w:t>
      </w:r>
      <w:r w:rsidR="00521842" w:rsidRPr="00521842">
        <w:rPr>
          <w:rFonts w:ascii="Arial" w:hAnsi="Arial" w:cs="Arial"/>
          <w:sz w:val="24"/>
          <w:szCs w:val="24"/>
          <w:lang w:val="es-CL"/>
        </w:rPr>
        <w:t>egula la situación de los postulantes que, cumpliendo los requisitos para acceder a ella, no fueren seleccionados por falta de cupo. Además, permite que se pague el beneficio compensatorio que establece el artículo 9 de la ley N° 20.374, si se cumplen los requisitos para ello.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7</w:t>
      </w:r>
      <w:r>
        <w:rPr>
          <w:rFonts w:ascii="Arial" w:hAnsi="Arial" w:cs="Arial"/>
          <w:sz w:val="24"/>
          <w:szCs w:val="24"/>
          <w:lang w:val="es-CL"/>
        </w:rPr>
        <w:t xml:space="preserve"> </w:t>
      </w:r>
      <w:r w:rsidRPr="00521842">
        <w:rPr>
          <w:rFonts w:ascii="Arial" w:hAnsi="Arial" w:cs="Arial"/>
          <w:sz w:val="24"/>
          <w:szCs w:val="24"/>
          <w:lang w:val="es-CL"/>
        </w:rPr>
        <w:t>regula la situación del funcionario seleccionado dentro de los cupos asignados a un proceso de postulación, si desistiere de aquél.</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Por el </w:t>
      </w:r>
      <w:r w:rsidRPr="00521842">
        <w:rPr>
          <w:rFonts w:ascii="Arial" w:hAnsi="Arial" w:cs="Arial"/>
          <w:sz w:val="24"/>
          <w:szCs w:val="24"/>
          <w:lang w:val="es-CL"/>
        </w:rPr>
        <w:t>artículo 8</w:t>
      </w:r>
      <w:r>
        <w:rPr>
          <w:rFonts w:ascii="Arial" w:hAnsi="Arial" w:cs="Arial"/>
          <w:sz w:val="24"/>
          <w:szCs w:val="24"/>
          <w:lang w:val="es-CL"/>
        </w:rPr>
        <w:t xml:space="preserve"> se </w:t>
      </w:r>
      <w:r w:rsidRPr="00521842">
        <w:rPr>
          <w:rFonts w:ascii="Arial" w:hAnsi="Arial" w:cs="Arial"/>
          <w:sz w:val="24"/>
          <w:szCs w:val="24"/>
          <w:lang w:val="es-CL"/>
        </w:rPr>
        <w:t>establece el derecho a presentar la solicitud para acceder al bono establecido en la ley n° 20.305, en la misma oportunidad en que se comunique la fecha de renuncia voluntaria, sin que le sean aplicables los plazos de esa ley.</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 xml:space="preserve">artículo 9 fija las </w:t>
      </w:r>
      <w:r w:rsidR="00521842" w:rsidRPr="00521842">
        <w:rPr>
          <w:rFonts w:ascii="Arial" w:hAnsi="Arial" w:cs="Arial"/>
          <w:sz w:val="24"/>
          <w:szCs w:val="24"/>
          <w:lang w:val="es-CL"/>
        </w:rPr>
        <w:t>incompatibilidades de esta bonificación al retiro.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Pr="00521842">
        <w:rPr>
          <w:rFonts w:ascii="Arial" w:hAnsi="Arial" w:cs="Arial"/>
          <w:sz w:val="24"/>
          <w:szCs w:val="24"/>
          <w:lang w:val="es-CL"/>
        </w:rPr>
        <w:t>rtículo 10 prohíbe a quienes se acojan a cualquiera de los beneficios de esta ley, volver a ser contratados en ciertos organismos que señala, durante los cinco años siguientes al término de su relación laboral, a menos que, previamente, devuelva la totalidad del beneficio percibido en las condiciones que indica.</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Por el </w:t>
      </w:r>
      <w:r w:rsidRPr="00521842">
        <w:rPr>
          <w:rFonts w:ascii="Arial" w:hAnsi="Arial" w:cs="Arial"/>
          <w:sz w:val="24"/>
          <w:szCs w:val="24"/>
          <w:lang w:val="es-CL"/>
        </w:rPr>
        <w:t>artículo 11</w:t>
      </w:r>
      <w:r>
        <w:rPr>
          <w:rFonts w:ascii="Arial" w:hAnsi="Arial" w:cs="Arial"/>
          <w:sz w:val="24"/>
          <w:szCs w:val="24"/>
          <w:lang w:val="es-CL"/>
        </w:rPr>
        <w:t xml:space="preserve"> se</w:t>
      </w:r>
      <w:r w:rsidRPr="00521842">
        <w:rPr>
          <w:rFonts w:ascii="Arial" w:hAnsi="Arial" w:cs="Arial"/>
          <w:sz w:val="24"/>
          <w:szCs w:val="24"/>
          <w:lang w:val="es-CL"/>
        </w:rPr>
        <w:t xml:space="preserve"> consagra la renuncia irrevocable a los beneficios de esta ley en el caso de no postular o hacer efectiva la renuncia en los plazos que se señalan.</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12 impone la obligación a quienes se acojan a los beneficios de esta ley de renunciar a todos los cargos y al total de horas que sirva en los plazos señalados. asimismo, dispone que dicho personal no podrá utilizar los años de servicios para acceder a bonificaciones o beneficios asociados al retiro voluntario que otorguen otras leyes ni tampoco utilizar años de servicios que ya hubieren sido considerados para luego acceder a otros incentivos asociados al retiro.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 xml:space="preserve">artículo 13 faculta a las universidades estatales a otorgar el beneficio compensatorio que establece el artículo 9 de la ley </w:t>
      </w:r>
      <w:r>
        <w:rPr>
          <w:rFonts w:ascii="Arial" w:hAnsi="Arial" w:cs="Arial"/>
          <w:sz w:val="24"/>
          <w:szCs w:val="24"/>
          <w:lang w:val="es-CL"/>
        </w:rPr>
        <w:t>N</w:t>
      </w:r>
      <w:r w:rsidRPr="00521842">
        <w:rPr>
          <w:rFonts w:ascii="Arial" w:hAnsi="Arial" w:cs="Arial"/>
          <w:sz w:val="24"/>
          <w:szCs w:val="24"/>
          <w:lang w:val="es-CL"/>
        </w:rPr>
        <w:t>° 20.374, por única vez, en las condiciones que señala.</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Por el </w:t>
      </w:r>
      <w:r w:rsidRPr="00521842">
        <w:rPr>
          <w:rFonts w:ascii="Arial" w:hAnsi="Arial" w:cs="Arial"/>
          <w:sz w:val="24"/>
          <w:szCs w:val="24"/>
          <w:lang w:val="es-CL"/>
        </w:rPr>
        <w:t>artículo 14</w:t>
      </w:r>
      <w:r>
        <w:rPr>
          <w:rFonts w:ascii="Arial" w:hAnsi="Arial" w:cs="Arial"/>
          <w:sz w:val="24"/>
          <w:szCs w:val="24"/>
          <w:lang w:val="es-CL"/>
        </w:rPr>
        <w:t xml:space="preserve"> se</w:t>
      </w:r>
      <w:r w:rsidRPr="00521842">
        <w:rPr>
          <w:rFonts w:ascii="Arial" w:hAnsi="Arial" w:cs="Arial"/>
          <w:sz w:val="24"/>
          <w:szCs w:val="24"/>
          <w:lang w:val="es-CL"/>
        </w:rPr>
        <w:t xml:space="preserve"> establece que un reglamento dictado por el ministerio de educación, y suscrito también por el ministro de hacienda, determinará los periodos de postulación, entre otras materias.</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15 consagra la trasmisión por causa de muerte de la bonificación en el contexto que señala.</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16 establece las excepciones al artículo 10 de la presente ley, que les serán aplicables al personal académico.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17 fija los requisitos alternativos que deberán cumplir los académicos beneficiarios de esta ley que sean recontratados para desempeñar labores de docencia, de conformidad a lo señalado en el artículo anterior.</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18 establece una norma especial, sin perjuicio de lo dispuesto en el artículo 10, para el personal que perciba los beneficios que esta ley y tenga el título profesional de médico cirujano u odontólogo, que podrá ser recontratado por las universidades estatales para desempeñar labores de docencia.</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Por el </w:t>
      </w:r>
      <w:r w:rsidRPr="00521842">
        <w:rPr>
          <w:rFonts w:ascii="Arial" w:hAnsi="Arial" w:cs="Arial"/>
          <w:sz w:val="24"/>
          <w:szCs w:val="24"/>
          <w:lang w:val="es-CL"/>
        </w:rPr>
        <w:t>artículo 19</w:t>
      </w:r>
      <w:r>
        <w:rPr>
          <w:rFonts w:ascii="Arial" w:hAnsi="Arial" w:cs="Arial"/>
          <w:sz w:val="24"/>
          <w:szCs w:val="24"/>
          <w:lang w:val="es-CL"/>
        </w:rPr>
        <w:t xml:space="preserve"> se</w:t>
      </w:r>
      <w:r w:rsidRPr="00521842">
        <w:rPr>
          <w:rFonts w:ascii="Arial" w:hAnsi="Arial" w:cs="Arial"/>
          <w:sz w:val="24"/>
          <w:szCs w:val="24"/>
          <w:lang w:val="es-CL"/>
        </w:rPr>
        <w:t xml:space="preserve"> fija la normativa por la cual se regirá la recontratación de los ex funcionarios académicos que hubieren cesado en funciones hasta el día antes de la publicación de esta ley y que hayan percibido el beneficio compensatorio establecido en el artículo 9 de la ley n° 20.374, conforme a los artículos 16, 17 y 18 si cumplen con los requisitos respectivos, y de los ex funcionarios académicos que hubieren cesado en funciones hasta el día antes de la publicación de la presente ley y que hayan sido recontratados conforme a los incisos segundo y siguientes del artículo 8 de la ley </w:t>
      </w:r>
      <w:r>
        <w:rPr>
          <w:rFonts w:ascii="Arial" w:hAnsi="Arial" w:cs="Arial"/>
          <w:sz w:val="24"/>
          <w:szCs w:val="24"/>
          <w:lang w:val="es-CL"/>
        </w:rPr>
        <w:t>N</w:t>
      </w:r>
      <w:r w:rsidRPr="00521842">
        <w:rPr>
          <w:rFonts w:ascii="Arial" w:hAnsi="Arial" w:cs="Arial"/>
          <w:sz w:val="24"/>
          <w:szCs w:val="24"/>
          <w:lang w:val="es-CL"/>
        </w:rPr>
        <w:t>° 20.374.</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20 fija el procedimiento para los efectos de proceder a las recontrataciones a que se refieren los artículos 16, 17, 18 y 19.</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21 establece que quienes se acojan a los beneficios de la presente ley y luego sean recontratados de acuerdo a lo establecido en los artículos 16, 17, 18 y 19 de la misma, no podrán obtener nuevos beneficios asociados al retiro durante el período de su recontratación, cualquiera sea su origen o fuente de financiamiento.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 xml:space="preserve">artículo 22 autoriza a las universidades del estado para que, hasta el 31 de diciembre de 2024, puedan contratar uno o más empréstitos con el objeto exclusivo de financiar el beneficio establecido en el artículo 9 de la ley </w:t>
      </w:r>
      <w:r>
        <w:rPr>
          <w:rFonts w:ascii="Arial" w:hAnsi="Arial" w:cs="Arial"/>
          <w:sz w:val="24"/>
          <w:szCs w:val="24"/>
          <w:lang w:val="es-CL"/>
        </w:rPr>
        <w:t>N°</w:t>
      </w:r>
      <w:r w:rsidRPr="00521842">
        <w:rPr>
          <w:rFonts w:ascii="Arial" w:hAnsi="Arial" w:cs="Arial"/>
          <w:sz w:val="24"/>
          <w:szCs w:val="24"/>
          <w:lang w:val="es-CL"/>
        </w:rPr>
        <w:t xml:space="preserve"> 20.374 y las condiciones y requisitos del mismo.</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primero</w:t>
      </w:r>
      <w:r>
        <w:rPr>
          <w:rFonts w:ascii="Arial" w:hAnsi="Arial" w:cs="Arial"/>
          <w:sz w:val="24"/>
          <w:szCs w:val="24"/>
          <w:lang w:val="es-CL"/>
        </w:rPr>
        <w:t xml:space="preserve"> transitorio</w:t>
      </w:r>
      <w:r w:rsidRPr="00521842">
        <w:rPr>
          <w:rFonts w:ascii="Arial" w:hAnsi="Arial" w:cs="Arial"/>
          <w:sz w:val="24"/>
          <w:szCs w:val="24"/>
          <w:lang w:val="es-CL"/>
        </w:rPr>
        <w:t xml:space="preserve"> consagra las reglas a las que se sujetará el procedimiento para asignar los cupos en el año 2017.</w:t>
      </w:r>
    </w:p>
    <w:p w:rsidR="00521842" w:rsidRPr="00521842" w:rsidRDefault="00F034AD" w:rsidP="00C91BEC">
      <w:pPr>
        <w:tabs>
          <w:tab w:val="left" w:pos="709"/>
        </w:tabs>
        <w:spacing w:before="120"/>
        <w:jc w:val="both"/>
        <w:rPr>
          <w:rFonts w:ascii="Arial" w:hAnsi="Arial" w:cs="Arial"/>
          <w:sz w:val="24"/>
          <w:szCs w:val="24"/>
          <w:lang w:val="es-CL"/>
        </w:rPr>
      </w:pPr>
      <w:r>
        <w:rPr>
          <w:rFonts w:ascii="Arial" w:hAnsi="Arial" w:cs="Arial"/>
          <w:sz w:val="24"/>
          <w:szCs w:val="24"/>
          <w:lang w:val="es-CL"/>
        </w:rPr>
        <w:tab/>
        <w:t xml:space="preserve">El </w:t>
      </w:r>
      <w:r w:rsidRPr="00521842">
        <w:rPr>
          <w:rFonts w:ascii="Arial" w:hAnsi="Arial" w:cs="Arial"/>
          <w:sz w:val="24"/>
          <w:szCs w:val="24"/>
          <w:lang w:val="es-CL"/>
        </w:rPr>
        <w:t>artículo segundo</w:t>
      </w:r>
      <w:r w:rsidRPr="00F034AD">
        <w:rPr>
          <w:rFonts w:ascii="Arial" w:hAnsi="Arial" w:cs="Arial"/>
          <w:sz w:val="24"/>
          <w:szCs w:val="24"/>
          <w:lang w:val="es-CL"/>
        </w:rPr>
        <w:t xml:space="preserve"> </w:t>
      </w:r>
      <w:r>
        <w:rPr>
          <w:rFonts w:ascii="Arial" w:hAnsi="Arial" w:cs="Arial"/>
          <w:sz w:val="24"/>
          <w:szCs w:val="24"/>
          <w:lang w:val="es-CL"/>
        </w:rPr>
        <w:t>transitorio</w:t>
      </w:r>
      <w:r w:rsidRPr="00521842">
        <w:rPr>
          <w:rFonts w:ascii="Arial" w:hAnsi="Arial" w:cs="Arial"/>
          <w:sz w:val="24"/>
          <w:szCs w:val="24"/>
          <w:lang w:val="es-CL"/>
        </w:rPr>
        <w:t xml:space="preserve"> establece que el mayor gasto fiscal que represente la aplicación de esta ley durante el primer año presupuestario de vigencia, se financiará con cargo al presupuesto del ministerio de educación.</w:t>
      </w:r>
    </w:p>
    <w:p w:rsidR="00763043" w:rsidRPr="00CE338A" w:rsidRDefault="00763043" w:rsidP="00C91BEC">
      <w:pPr>
        <w:pStyle w:val="Ttulo2"/>
        <w:tabs>
          <w:tab w:val="left" w:pos="709"/>
        </w:tabs>
        <w:jc w:val="both"/>
      </w:pPr>
      <w:bookmarkStart w:id="63" w:name="_Toc400351708"/>
      <w:bookmarkStart w:id="64" w:name="_Toc487615172"/>
      <w:r w:rsidRPr="00CE338A">
        <w:t>C) Informe financiero.</w:t>
      </w:r>
      <w:bookmarkEnd w:id="63"/>
      <w:bookmarkEnd w:id="64"/>
    </w:p>
    <w:p w:rsidR="00C91BEC" w:rsidRDefault="00763043" w:rsidP="008C1D36">
      <w:pPr>
        <w:pStyle w:val="Textoindependiente2"/>
        <w:tabs>
          <w:tab w:val="clear" w:pos="3119"/>
          <w:tab w:val="left" w:pos="709"/>
        </w:tabs>
        <w:spacing w:before="120" w:after="0"/>
        <w:ind w:right="0"/>
      </w:pPr>
      <w:r w:rsidRPr="00CE338A">
        <w:tab/>
        <w:t xml:space="preserve">El Ejecutivo acompañó a esta iniciativa un informe financiero, </w:t>
      </w:r>
      <w:r w:rsidR="008C1D36">
        <w:t>señalando que e</w:t>
      </w:r>
      <w:r w:rsidR="00C91BEC">
        <w:t>l proyecto de ley implica un mayor gasto fiscal asociado al pago de la bonificación adicional.</w:t>
      </w:r>
    </w:p>
    <w:p w:rsidR="00C91BEC" w:rsidRDefault="008C1D36" w:rsidP="008C1D36">
      <w:pPr>
        <w:pStyle w:val="Textoindependiente2"/>
        <w:tabs>
          <w:tab w:val="left" w:pos="709"/>
        </w:tabs>
        <w:spacing w:before="120" w:after="0"/>
        <w:ind w:right="0"/>
      </w:pPr>
      <w:r>
        <w:tab/>
        <w:t>Añade que co</w:t>
      </w:r>
      <w:r w:rsidR="00C91BEC">
        <w:t>nsiderando los cupos anuales establecidos en el proyecto para el período 2017-2024, y los beneficios contemplados en esta iniciativa, se estima el siguiente costo fiscal máximo para el período 2017-2024, en caso que se utilicen todos los cupos:</w:t>
      </w:r>
    </w:p>
    <w:p w:rsidR="00C91BEC" w:rsidRPr="008C1D36" w:rsidRDefault="00C91BEC" w:rsidP="008C1D36">
      <w:pPr>
        <w:pStyle w:val="Textoindependiente2"/>
        <w:tabs>
          <w:tab w:val="left" w:pos="709"/>
        </w:tabs>
        <w:spacing w:before="120" w:after="0"/>
        <w:ind w:right="0"/>
        <w:jc w:val="center"/>
        <w:rPr>
          <w:b/>
          <w:sz w:val="22"/>
          <w:szCs w:val="22"/>
        </w:rPr>
      </w:pPr>
      <w:r w:rsidRPr="008C1D36">
        <w:rPr>
          <w:b/>
          <w:sz w:val="22"/>
          <w:szCs w:val="22"/>
        </w:rPr>
        <w:t xml:space="preserve">Costo fiscal y beneficiarios de la Bonificación Adicional, período 2017-2024 </w:t>
      </w:r>
      <w:r w:rsidR="008C1D36" w:rsidRPr="008C1D36">
        <w:rPr>
          <w:b/>
          <w:sz w:val="22"/>
          <w:szCs w:val="22"/>
        </w:rPr>
        <w:t>(</w:t>
      </w:r>
      <w:r w:rsidRPr="008C1D36">
        <w:rPr>
          <w:b/>
          <w:sz w:val="22"/>
          <w:szCs w:val="22"/>
        </w:rPr>
        <w:t>Millones de pesos de 2017)</w:t>
      </w:r>
    </w:p>
    <w:tbl>
      <w:tblPr>
        <w:tblW w:w="8219" w:type="dxa"/>
        <w:tblInd w:w="40" w:type="dxa"/>
        <w:tblLayout w:type="fixed"/>
        <w:tblCellMar>
          <w:left w:w="40" w:type="dxa"/>
          <w:right w:w="40" w:type="dxa"/>
        </w:tblCellMar>
        <w:tblLook w:val="0000" w:firstRow="0" w:lastRow="0" w:firstColumn="0" w:lastColumn="0" w:noHBand="0" w:noVBand="0"/>
      </w:tblPr>
      <w:tblGrid>
        <w:gridCol w:w="737"/>
        <w:gridCol w:w="1247"/>
        <w:gridCol w:w="1247"/>
        <w:gridCol w:w="1247"/>
        <w:gridCol w:w="1247"/>
        <w:gridCol w:w="1247"/>
        <w:gridCol w:w="1247"/>
      </w:tblGrid>
      <w:tr w:rsidR="008C1D36" w:rsidRPr="008C1D36" w:rsidTr="00475B11">
        <w:trPr>
          <w:trHeight w:hRule="exact" w:val="281"/>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8C1D36">
            <w:pPr>
              <w:widowControl w:val="0"/>
              <w:shd w:val="clear" w:color="auto" w:fill="FFFFFF"/>
              <w:autoSpaceDE w:val="0"/>
              <w:autoSpaceDN w:val="0"/>
              <w:adjustRightInd w:val="0"/>
              <w:rPr>
                <w:rFonts w:ascii="Arial" w:hAnsi="Arial" w:cs="Arial"/>
                <w:b/>
                <w:lang w:val="es-CL" w:eastAsia="es-CL"/>
              </w:rPr>
            </w:pPr>
            <w:r w:rsidRPr="008C1D36">
              <w:rPr>
                <w:rFonts w:ascii="Arial" w:hAnsi="Arial" w:cs="Arial"/>
                <w:b/>
                <w:color w:val="000000"/>
                <w:lang w:val="es-ES_tradnl" w:eastAsia="es-CL"/>
              </w:rPr>
              <w:t>Año</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1D36" w:rsidRPr="008C1D36" w:rsidRDefault="008C1D36" w:rsidP="00475B11">
            <w:pPr>
              <w:widowControl w:val="0"/>
              <w:shd w:val="clear" w:color="auto" w:fill="FFFFFF"/>
              <w:autoSpaceDE w:val="0"/>
              <w:autoSpaceDN w:val="0"/>
              <w:adjustRightInd w:val="0"/>
              <w:rPr>
                <w:rFonts w:ascii="Arial" w:hAnsi="Arial" w:cs="Arial"/>
                <w:b/>
                <w:lang w:val="es-CL" w:eastAsia="es-CL"/>
              </w:rPr>
            </w:pPr>
            <w:r w:rsidRPr="008C1D36">
              <w:rPr>
                <w:rFonts w:ascii="Arial" w:hAnsi="Arial" w:cs="Arial"/>
                <w:b/>
                <w:color w:val="000000"/>
                <w:spacing w:val="-2"/>
                <w:lang w:val="es-ES_tradnl" w:eastAsia="es-CL"/>
              </w:rPr>
              <w:t>Académicos y Directivos</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1D36" w:rsidRPr="008C1D36" w:rsidRDefault="008C1D36" w:rsidP="008C1D36">
            <w:pPr>
              <w:widowControl w:val="0"/>
              <w:shd w:val="clear" w:color="auto" w:fill="FFFFFF"/>
              <w:autoSpaceDE w:val="0"/>
              <w:autoSpaceDN w:val="0"/>
              <w:adjustRightInd w:val="0"/>
              <w:ind w:left="518"/>
              <w:rPr>
                <w:rFonts w:ascii="Arial" w:hAnsi="Arial" w:cs="Arial"/>
                <w:b/>
                <w:lang w:val="es-CL" w:eastAsia="es-CL"/>
              </w:rPr>
            </w:pPr>
            <w:r w:rsidRPr="008C1D36">
              <w:rPr>
                <w:rFonts w:ascii="Arial" w:hAnsi="Arial" w:cs="Arial"/>
                <w:b/>
                <w:color w:val="000000"/>
                <w:lang w:val="es-ES_tradnl" w:eastAsia="es-CL"/>
              </w:rPr>
              <w:t>Profesionales</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1D36" w:rsidRPr="008C1D36" w:rsidRDefault="008C1D36" w:rsidP="008C1D36">
            <w:pPr>
              <w:widowControl w:val="0"/>
              <w:shd w:val="clear" w:color="auto" w:fill="FFFFFF"/>
              <w:autoSpaceDE w:val="0"/>
              <w:autoSpaceDN w:val="0"/>
              <w:adjustRightInd w:val="0"/>
              <w:ind w:left="900"/>
              <w:rPr>
                <w:rFonts w:ascii="Arial" w:hAnsi="Arial" w:cs="Arial"/>
                <w:b/>
                <w:lang w:val="es-CL" w:eastAsia="es-CL"/>
              </w:rPr>
            </w:pPr>
            <w:r w:rsidRPr="008C1D36">
              <w:rPr>
                <w:rFonts w:ascii="Arial" w:hAnsi="Arial" w:cs="Arial"/>
                <w:b/>
                <w:color w:val="000000"/>
                <w:spacing w:val="-3"/>
                <w:lang w:val="es-ES_tradnl" w:eastAsia="es-CL"/>
              </w:rPr>
              <w:t>Total</w:t>
            </w:r>
          </w:p>
        </w:tc>
      </w:tr>
      <w:tr w:rsidR="008C1D36" w:rsidRPr="008C1D36" w:rsidTr="00475B11">
        <w:trPr>
          <w:trHeight w:hRule="exact" w:val="283"/>
        </w:trPr>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8C1D36" w:rsidRPr="008C1D36" w:rsidRDefault="008C1D36" w:rsidP="00475B11">
            <w:pPr>
              <w:widowControl w:val="0"/>
              <w:autoSpaceDE w:val="0"/>
              <w:autoSpaceDN w:val="0"/>
              <w:adjustRightInd w:val="0"/>
              <w:jc w:val="center"/>
              <w:rPr>
                <w:rFonts w:ascii="Arial" w:hAnsi="Arial" w:cs="Arial"/>
                <w:b/>
                <w:sz w:val="18"/>
                <w:szCs w:val="18"/>
                <w:lang w:val="es-CL" w:eastAsia="es-CL"/>
              </w:rPr>
            </w:pPr>
          </w:p>
          <w:p w:rsidR="008C1D36" w:rsidRPr="008C1D36" w:rsidRDefault="008C1D36" w:rsidP="00475B11">
            <w:pPr>
              <w:widowControl w:val="0"/>
              <w:autoSpaceDE w:val="0"/>
              <w:autoSpaceDN w:val="0"/>
              <w:adjustRightInd w:val="0"/>
              <w:jc w:val="center"/>
              <w:rPr>
                <w:rFonts w:ascii="Arial" w:hAnsi="Arial" w:cs="Arial"/>
                <w:b/>
                <w:sz w:val="18"/>
                <w:szCs w:val="18"/>
                <w:lang w:val="es-CL" w:eastAsia="es-CL"/>
              </w:rPr>
            </w:pPr>
          </w:p>
        </w:tc>
        <w:tc>
          <w:tcPr>
            <w:tcW w:w="1247" w:type="dxa"/>
            <w:tcBorders>
              <w:top w:val="single" w:sz="4" w:space="0" w:color="auto"/>
              <w:left w:val="single" w:sz="4" w:space="0" w:color="auto"/>
              <w:bottom w:val="single" w:sz="4" w:space="0" w:color="auto"/>
              <w:right w:val="single" w:sz="6" w:space="0" w:color="auto"/>
            </w:tcBorders>
            <w:shd w:val="clear" w:color="auto" w:fill="FFFFFF"/>
            <w:vAlign w:val="center"/>
          </w:tcPr>
          <w:p w:rsidR="008C1D36" w:rsidRPr="008C1D36" w:rsidRDefault="008C1D36" w:rsidP="00475B11">
            <w:pPr>
              <w:widowControl w:val="0"/>
              <w:shd w:val="clear" w:color="auto" w:fill="FFFFFF"/>
              <w:autoSpaceDE w:val="0"/>
              <w:autoSpaceDN w:val="0"/>
              <w:adjustRightInd w:val="0"/>
              <w:ind w:left="29" w:right="103"/>
              <w:jc w:val="center"/>
              <w:rPr>
                <w:rFonts w:ascii="Arial" w:hAnsi="Arial" w:cs="Arial"/>
                <w:b/>
                <w:sz w:val="18"/>
                <w:szCs w:val="18"/>
                <w:lang w:val="es-CL" w:eastAsia="es-CL"/>
              </w:rPr>
            </w:pPr>
            <w:r w:rsidRPr="008C1D36">
              <w:rPr>
                <w:rFonts w:ascii="Arial" w:hAnsi="Arial" w:cs="Arial"/>
                <w:b/>
                <w:color w:val="000000"/>
                <w:spacing w:val="-1"/>
                <w:sz w:val="18"/>
                <w:szCs w:val="18"/>
                <w:lang w:val="es-ES_tradnl" w:eastAsia="es-CL"/>
              </w:rPr>
              <w:t>Costo fiscal</w:t>
            </w:r>
          </w:p>
        </w:tc>
        <w:tc>
          <w:tcPr>
            <w:tcW w:w="1247" w:type="dxa"/>
            <w:tcBorders>
              <w:top w:val="single" w:sz="4" w:space="0" w:color="auto"/>
              <w:left w:val="single" w:sz="6" w:space="0" w:color="auto"/>
              <w:bottom w:val="single" w:sz="4" w:space="0" w:color="auto"/>
              <w:right w:val="single" w:sz="6" w:space="0" w:color="auto"/>
            </w:tcBorders>
            <w:shd w:val="clear" w:color="auto" w:fill="FFFFFF"/>
            <w:vAlign w:val="center"/>
          </w:tcPr>
          <w:p w:rsidR="008C1D36" w:rsidRPr="008C1D36" w:rsidRDefault="008C1D36" w:rsidP="00475B11">
            <w:pPr>
              <w:widowControl w:val="0"/>
              <w:shd w:val="clear" w:color="auto" w:fill="FFFFFF"/>
              <w:autoSpaceDE w:val="0"/>
              <w:autoSpaceDN w:val="0"/>
              <w:adjustRightInd w:val="0"/>
              <w:ind w:left="29"/>
              <w:jc w:val="center"/>
              <w:rPr>
                <w:rFonts w:ascii="Arial" w:hAnsi="Arial" w:cs="Arial"/>
                <w:b/>
                <w:sz w:val="18"/>
                <w:szCs w:val="18"/>
                <w:lang w:val="es-CL" w:eastAsia="es-CL"/>
              </w:rPr>
            </w:pPr>
            <w:r w:rsidRPr="008C1D36">
              <w:rPr>
                <w:rFonts w:ascii="Arial" w:hAnsi="Arial" w:cs="Arial"/>
                <w:b/>
                <w:color w:val="000000"/>
                <w:spacing w:val="-2"/>
                <w:sz w:val="18"/>
                <w:szCs w:val="18"/>
                <w:lang w:val="es-ES_tradnl" w:eastAsia="es-CL"/>
              </w:rPr>
              <w:t>Beneficiarios</w:t>
            </w:r>
          </w:p>
        </w:tc>
        <w:tc>
          <w:tcPr>
            <w:tcW w:w="1247" w:type="dxa"/>
            <w:tcBorders>
              <w:top w:val="single" w:sz="4" w:space="0" w:color="auto"/>
              <w:left w:val="single" w:sz="6" w:space="0" w:color="auto"/>
              <w:bottom w:val="single" w:sz="4" w:space="0" w:color="auto"/>
              <w:right w:val="single" w:sz="6" w:space="0" w:color="auto"/>
            </w:tcBorders>
            <w:shd w:val="clear" w:color="auto" w:fill="FFFFFF"/>
            <w:vAlign w:val="center"/>
          </w:tcPr>
          <w:p w:rsidR="008C1D36" w:rsidRPr="008C1D36" w:rsidRDefault="008C1D36" w:rsidP="00475B11">
            <w:pPr>
              <w:widowControl w:val="0"/>
              <w:shd w:val="clear" w:color="auto" w:fill="FFFFFF"/>
              <w:autoSpaceDE w:val="0"/>
              <w:autoSpaceDN w:val="0"/>
              <w:adjustRightInd w:val="0"/>
              <w:jc w:val="center"/>
              <w:rPr>
                <w:rFonts w:ascii="Arial" w:hAnsi="Arial" w:cs="Arial"/>
                <w:b/>
                <w:sz w:val="18"/>
                <w:szCs w:val="18"/>
                <w:lang w:val="es-CL" w:eastAsia="es-CL"/>
              </w:rPr>
            </w:pPr>
            <w:r w:rsidRPr="008C1D36">
              <w:rPr>
                <w:rFonts w:ascii="Arial" w:hAnsi="Arial" w:cs="Arial"/>
                <w:b/>
                <w:color w:val="000000"/>
                <w:spacing w:val="-5"/>
                <w:sz w:val="18"/>
                <w:szCs w:val="18"/>
                <w:lang w:val="es-ES_tradnl" w:eastAsia="es-CL"/>
              </w:rPr>
              <w:t>Costo fiscal</w:t>
            </w:r>
          </w:p>
        </w:tc>
        <w:tc>
          <w:tcPr>
            <w:tcW w:w="1247" w:type="dxa"/>
            <w:tcBorders>
              <w:top w:val="single" w:sz="4" w:space="0" w:color="auto"/>
              <w:left w:val="single" w:sz="6" w:space="0" w:color="auto"/>
              <w:bottom w:val="single" w:sz="4" w:space="0" w:color="auto"/>
              <w:right w:val="single" w:sz="6" w:space="0" w:color="auto"/>
            </w:tcBorders>
            <w:shd w:val="clear" w:color="auto" w:fill="FFFFFF"/>
            <w:vAlign w:val="center"/>
          </w:tcPr>
          <w:p w:rsidR="008C1D36" w:rsidRPr="008C1D36" w:rsidRDefault="008C1D36" w:rsidP="00475B11">
            <w:pPr>
              <w:widowControl w:val="0"/>
              <w:shd w:val="clear" w:color="auto" w:fill="FFFFFF"/>
              <w:autoSpaceDE w:val="0"/>
              <w:autoSpaceDN w:val="0"/>
              <w:adjustRightInd w:val="0"/>
              <w:jc w:val="center"/>
              <w:rPr>
                <w:rFonts w:ascii="Arial" w:hAnsi="Arial" w:cs="Arial"/>
                <w:b/>
                <w:sz w:val="18"/>
                <w:szCs w:val="18"/>
                <w:lang w:val="es-CL" w:eastAsia="es-CL"/>
              </w:rPr>
            </w:pPr>
            <w:r w:rsidRPr="008C1D36">
              <w:rPr>
                <w:rFonts w:ascii="Arial" w:hAnsi="Arial" w:cs="Arial"/>
                <w:b/>
                <w:color w:val="000000"/>
                <w:spacing w:val="-2"/>
                <w:sz w:val="18"/>
                <w:szCs w:val="18"/>
                <w:lang w:val="es-ES_tradnl" w:eastAsia="es-CL"/>
              </w:rPr>
              <w:t>Beneficiarios</w:t>
            </w:r>
          </w:p>
        </w:tc>
        <w:tc>
          <w:tcPr>
            <w:tcW w:w="1247" w:type="dxa"/>
            <w:tcBorders>
              <w:top w:val="single" w:sz="4" w:space="0" w:color="auto"/>
              <w:left w:val="single" w:sz="6" w:space="0" w:color="auto"/>
              <w:bottom w:val="single" w:sz="4" w:space="0" w:color="auto"/>
              <w:right w:val="single" w:sz="6" w:space="0" w:color="auto"/>
            </w:tcBorders>
            <w:shd w:val="clear" w:color="auto" w:fill="FFFFFF"/>
            <w:vAlign w:val="center"/>
          </w:tcPr>
          <w:p w:rsidR="008C1D36" w:rsidRPr="008C1D36" w:rsidRDefault="008C1D36" w:rsidP="00475B11">
            <w:pPr>
              <w:widowControl w:val="0"/>
              <w:shd w:val="clear" w:color="auto" w:fill="FFFFFF"/>
              <w:autoSpaceDE w:val="0"/>
              <w:autoSpaceDN w:val="0"/>
              <w:adjustRightInd w:val="0"/>
              <w:jc w:val="center"/>
              <w:rPr>
                <w:rFonts w:ascii="Arial" w:hAnsi="Arial" w:cs="Arial"/>
                <w:b/>
                <w:sz w:val="18"/>
                <w:szCs w:val="18"/>
                <w:lang w:val="es-CL" w:eastAsia="es-CL"/>
              </w:rPr>
            </w:pPr>
            <w:r w:rsidRPr="008C1D36">
              <w:rPr>
                <w:rFonts w:ascii="Arial" w:hAnsi="Arial" w:cs="Arial"/>
                <w:b/>
                <w:color w:val="000000"/>
                <w:spacing w:val="-5"/>
                <w:sz w:val="18"/>
                <w:szCs w:val="18"/>
                <w:lang w:val="es-ES_tradnl" w:eastAsia="es-CL"/>
              </w:rPr>
              <w:t>Costo fiscal</w:t>
            </w:r>
          </w:p>
        </w:tc>
        <w:tc>
          <w:tcPr>
            <w:tcW w:w="1247" w:type="dxa"/>
            <w:tcBorders>
              <w:top w:val="single" w:sz="4" w:space="0" w:color="auto"/>
              <w:left w:val="single" w:sz="6" w:space="0" w:color="auto"/>
              <w:bottom w:val="single" w:sz="4" w:space="0" w:color="auto"/>
              <w:right w:val="single" w:sz="6" w:space="0" w:color="auto"/>
            </w:tcBorders>
            <w:shd w:val="clear" w:color="auto" w:fill="FFFFFF"/>
            <w:vAlign w:val="center"/>
          </w:tcPr>
          <w:p w:rsidR="008C1D36" w:rsidRPr="008C1D36" w:rsidRDefault="008C1D36" w:rsidP="00475B11">
            <w:pPr>
              <w:widowControl w:val="0"/>
              <w:shd w:val="clear" w:color="auto" w:fill="FFFFFF"/>
              <w:autoSpaceDE w:val="0"/>
              <w:autoSpaceDN w:val="0"/>
              <w:adjustRightInd w:val="0"/>
              <w:ind w:right="7"/>
              <w:jc w:val="center"/>
              <w:rPr>
                <w:rFonts w:ascii="Arial" w:hAnsi="Arial" w:cs="Arial"/>
                <w:b/>
                <w:sz w:val="18"/>
                <w:szCs w:val="18"/>
                <w:lang w:val="es-CL" w:eastAsia="es-CL"/>
              </w:rPr>
            </w:pPr>
            <w:r w:rsidRPr="008C1D36">
              <w:rPr>
                <w:rFonts w:ascii="Arial" w:hAnsi="Arial" w:cs="Arial"/>
                <w:b/>
                <w:color w:val="000000"/>
                <w:spacing w:val="-1"/>
                <w:sz w:val="18"/>
                <w:szCs w:val="18"/>
                <w:lang w:val="es-ES_tradnl" w:eastAsia="es-CL"/>
              </w:rPr>
              <w:t>Beneficiarios</w:t>
            </w:r>
          </w:p>
        </w:tc>
      </w:tr>
      <w:tr w:rsidR="008C1D36" w:rsidRPr="008C1D36" w:rsidTr="00475B11">
        <w:trPr>
          <w:trHeight w:hRule="exact" w:val="259"/>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7"/>
                <w:sz w:val="22"/>
                <w:szCs w:val="22"/>
                <w:lang w:val="es-ES_tradnl" w:eastAsia="es-CL"/>
              </w:rPr>
              <w:t>2017</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Pr>
                <w:rFonts w:ascii="Arial" w:hAnsi="Arial" w:cs="Arial"/>
                <w:sz w:val="22"/>
                <w:szCs w:val="22"/>
                <w:lang w:val="es-CL" w:eastAsia="es-CL"/>
              </w:rPr>
              <w:t>5.398</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300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2.776</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120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8.174</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420</w:t>
            </w:r>
          </w:p>
        </w:tc>
      </w:tr>
      <w:tr w:rsidR="008C1D36" w:rsidRPr="008C1D36" w:rsidTr="00475B11">
        <w:trPr>
          <w:trHeight w:hRule="exact" w:val="266"/>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4"/>
                <w:sz w:val="22"/>
                <w:szCs w:val="22"/>
                <w:lang w:val="es-ES_tradnl" w:eastAsia="es-CL"/>
              </w:rPr>
              <w:t>2018</w:t>
            </w:r>
          </w:p>
        </w:tc>
        <w:tc>
          <w:tcPr>
            <w:tcW w:w="1247" w:type="dxa"/>
            <w:tcBorders>
              <w:top w:val="single" w:sz="4"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Pr>
                <w:rFonts w:ascii="Arial" w:hAnsi="Arial" w:cs="Arial"/>
                <w:sz w:val="22"/>
                <w:szCs w:val="22"/>
                <w:lang w:val="es-CL" w:eastAsia="es-CL"/>
              </w:rPr>
              <w:t>10.796</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600</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3.470</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150</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14.266</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750</w:t>
            </w:r>
          </w:p>
        </w:tc>
      </w:tr>
      <w:tr w:rsidR="008C1D36" w:rsidRPr="008C1D36" w:rsidTr="00475B11">
        <w:trPr>
          <w:trHeight w:hRule="exact" w:val="266"/>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6"/>
                <w:sz w:val="22"/>
                <w:szCs w:val="22"/>
                <w:lang w:val="es-ES_tradnl" w:eastAsia="es-CL"/>
              </w:rPr>
              <w:t>2019</w:t>
            </w:r>
          </w:p>
        </w:tc>
        <w:tc>
          <w:tcPr>
            <w:tcW w:w="1247" w:type="dxa"/>
            <w:tcBorders>
              <w:top w:val="single" w:sz="6"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sz w:val="22"/>
                <w:szCs w:val="22"/>
                <w:lang w:val="es-CL" w:eastAsia="es-CL"/>
              </w:rPr>
              <w:t>11</w:t>
            </w:r>
            <w:r w:rsidRPr="00475B11">
              <w:rPr>
                <w:rFonts w:ascii="Arial" w:hAnsi="Arial" w:cs="Arial"/>
                <w:sz w:val="22"/>
                <w:szCs w:val="22"/>
                <w:lang w:val="es-CL" w:eastAsia="es-CL"/>
              </w:rPr>
              <w:t>.</w:t>
            </w:r>
            <w:r w:rsidRPr="008C1D36">
              <w:rPr>
                <w:rFonts w:ascii="Arial" w:hAnsi="Arial" w:cs="Arial"/>
                <w:sz w:val="22"/>
                <w:szCs w:val="22"/>
                <w:lang w:val="es-CL" w:eastAsia="es-CL"/>
              </w:rPr>
              <w:t>371</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600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3</w:t>
            </w:r>
            <w:r w:rsidR="00475B11">
              <w:rPr>
                <w:rFonts w:ascii="Arial" w:hAnsi="Arial" w:cs="Arial"/>
                <w:color w:val="000000"/>
                <w:sz w:val="22"/>
                <w:szCs w:val="22"/>
                <w:lang w:val="es-ES_tradnl" w:eastAsia="es-CL"/>
              </w:rPr>
              <w:t>.</w:t>
            </w:r>
            <w:r w:rsidRPr="008C1D36">
              <w:rPr>
                <w:rFonts w:ascii="Arial" w:hAnsi="Arial" w:cs="Arial"/>
                <w:color w:val="000000"/>
                <w:sz w:val="22"/>
                <w:szCs w:val="22"/>
                <w:lang w:val="es-ES_tradnl" w:eastAsia="es-CL"/>
              </w:rPr>
              <w:t>483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150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14.854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750</w:t>
            </w:r>
          </w:p>
        </w:tc>
      </w:tr>
      <w:tr w:rsidR="008C1D36" w:rsidRPr="008C1D36" w:rsidTr="00475B11">
        <w:trPr>
          <w:trHeight w:hRule="exact" w:val="266"/>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6"/>
                <w:sz w:val="22"/>
                <w:szCs w:val="22"/>
                <w:lang w:val="es-ES_tradnl" w:eastAsia="es-CL"/>
              </w:rPr>
              <w:t>2020</w:t>
            </w:r>
          </w:p>
        </w:tc>
        <w:tc>
          <w:tcPr>
            <w:tcW w:w="1247" w:type="dxa"/>
            <w:tcBorders>
              <w:top w:val="single" w:sz="6"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sz w:val="22"/>
                <w:szCs w:val="22"/>
                <w:lang w:val="es-CL" w:eastAsia="es-CL"/>
              </w:rPr>
              <w:t>11.644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600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2.245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100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33</w:t>
            </w:r>
            <w:r w:rsidR="00475B11">
              <w:rPr>
                <w:rFonts w:ascii="Arial" w:hAnsi="Arial" w:cs="Arial"/>
                <w:color w:val="000000"/>
                <w:sz w:val="22"/>
                <w:szCs w:val="22"/>
                <w:lang w:val="es-ES_tradnl" w:eastAsia="es-CL"/>
              </w:rPr>
              <w:t>.</w:t>
            </w:r>
            <w:r w:rsidRPr="008C1D36">
              <w:rPr>
                <w:rFonts w:ascii="Arial" w:hAnsi="Arial" w:cs="Arial"/>
                <w:color w:val="000000"/>
                <w:sz w:val="22"/>
                <w:szCs w:val="22"/>
                <w:lang w:val="es-ES_tradnl" w:eastAsia="es-CL"/>
              </w:rPr>
              <w:t>888</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700</w:t>
            </w:r>
          </w:p>
        </w:tc>
      </w:tr>
      <w:tr w:rsidR="008C1D36" w:rsidRPr="008C1D36" w:rsidTr="00475B11">
        <w:trPr>
          <w:trHeight w:hRule="exact" w:val="266"/>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7"/>
                <w:sz w:val="22"/>
                <w:szCs w:val="22"/>
                <w:lang w:val="es-ES_tradnl" w:eastAsia="es-CL"/>
              </w:rPr>
              <w:t>2021</w:t>
            </w:r>
          </w:p>
        </w:tc>
        <w:tc>
          <w:tcPr>
            <w:tcW w:w="1247" w:type="dxa"/>
            <w:tcBorders>
              <w:top w:val="single" w:sz="6"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sz w:val="22"/>
                <w:szCs w:val="22"/>
                <w:lang w:val="es-CL" w:eastAsia="es-CL"/>
              </w:rPr>
              <w:t>11.256</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600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2.315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100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13</w:t>
            </w:r>
            <w:r w:rsidR="00475B11">
              <w:rPr>
                <w:rFonts w:ascii="Arial" w:hAnsi="Arial" w:cs="Arial"/>
                <w:color w:val="000000"/>
                <w:sz w:val="22"/>
                <w:szCs w:val="22"/>
                <w:lang w:val="es-ES_tradnl" w:eastAsia="es-CL"/>
              </w:rPr>
              <w:t>.</w:t>
            </w:r>
            <w:r w:rsidRPr="008C1D36">
              <w:rPr>
                <w:rFonts w:ascii="Arial" w:hAnsi="Arial" w:cs="Arial"/>
                <w:color w:val="000000"/>
                <w:sz w:val="22"/>
                <w:szCs w:val="22"/>
                <w:lang w:val="es-ES_tradnl" w:eastAsia="es-CL"/>
              </w:rPr>
              <w:t>572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70</w:t>
            </w:r>
            <w:r w:rsidR="00475B11">
              <w:rPr>
                <w:rFonts w:ascii="Arial" w:hAnsi="Arial" w:cs="Arial"/>
                <w:color w:val="000000"/>
                <w:sz w:val="22"/>
                <w:szCs w:val="22"/>
                <w:lang w:val="es-ES_tradnl" w:eastAsia="es-CL"/>
              </w:rPr>
              <w:t>0</w:t>
            </w:r>
          </w:p>
        </w:tc>
      </w:tr>
      <w:tr w:rsidR="008C1D36" w:rsidRPr="008C1D36" w:rsidTr="00475B11">
        <w:trPr>
          <w:trHeight w:hRule="exact" w:val="259"/>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6"/>
                <w:sz w:val="22"/>
                <w:szCs w:val="22"/>
                <w:lang w:val="es-ES_tradnl" w:eastAsia="es-CL"/>
              </w:rPr>
              <w:t>2022</w:t>
            </w:r>
          </w:p>
        </w:tc>
        <w:tc>
          <w:tcPr>
            <w:tcW w:w="1247" w:type="dxa"/>
            <w:tcBorders>
              <w:top w:val="single" w:sz="6"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sz w:val="22"/>
                <w:szCs w:val="22"/>
                <w:lang w:val="es-CL" w:eastAsia="es-CL"/>
              </w:rPr>
              <w:t>7</w:t>
            </w:r>
            <w:r w:rsidRPr="00475B11">
              <w:rPr>
                <w:rFonts w:ascii="Arial" w:hAnsi="Arial" w:cs="Arial"/>
                <w:sz w:val="22"/>
                <w:szCs w:val="22"/>
                <w:lang w:val="es-CL" w:eastAsia="es-CL"/>
              </w:rPr>
              <w:t>.</w:t>
            </w:r>
            <w:r w:rsidRPr="008C1D36">
              <w:rPr>
                <w:rFonts w:ascii="Arial" w:hAnsi="Arial" w:cs="Arial"/>
                <w:sz w:val="22"/>
                <w:szCs w:val="22"/>
                <w:lang w:val="es-CL" w:eastAsia="es-CL"/>
              </w:rPr>
              <w:t>504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400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2</w:t>
            </w:r>
            <w:r w:rsidR="00475B11">
              <w:rPr>
                <w:rFonts w:ascii="Arial" w:hAnsi="Arial" w:cs="Arial"/>
                <w:color w:val="000000"/>
                <w:sz w:val="22"/>
                <w:szCs w:val="22"/>
                <w:lang w:val="es-ES_tradnl" w:eastAsia="es-CL"/>
              </w:rPr>
              <w:t>.</w:t>
            </w:r>
            <w:r w:rsidRPr="008C1D36">
              <w:rPr>
                <w:rFonts w:ascii="Arial" w:hAnsi="Arial" w:cs="Arial"/>
                <w:color w:val="000000"/>
                <w:sz w:val="22"/>
                <w:szCs w:val="22"/>
                <w:lang w:val="es-ES_tradnl" w:eastAsia="es-CL"/>
              </w:rPr>
              <w:t>307</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100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9.811</w:t>
            </w:r>
          </w:p>
        </w:tc>
        <w:tc>
          <w:tcPr>
            <w:tcW w:w="1247" w:type="dxa"/>
            <w:tcBorders>
              <w:top w:val="single" w:sz="6" w:space="0" w:color="auto"/>
              <w:left w:val="single" w:sz="6" w:space="0" w:color="auto"/>
              <w:bottom w:val="single" w:sz="6" w:space="0" w:color="auto"/>
              <w:right w:val="nil"/>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500</w:t>
            </w:r>
          </w:p>
        </w:tc>
      </w:tr>
      <w:tr w:rsidR="008C1D36" w:rsidRPr="008C1D36" w:rsidTr="00475B11">
        <w:trPr>
          <w:trHeight w:hRule="exact" w:val="266"/>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7"/>
                <w:sz w:val="22"/>
                <w:szCs w:val="22"/>
                <w:lang w:val="es-ES_tradnl" w:eastAsia="es-CL"/>
              </w:rPr>
              <w:t>2023</w:t>
            </w:r>
          </w:p>
        </w:tc>
        <w:tc>
          <w:tcPr>
            <w:tcW w:w="1247" w:type="dxa"/>
            <w:tcBorders>
              <w:top w:val="single" w:sz="6"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sz w:val="22"/>
                <w:szCs w:val="22"/>
                <w:lang w:val="es-CL" w:eastAsia="es-CL"/>
              </w:rPr>
              <w:t>6</w:t>
            </w:r>
            <w:r w:rsidRPr="00475B11">
              <w:rPr>
                <w:rFonts w:ascii="Arial" w:hAnsi="Arial" w:cs="Arial"/>
                <w:sz w:val="22"/>
                <w:szCs w:val="22"/>
                <w:lang w:val="es-CL" w:eastAsia="es-CL"/>
              </w:rPr>
              <w:t>.</w:t>
            </w:r>
            <w:r w:rsidRPr="008C1D36">
              <w:rPr>
                <w:rFonts w:ascii="Arial" w:hAnsi="Arial" w:cs="Arial"/>
                <w:sz w:val="22"/>
                <w:szCs w:val="22"/>
                <w:lang w:val="es-CL" w:eastAsia="es-CL"/>
              </w:rPr>
              <w:t>309</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350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2.092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90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8.402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440</w:t>
            </w:r>
          </w:p>
        </w:tc>
      </w:tr>
      <w:tr w:rsidR="008C1D36" w:rsidRPr="008C1D36" w:rsidTr="00475B11">
        <w:trPr>
          <w:trHeight w:hRule="exact" w:val="266"/>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sz w:val="22"/>
                <w:szCs w:val="22"/>
                <w:lang w:val="es-CL" w:eastAsia="es-CL"/>
              </w:rPr>
            </w:pPr>
            <w:r w:rsidRPr="008C1D36">
              <w:rPr>
                <w:rFonts w:ascii="Arial" w:hAnsi="Arial" w:cs="Arial"/>
                <w:color w:val="000000"/>
                <w:spacing w:val="-7"/>
                <w:sz w:val="22"/>
                <w:szCs w:val="22"/>
                <w:lang w:val="es-ES_tradnl" w:eastAsia="es-CL"/>
              </w:rPr>
              <w:t>202</w:t>
            </w:r>
            <w:r w:rsidR="00475B11">
              <w:rPr>
                <w:rFonts w:ascii="Arial" w:hAnsi="Arial" w:cs="Arial"/>
                <w:color w:val="000000"/>
                <w:spacing w:val="-4"/>
                <w:w w:val="120"/>
                <w:sz w:val="22"/>
                <w:szCs w:val="22"/>
                <w:lang w:val="es-ES_tradnl" w:eastAsia="es-CL"/>
              </w:rPr>
              <w:t>4</w:t>
            </w:r>
            <w:r w:rsidRPr="008C1D36">
              <w:rPr>
                <w:rFonts w:ascii="Arial" w:hAnsi="Arial" w:cs="Arial"/>
                <w:color w:val="000000"/>
                <w:spacing w:val="-4"/>
                <w:w w:val="120"/>
                <w:sz w:val="22"/>
                <w:szCs w:val="22"/>
                <w:lang w:val="es-ES_tradnl" w:eastAsia="es-CL"/>
              </w:rPr>
              <w:t>4</w:t>
            </w:r>
          </w:p>
        </w:tc>
        <w:tc>
          <w:tcPr>
            <w:tcW w:w="1247" w:type="dxa"/>
            <w:tcBorders>
              <w:top w:val="single" w:sz="6" w:space="0" w:color="auto"/>
              <w:left w:val="single" w:sz="4" w:space="0" w:color="auto"/>
              <w:bottom w:val="single" w:sz="6"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sz w:val="22"/>
                <w:szCs w:val="22"/>
                <w:lang w:val="es-CL" w:eastAsia="es-CL"/>
              </w:rPr>
              <w:t>6.087</w:t>
            </w:r>
          </w:p>
        </w:tc>
        <w:tc>
          <w:tcPr>
            <w:tcW w:w="1247" w:type="dxa"/>
            <w:tcBorders>
              <w:top w:val="single" w:sz="6"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350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2.139</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90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color w:val="000000"/>
                <w:sz w:val="22"/>
                <w:szCs w:val="22"/>
                <w:lang w:val="es-ES_tradnl" w:eastAsia="es-CL"/>
              </w:rPr>
            </w:pPr>
            <w:r w:rsidRPr="008C1D36">
              <w:rPr>
                <w:rFonts w:ascii="Arial" w:hAnsi="Arial" w:cs="Arial"/>
                <w:color w:val="000000"/>
                <w:sz w:val="22"/>
                <w:szCs w:val="22"/>
                <w:lang w:val="es-ES_tradnl" w:eastAsia="es-CL"/>
              </w:rPr>
              <w:t>8.225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sz w:val="22"/>
                <w:szCs w:val="22"/>
                <w:lang w:val="es-CL" w:eastAsia="es-CL"/>
              </w:rPr>
            </w:pPr>
            <w:r w:rsidRPr="008C1D36">
              <w:rPr>
                <w:rFonts w:ascii="Arial" w:hAnsi="Arial" w:cs="Arial"/>
                <w:color w:val="000000"/>
                <w:sz w:val="22"/>
                <w:szCs w:val="22"/>
                <w:lang w:val="es-ES_tradnl" w:eastAsia="es-CL"/>
              </w:rPr>
              <w:t>440</w:t>
            </w:r>
          </w:p>
        </w:tc>
      </w:tr>
      <w:tr w:rsidR="008C1D36" w:rsidRPr="00475B11" w:rsidTr="00475B11">
        <w:trPr>
          <w:trHeight w:hRule="exact" w:val="281"/>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rPr>
                <w:rFonts w:ascii="Arial" w:hAnsi="Arial" w:cs="Arial"/>
                <w:b/>
                <w:sz w:val="22"/>
                <w:szCs w:val="22"/>
                <w:lang w:val="es-CL" w:eastAsia="es-CL"/>
              </w:rPr>
            </w:pPr>
            <w:r w:rsidRPr="008C1D36">
              <w:rPr>
                <w:rFonts w:ascii="Arial" w:hAnsi="Arial" w:cs="Arial"/>
                <w:b/>
                <w:color w:val="000000"/>
                <w:spacing w:val="-2"/>
                <w:sz w:val="22"/>
                <w:szCs w:val="22"/>
                <w:lang w:val="es-ES_tradnl" w:eastAsia="es-CL"/>
              </w:rPr>
              <w:t>Total</w:t>
            </w:r>
          </w:p>
        </w:tc>
        <w:tc>
          <w:tcPr>
            <w:tcW w:w="1247" w:type="dxa"/>
            <w:tcBorders>
              <w:top w:val="single" w:sz="6" w:space="0" w:color="auto"/>
              <w:left w:val="single" w:sz="4" w:space="0" w:color="auto"/>
              <w:bottom w:val="single" w:sz="6" w:space="0" w:color="auto"/>
              <w:right w:val="single" w:sz="4"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b/>
                <w:sz w:val="22"/>
                <w:szCs w:val="22"/>
                <w:lang w:val="es-CL" w:eastAsia="es-CL"/>
              </w:rPr>
            </w:pPr>
            <w:r w:rsidRPr="008C1D36">
              <w:rPr>
                <w:rFonts w:ascii="Arial" w:hAnsi="Arial" w:cs="Arial"/>
                <w:b/>
                <w:color w:val="000000"/>
                <w:sz w:val="22"/>
                <w:szCs w:val="22"/>
                <w:lang w:val="es-ES_tradnl" w:eastAsia="es-CL"/>
              </w:rPr>
              <w:t>70.366</w:t>
            </w:r>
          </w:p>
        </w:tc>
        <w:tc>
          <w:tcPr>
            <w:tcW w:w="1247" w:type="dxa"/>
            <w:tcBorders>
              <w:top w:val="single" w:sz="6" w:space="0" w:color="auto"/>
              <w:left w:val="single" w:sz="4"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b/>
                <w:color w:val="000000"/>
                <w:sz w:val="22"/>
                <w:szCs w:val="22"/>
                <w:lang w:val="es-ES_tradnl" w:eastAsia="es-CL"/>
              </w:rPr>
            </w:pPr>
            <w:r w:rsidRPr="008C1D36">
              <w:rPr>
                <w:rFonts w:ascii="Arial" w:hAnsi="Arial" w:cs="Arial"/>
                <w:b/>
                <w:color w:val="000000"/>
                <w:sz w:val="22"/>
                <w:szCs w:val="22"/>
                <w:lang w:val="es-ES_tradnl" w:eastAsia="es-CL"/>
              </w:rPr>
              <w:t>3.800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b/>
                <w:color w:val="000000"/>
                <w:sz w:val="22"/>
                <w:szCs w:val="22"/>
                <w:lang w:val="es-ES_tradnl" w:eastAsia="es-CL"/>
              </w:rPr>
            </w:pPr>
            <w:r w:rsidRPr="008C1D36">
              <w:rPr>
                <w:rFonts w:ascii="Arial" w:hAnsi="Arial" w:cs="Arial"/>
                <w:b/>
                <w:color w:val="000000"/>
                <w:sz w:val="22"/>
                <w:szCs w:val="22"/>
                <w:lang w:val="es-ES_tradnl" w:eastAsia="es-CL"/>
              </w:rPr>
              <w:t>20.827</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b/>
                <w:color w:val="000000"/>
                <w:sz w:val="22"/>
                <w:szCs w:val="22"/>
                <w:lang w:val="es-ES_tradnl" w:eastAsia="es-CL"/>
              </w:rPr>
            </w:pPr>
            <w:r w:rsidRPr="008C1D36">
              <w:rPr>
                <w:rFonts w:ascii="Arial" w:hAnsi="Arial" w:cs="Arial"/>
                <w:b/>
                <w:color w:val="000000"/>
                <w:sz w:val="22"/>
                <w:szCs w:val="22"/>
                <w:lang w:val="es-ES_tradnl" w:eastAsia="es-CL"/>
              </w:rPr>
              <w:t>900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b/>
                <w:color w:val="000000"/>
                <w:sz w:val="22"/>
                <w:szCs w:val="22"/>
                <w:lang w:val="es-ES_tradnl" w:eastAsia="es-CL"/>
              </w:rPr>
            </w:pPr>
            <w:r w:rsidRPr="008C1D36">
              <w:rPr>
                <w:rFonts w:ascii="Arial" w:hAnsi="Arial" w:cs="Arial"/>
                <w:b/>
                <w:color w:val="000000"/>
                <w:sz w:val="22"/>
                <w:szCs w:val="22"/>
                <w:lang w:val="es-ES_tradnl" w:eastAsia="es-CL"/>
              </w:rPr>
              <w:t>91.193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C1D36" w:rsidRPr="008C1D36" w:rsidRDefault="008C1D36" w:rsidP="00475B11">
            <w:pPr>
              <w:widowControl w:val="0"/>
              <w:shd w:val="clear" w:color="auto" w:fill="FFFFFF"/>
              <w:autoSpaceDE w:val="0"/>
              <w:autoSpaceDN w:val="0"/>
              <w:adjustRightInd w:val="0"/>
              <w:ind w:right="57"/>
              <w:jc w:val="right"/>
              <w:rPr>
                <w:rFonts w:ascii="Arial" w:hAnsi="Arial" w:cs="Arial"/>
                <w:b/>
                <w:color w:val="000000"/>
                <w:sz w:val="22"/>
                <w:szCs w:val="22"/>
                <w:lang w:val="es-ES_tradnl" w:eastAsia="es-CL"/>
              </w:rPr>
            </w:pPr>
            <w:r w:rsidRPr="008C1D36">
              <w:rPr>
                <w:rFonts w:ascii="Arial" w:hAnsi="Arial" w:cs="Arial"/>
                <w:b/>
                <w:color w:val="000000"/>
                <w:sz w:val="22"/>
                <w:szCs w:val="22"/>
                <w:lang w:val="es-ES_tradnl" w:eastAsia="es-CL"/>
              </w:rPr>
              <w:t>4.700</w:t>
            </w:r>
          </w:p>
        </w:tc>
      </w:tr>
    </w:tbl>
    <w:p w:rsidR="00C91BEC" w:rsidRDefault="008C1D36" w:rsidP="008C1D36">
      <w:pPr>
        <w:pStyle w:val="Textoindependiente2"/>
        <w:tabs>
          <w:tab w:val="clear" w:pos="3119"/>
          <w:tab w:val="left" w:pos="709"/>
        </w:tabs>
        <w:spacing w:before="120" w:after="0"/>
        <w:ind w:right="0"/>
      </w:pPr>
      <w:r>
        <w:tab/>
        <w:t>Finalmente, hace presente que e</w:t>
      </w:r>
      <w:r w:rsidR="00C91BEC">
        <w:t>l mayor gasto fiscal que represente la aplicación de Ja presente ley, durante su primer año presupuestario de vigencia, se financiará con cargo al presupuesto del Ministerio de Educación. No obstante lo anterior, et Ministerio de Hacienda, con cargo a la partida presupuestaria del Tesoro Público, podrá suplementar dicho presupuesto en la parte del gasto que no se pudiere financiar con esos recursos. Para los años siguientes se consultarán los recursos en la Ley de Presupuestos del Sector Público.</w:t>
      </w:r>
    </w:p>
    <w:p w:rsidR="00763043" w:rsidRDefault="00426034" w:rsidP="00C91BEC">
      <w:pPr>
        <w:pStyle w:val="Ttulo2"/>
        <w:tabs>
          <w:tab w:val="left" w:pos="709"/>
        </w:tabs>
      </w:pPr>
      <w:bookmarkStart w:id="65" w:name="_Toc400351710"/>
      <w:bookmarkStart w:id="66" w:name="_Toc487615173"/>
      <w:bookmarkStart w:id="67" w:name="_Toc81655375"/>
      <w:bookmarkStart w:id="68" w:name="_Toc106429773"/>
      <w:bookmarkStart w:id="69" w:name="_Toc148515256"/>
      <w:bookmarkEnd w:id="60"/>
      <w:r>
        <w:t>D</w:t>
      </w:r>
      <w:r w:rsidR="00763043">
        <w:t>) Incidencia en la legislación vigente.</w:t>
      </w:r>
      <w:bookmarkEnd w:id="65"/>
      <w:bookmarkEnd w:id="66"/>
    </w:p>
    <w:p w:rsidR="00B917CF" w:rsidRDefault="006E25EA" w:rsidP="00B917CF">
      <w:pPr>
        <w:pStyle w:val="Ttulo3"/>
      </w:pPr>
      <w:bookmarkStart w:id="70" w:name="_Toc400351711"/>
      <w:bookmarkStart w:id="71" w:name="_Toc487615174"/>
      <w:bookmarkEnd w:id="67"/>
      <w:bookmarkEnd w:id="68"/>
      <w:bookmarkEnd w:id="69"/>
      <w:r>
        <w:t>1.</w:t>
      </w:r>
      <w:r w:rsidR="00951EDA">
        <w:t xml:space="preserve"> L</w:t>
      </w:r>
      <w:r w:rsidR="004F111B">
        <w:t>a l</w:t>
      </w:r>
      <w:r w:rsidR="00951EDA">
        <w:t>ey N° 20.374</w:t>
      </w:r>
      <w:r>
        <w:t>.</w:t>
      </w:r>
      <w:bookmarkEnd w:id="70"/>
      <w:bookmarkEnd w:id="71"/>
    </w:p>
    <w:p w:rsidR="004F111B" w:rsidRDefault="00B917CF" w:rsidP="00B917CF">
      <w:pPr>
        <w:pStyle w:val="Textoindependiente2"/>
        <w:tabs>
          <w:tab w:val="left" w:pos="709"/>
        </w:tabs>
        <w:spacing w:before="120" w:after="0"/>
        <w:ind w:right="0"/>
      </w:pPr>
      <w:r>
        <w:tab/>
      </w:r>
      <w:r w:rsidR="00951EDA">
        <w:t xml:space="preserve">Esta ley </w:t>
      </w:r>
      <w:r w:rsidR="004F111B">
        <w:t>faculta a las universidades estatales para establecer ciertos mecanismos de incentivo al retiro para sus funcionarios con el objeto de renovar sus plantas de personal académico y no académico y conceder a dicho personal otros beneficios.</w:t>
      </w:r>
    </w:p>
    <w:p w:rsidR="00B917CF" w:rsidRDefault="006E25EA" w:rsidP="00B917CF">
      <w:pPr>
        <w:pStyle w:val="Ttulo3"/>
      </w:pPr>
      <w:bookmarkStart w:id="72" w:name="_Toc400351712"/>
      <w:bookmarkStart w:id="73" w:name="_Toc487615175"/>
      <w:r w:rsidRPr="004F111B">
        <w:t xml:space="preserve">2. </w:t>
      </w:r>
      <w:r w:rsidR="00A512C4" w:rsidRPr="004F111B">
        <w:t>L</w:t>
      </w:r>
      <w:r w:rsidR="004F111B">
        <w:t>a l</w:t>
      </w:r>
      <w:r w:rsidRPr="004F111B">
        <w:t>ey N° 2</w:t>
      </w:r>
      <w:r w:rsidR="00A512C4" w:rsidRPr="004F111B">
        <w:t>0.3</w:t>
      </w:r>
      <w:r w:rsidR="00951EDA" w:rsidRPr="004F111B">
        <w:t>05</w:t>
      </w:r>
      <w:r w:rsidRPr="004F111B">
        <w:t>.</w:t>
      </w:r>
      <w:bookmarkEnd w:id="72"/>
      <w:bookmarkEnd w:id="73"/>
    </w:p>
    <w:p w:rsidR="00A512C4" w:rsidRDefault="00B917CF" w:rsidP="00B917CF">
      <w:pPr>
        <w:pStyle w:val="Textoindependiente2"/>
        <w:tabs>
          <w:tab w:val="left" w:pos="709"/>
        </w:tabs>
        <w:spacing w:before="120" w:after="0"/>
        <w:ind w:right="0"/>
      </w:pPr>
      <w:r>
        <w:tab/>
      </w:r>
      <w:r w:rsidR="006E25EA">
        <w:t>Est</w:t>
      </w:r>
      <w:r w:rsidR="00A512C4">
        <w:t>a</w:t>
      </w:r>
      <w:r w:rsidR="006E25EA">
        <w:t xml:space="preserve"> </w:t>
      </w:r>
      <w:r w:rsidR="00A512C4">
        <w:t>l</w:t>
      </w:r>
      <w:r w:rsidR="006E25EA">
        <w:t>ey</w:t>
      </w:r>
      <w:r w:rsidR="003D6FA5">
        <w:t xml:space="preserve"> mejora </w:t>
      </w:r>
      <w:r w:rsidR="004F111B">
        <w:t xml:space="preserve">las </w:t>
      </w:r>
      <w:r w:rsidR="003D6FA5">
        <w:t>condiciones de retiro de los trabajadores del sector público con bajas tasas de reemplazo de sus pensiones.</w:t>
      </w:r>
      <w:r w:rsidR="00CD43ED">
        <w:t xml:space="preserve">  Para tales efectos, establece un bono de naturaleza laboral de $</w:t>
      </w:r>
      <w:r w:rsidR="00EF4E1A">
        <w:t xml:space="preserve"> </w:t>
      </w:r>
      <w:r w:rsidR="00CD43ED">
        <w:t>50.000 mensuales.</w:t>
      </w:r>
    </w:p>
    <w:p w:rsidR="00B917CF" w:rsidRDefault="00FF5A75" w:rsidP="00B917CF">
      <w:pPr>
        <w:pStyle w:val="Ttulo3"/>
      </w:pPr>
      <w:bookmarkStart w:id="74" w:name="_Toc487615176"/>
      <w:r>
        <w:t xml:space="preserve">3. </w:t>
      </w:r>
      <w:r w:rsidR="004F111B">
        <w:t>El d</w:t>
      </w:r>
      <w:r>
        <w:t>ecreto ley N° 3.500, de 1980</w:t>
      </w:r>
      <w:r w:rsidR="00B917CF">
        <w:t>.</w:t>
      </w:r>
      <w:bookmarkEnd w:id="74"/>
    </w:p>
    <w:p w:rsidR="00FF5A75" w:rsidRDefault="00B917CF" w:rsidP="00B917CF">
      <w:pPr>
        <w:pStyle w:val="Textoindependiente2"/>
        <w:tabs>
          <w:tab w:val="left" w:pos="709"/>
        </w:tabs>
        <w:spacing w:before="120" w:after="0"/>
        <w:ind w:right="0"/>
      </w:pPr>
      <w:r>
        <w:tab/>
        <w:t>E</w:t>
      </w:r>
      <w:r w:rsidR="004F111B" w:rsidRPr="004F111B">
        <w:t>stablece nuevo sistema de pensiones</w:t>
      </w:r>
      <w:r w:rsidR="004F111B">
        <w:t>. Crea un Sistema de Pensiones de Vejez, de Invalidez y Sobrevivencia derivado de la capitalización individual, la que se efectúa en organismos denominados Administradoras de Fondos de Pensiones.</w:t>
      </w:r>
    </w:p>
    <w:p w:rsidR="00A85E57" w:rsidRDefault="00B63032" w:rsidP="00C91BEC">
      <w:pPr>
        <w:pStyle w:val="Ttulo1"/>
        <w:tabs>
          <w:tab w:val="left" w:pos="709"/>
        </w:tabs>
        <w:spacing w:before="600"/>
        <w:jc w:val="both"/>
        <w:rPr>
          <w:rFonts w:cs="Arial"/>
        </w:rPr>
      </w:pPr>
      <w:bookmarkStart w:id="75" w:name="_Toc81655391"/>
      <w:bookmarkStart w:id="76" w:name="_Toc106429784"/>
      <w:bookmarkStart w:id="77" w:name="_Toc148515272"/>
      <w:bookmarkStart w:id="78" w:name="_Toc400351720"/>
      <w:bookmarkStart w:id="79" w:name="_Toc487615177"/>
      <w:bookmarkEnd w:id="61"/>
      <w:bookmarkEnd w:id="62"/>
      <w:r>
        <w:rPr>
          <w:rFonts w:cs="Arial"/>
        </w:rPr>
        <w:t>I</w:t>
      </w:r>
      <w:r w:rsidR="004B5CE6">
        <w:rPr>
          <w:rFonts w:cs="Arial"/>
        </w:rPr>
        <w:t>II</w:t>
      </w:r>
      <w:r w:rsidR="00A85E57">
        <w:rPr>
          <w:rFonts w:cs="Arial"/>
        </w:rPr>
        <w:t>. DISCUSIÓN Y VOTACIÓN DEL PROYECTO.</w:t>
      </w:r>
      <w:bookmarkEnd w:id="75"/>
      <w:bookmarkEnd w:id="76"/>
      <w:bookmarkEnd w:id="77"/>
      <w:bookmarkEnd w:id="78"/>
      <w:bookmarkEnd w:id="79"/>
    </w:p>
    <w:p w:rsidR="00683C55" w:rsidRPr="003D761B" w:rsidRDefault="00683C55" w:rsidP="00683C55">
      <w:pPr>
        <w:pStyle w:val="Ttulo2"/>
      </w:pPr>
      <w:bookmarkStart w:id="80" w:name="_Toc400351778"/>
      <w:bookmarkStart w:id="81" w:name="_Toc487615178"/>
      <w:r>
        <w:t>A) E</w:t>
      </w:r>
      <w:r w:rsidRPr="003D761B">
        <w:t>n general.</w:t>
      </w:r>
      <w:bookmarkEnd w:id="80"/>
      <w:bookmarkEnd w:id="81"/>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La</w:t>
      </w:r>
      <w:r>
        <w:rPr>
          <w:rFonts w:ascii="Arial" w:hAnsi="Arial"/>
          <w:sz w:val="24"/>
          <w:szCs w:val="24"/>
        </w:rPr>
        <w:t xml:space="preserve"> </w:t>
      </w:r>
      <w:r w:rsidRPr="00500C63">
        <w:rPr>
          <w:rFonts w:ascii="Arial" w:hAnsi="Arial"/>
          <w:sz w:val="24"/>
          <w:szCs w:val="24"/>
        </w:rPr>
        <w:t>Ministra</w:t>
      </w:r>
      <w:r>
        <w:rPr>
          <w:rFonts w:ascii="Arial" w:hAnsi="Arial"/>
          <w:sz w:val="24"/>
          <w:szCs w:val="24"/>
        </w:rPr>
        <w:t xml:space="preserve"> señora Adriana</w:t>
      </w:r>
      <w:r w:rsidRPr="00500C63">
        <w:rPr>
          <w:rFonts w:ascii="Arial" w:hAnsi="Arial"/>
          <w:sz w:val="24"/>
          <w:szCs w:val="24"/>
        </w:rPr>
        <w:t xml:space="preserve"> </w:t>
      </w:r>
      <w:r w:rsidRPr="00500C63">
        <w:rPr>
          <w:rFonts w:ascii="Arial" w:hAnsi="Arial"/>
          <w:b/>
          <w:sz w:val="24"/>
          <w:szCs w:val="24"/>
        </w:rPr>
        <w:t>Delpiano</w:t>
      </w:r>
      <w:r w:rsidRPr="00500C63">
        <w:rPr>
          <w:rFonts w:ascii="Arial" w:hAnsi="Arial"/>
          <w:sz w:val="24"/>
          <w:szCs w:val="24"/>
        </w:rPr>
        <w:t xml:space="preserve"> presentó el proyecto de ley de la suma</w:t>
      </w:r>
      <w:r w:rsidR="00347329">
        <w:rPr>
          <w:rFonts w:ascii="Arial" w:hAnsi="Arial"/>
          <w:sz w:val="24"/>
          <w:szCs w:val="24"/>
        </w:rPr>
        <w:t xml:space="preserve"> en la sesión </w:t>
      </w:r>
      <w:hyperlink r:id="rId11" w:history="1">
        <w:r w:rsidR="00347329" w:rsidRPr="00582DE6">
          <w:rPr>
            <w:rStyle w:val="Hipervnculo"/>
            <w:rFonts w:ascii="Arial" w:hAnsi="Arial"/>
            <w:sz w:val="24"/>
            <w:szCs w:val="24"/>
          </w:rPr>
          <w:t>288</w:t>
        </w:r>
        <w:r w:rsidR="00347329" w:rsidRPr="00582DE6">
          <w:rPr>
            <w:rStyle w:val="Hipervnculo"/>
            <w:rFonts w:ascii="Arial" w:hAnsi="Arial" w:cs="Arial"/>
            <w:sz w:val="24"/>
            <w:szCs w:val="24"/>
          </w:rPr>
          <w:t>ª</w:t>
        </w:r>
      </w:hyperlink>
      <w:r w:rsidR="00347329">
        <w:rPr>
          <w:rFonts w:ascii="Arial" w:hAnsi="Arial" w:cs="Arial"/>
          <w:sz w:val="24"/>
          <w:szCs w:val="24"/>
        </w:rPr>
        <w:t>,</w:t>
      </w:r>
      <w:r w:rsidR="00347329">
        <w:rPr>
          <w:rFonts w:ascii="Arial" w:hAnsi="Arial"/>
          <w:sz w:val="24"/>
          <w:szCs w:val="24"/>
        </w:rPr>
        <w:t xml:space="preserve"> de fecha 4 de julio de 2017</w:t>
      </w:r>
      <w:r w:rsidRPr="00500C63">
        <w:rPr>
          <w:rFonts w:ascii="Arial" w:hAnsi="Arial"/>
          <w:sz w:val="24"/>
          <w:szCs w:val="24"/>
        </w:rPr>
        <w:t>, señalando que las</w:t>
      </w:r>
      <w:r>
        <w:rPr>
          <w:rFonts w:ascii="Arial" w:hAnsi="Arial"/>
          <w:sz w:val="24"/>
          <w:szCs w:val="24"/>
        </w:rPr>
        <w:t xml:space="preserve"> </w:t>
      </w:r>
      <w:r w:rsidRPr="00500C63">
        <w:rPr>
          <w:rFonts w:ascii="Arial" w:hAnsi="Arial"/>
          <w:sz w:val="24"/>
          <w:szCs w:val="24"/>
        </w:rPr>
        <w:t>universidades estatales requieren de un proceso de renovación y modernización permanente del conocimiento, que se expresa, antes que nada, en su personal, quienes dan forma y contenido a la función social que cumplen. Este proceso debe ser asumido tanto desde las propias instituciones, como desde el Gobierno en lo que se refiere al diseño y aplicación de políticas públicas de fomento de la educación superior.</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Recordó que la ley N° 20.374 fue la última norma que reguló el incentivo al retiro tanto de funcionarios no académicos como de académicos y directivos. A partir de ella se facultó a los planteles estatales para que, a contar del 1 de enero de 2012, pudieran establecer, con cargo a sus recursos propios, un beneficio compensatorio equivalente a un mes de remuneraciones imponibles por cada año de servicio y fracción superior a seis meses, con un máximo de once meses, respecto del personal no académico, profesional, directivo y académico, sea que sirvieran sus cargos en calidad de planta o a contrata, siempre que presentaran su renuncia voluntaria como funcionarios de la universidad, respecto del total de horas que sirvan en virtud de sus nombramientos o contratos dentro de los 180 días siguientes al cumplimiento de los 65 años de edad. En el caso de las mujeres, se puede impetrar el beneficio desde que cumplan 60 años de edad y hasta los 180 días siguientes al límite de edad precitado.</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En la línea de continuar y profundizar el proceso de modernización de la política de recursos humanos de las universidades estatales, el 3 de marzo de 2017, el Gobierno suscribió un protocolo de acuerdo con el Consorcio de las Universidades del Estado de Chile CUECH y las Federaciones de Académicos (FAUECH) y Federación de Profesionales (FENAPTUECH). Dicho protocolo se refiere al plan de incentivo al retiro que beneficiará al personal académico, directivo y profesional de las universidades del Estado que se encuentran en edad de pensionarse por vejez, lo cual incluye a los beneficiarios, los requisitos y cupos para obtener el beneficio, los procedimientos que se deben seguir, entre otros aspectos.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En cuanto al contenido del proyecto, se refirió a los beneficiarios y los requisitos que deben cumplir. Este proyecto concede una bonificación adicional, de cargo fiscal, al personal académico, directivo y profesional y permite otorgar, excepcionalmente, el beneficio compensatorio que estableció el artículo 9 de la ley N° 20.374.</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A continuación se señalan las condiciones generales previstas para acceder a este beneficio:</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1. Son beneficiarios aquellos académicos y directivos que hayan cumplido la edad legal de jubilación (o la cumplan) entre el 1 de enero de 2012 y el 31 de diciembre de 2024, así como también aquellos que cumplieron dichas edades o más, al 31 de diciembre de 2011. Para acceder al beneficio deben, además, cumplir los siguientes requisitos: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a) Percibir el beneficio compensatorio del artículo 9 de la ley N° 20.374.</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b) Encontrarse afiliados al sistema de pensiones previsto en el decreto ley N° 3.500, de 1980.</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c) Desempeñar cargos de planta o contrata por un período no inferior a 10 años, continuos o discontinuos, en universidades del Estado.</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d) Cumplir con las edades de jubilación respectivas, pero para el caso de las mujeres ellas podrán impetrar el beneficio desde que cumplan los 60 años de edad y hasta los 180 días siguientes a cumplir 65 años.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 Hacer efectiva su renuncia voluntaria dentro de los plazos respectivos. Para el caso de los rectores, elegidos por un término fijo, podrán fijar el plazo de su retiro al final del período de su nombramiento.</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2. Son beneficiarios aquellos profesionales no académicos ni directivos que hayan cumplido la edad legal de jubilación (o la cumplan) entre el 1 de enero de 2015 y el 31 de diciembre de 2024, así como también aquellos que cumplieron dichas edades o más, al 31 de diciembre de 2014. Para acceder al beneficio deben cumplir además los demás requisitos mencionados en el literal anterior.</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3. Pueden acceder también a esta bonificación adicional los académicos, directivos y profesionales que hayan cesado en sus funciones por declaración de vacancia por salud irrecuperable o salud incompatible, o que se haya pensionado por invalidez, entre la fecha de publicación de la ley y el 31 de diciembre de 2024, en la medida que cumplan las demás condiciones que se señalan a continuación:</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 xml:space="preserve">a) Cumplir la edad de jubilación dentro de los 3 años siguientes a la obtención de la pensión de invalidez o declaración de vacancia, pero en ningún caso más allá del 31 de diciembre de 2024. </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b) Desempeñar cargos de planta o contrata por un periodo no inferior a 10 años continuos o discontinuos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 xml:space="preserve">c) Si no cumplen el requisito de edad anterior pueden acceder al beneficio si tienen 30 años o más de servicio a la fecha del cese de funciones, en cualquier calidad, siempre que al 31 de diciembre del año anterior al cese de funciones por las causales indicadas haya desempeñado sus funciones en calidad de planta o contrata por a lo menos por 10 años. </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d) Encontrarse afiliados al sistema de pensiones previsto en el decreto ley N° 3.500, de 1980.</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En relación a los beneficios, se establece que habrá una bonificación adicional de 935 UF ($ 25 millones aproximadamente) para todo directivo o profesional que tenga 10 años o más de servicios continuos o discontinuos a la fecha del inicio del periodo de postulación. Para el caso de los académicos, depende de los años de servicios prestados, en caso de que tengan más de 10 y menos de 15 podrán acceder a una bonificación de 935 UF, para quienes tengan más de 15 años podrán recibir 950 UF. Los montos serán entregados en relación a una jornada máxima de 44 horas semanales y calculándose en forma proporcional si fuese menor. Esta bonificación no es tributable ni imponible, ni constituye renta.</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El proyecto también confiere a las referidas universidades la facultad de pagar, por única vez, el beneficio compensatorio contemplado en el artículo 9 de la ley N° 20.374 al personal académico, directivo y profesional que tengan más de 65 años de edad y 180 días a la fecha de la publicación de la ley, siempre que presenten su renuncia voluntaria dentro del plazo correspondiente, cuando solo tengan derecho a este beneficio. Asimismo, también se podrá otorgar por única vez este beneficio, a quienes tengan derecho al beneficio y que con anterioridad al primer proceso de postulación hayan cumplido la edad mencionada y presenten su renuncia dentro de los plazos que reconoce la ley (artículo 13).</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Se autorizará a las universidades estatales, para que, con cargo a su patrimonio, y para el exclusivo objeto de pagar este beneficio, puedan contratar uno o más empréstitos hasta el 31 de diciembre de 2024, por un plazo tope de 20 años.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Cabe señalar que también permite al personal que se acoja a este nuevo beneficio, postular igualmente al bono que confiere la ley N° 20.305 ($50.000 mensual) -que mejora condiciones de retiro de los trabajadores del sector público con bajas tasas de reemplazo de sus pensiones-, en los plazos y edades que se establecen en el proyecto de ley.</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Quienes no renuncien ni postulen en los plazos que establezcan la ley y el reglamento respectivamente, se entenderá que renuncian irrevocablemente al beneficio.</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La bonificación adicional que concede esta ley, será transmisible por causa de muerte, si el beneficiario fallece entre el periodo de postulación y antes de percibirla.</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Este beneficio será incompatible con toda otra indemnización por término de relación laboral, salvo por la bonificación compensatoria del artículo 9 de la ley N° 20.374, el bono post laboral consagrado en la ley N° 20.305 y el desahucio a que se refiere el artículo 13 transitorio del decreto con fuerza de ley N° 29, de 2004, del Ministerio de Hacienda.</w:t>
      </w:r>
    </w:p>
    <w:p w:rsidR="00500C63" w:rsidRPr="00500C63" w:rsidRDefault="00500C63" w:rsidP="00500C63">
      <w:pPr>
        <w:tabs>
          <w:tab w:val="left" w:pos="709"/>
        </w:tabs>
        <w:spacing w:before="120" w:after="120"/>
        <w:jc w:val="both"/>
        <w:rPr>
          <w:rFonts w:ascii="Arial" w:hAnsi="Arial"/>
          <w:sz w:val="24"/>
          <w:szCs w:val="24"/>
        </w:rPr>
      </w:pPr>
      <w:r w:rsidRPr="00500C63">
        <w:rPr>
          <w:rFonts w:ascii="Arial" w:hAnsi="Arial"/>
          <w:sz w:val="24"/>
          <w:szCs w:val="24"/>
        </w:rPr>
        <w:tab/>
        <w:t>Respecto de los cupos, el plan de retiro contempla un máximo de 3.800 cupos para académicos y directivos y un máximo de 900 cupos para profesionales, que se distribuyen de la siguiente manera:</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835"/>
        <w:gridCol w:w="3402"/>
      </w:tblGrid>
      <w:tr w:rsidR="00500C63" w:rsidRPr="00500C63" w:rsidTr="00C56A72">
        <w:tc>
          <w:tcPr>
            <w:tcW w:w="1134" w:type="dxa"/>
          </w:tcPr>
          <w:p w:rsidR="00500C63" w:rsidRPr="00500C63" w:rsidRDefault="00500C63" w:rsidP="00C56A72">
            <w:pPr>
              <w:ind w:left="-284" w:right="-234"/>
              <w:jc w:val="center"/>
              <w:rPr>
                <w:rFonts w:ascii="Arial" w:hAnsi="Arial" w:cs="Arial"/>
                <w:b/>
                <w:sz w:val="22"/>
                <w:szCs w:val="22"/>
              </w:rPr>
            </w:pPr>
            <w:r w:rsidRPr="00500C63">
              <w:rPr>
                <w:rFonts w:ascii="Arial" w:hAnsi="Arial" w:cs="Arial"/>
                <w:b/>
                <w:sz w:val="22"/>
                <w:szCs w:val="22"/>
              </w:rPr>
              <w:t>Año</w:t>
            </w:r>
          </w:p>
        </w:tc>
        <w:tc>
          <w:tcPr>
            <w:tcW w:w="2835" w:type="dxa"/>
            <w:tcBorders>
              <w:right w:val="single" w:sz="4" w:space="0" w:color="auto"/>
            </w:tcBorders>
          </w:tcPr>
          <w:p w:rsidR="00500C63" w:rsidRPr="00500C63" w:rsidRDefault="00500C63" w:rsidP="00C56A72">
            <w:pPr>
              <w:ind w:left="-284" w:right="-234"/>
              <w:jc w:val="center"/>
              <w:rPr>
                <w:rFonts w:ascii="Arial" w:hAnsi="Arial" w:cs="Arial"/>
                <w:b/>
                <w:sz w:val="22"/>
                <w:szCs w:val="22"/>
              </w:rPr>
            </w:pPr>
            <w:r w:rsidRPr="00500C63">
              <w:rPr>
                <w:rFonts w:ascii="Arial" w:hAnsi="Arial" w:cs="Arial"/>
                <w:b/>
                <w:sz w:val="22"/>
                <w:szCs w:val="22"/>
              </w:rPr>
              <w:t>Académicos y directivos</w:t>
            </w:r>
          </w:p>
        </w:tc>
        <w:tc>
          <w:tcPr>
            <w:tcW w:w="3402" w:type="dxa"/>
            <w:tcBorders>
              <w:left w:val="single" w:sz="4" w:space="0" w:color="auto"/>
            </w:tcBorders>
          </w:tcPr>
          <w:p w:rsidR="00500C63" w:rsidRPr="00500C63" w:rsidRDefault="00500C63" w:rsidP="00C56A72">
            <w:pPr>
              <w:ind w:left="-284" w:right="-234"/>
              <w:jc w:val="center"/>
              <w:rPr>
                <w:rFonts w:ascii="Arial" w:hAnsi="Arial" w:cs="Arial"/>
                <w:b/>
                <w:sz w:val="22"/>
                <w:szCs w:val="22"/>
              </w:rPr>
            </w:pPr>
            <w:r w:rsidRPr="00500C63">
              <w:rPr>
                <w:rFonts w:ascii="Arial" w:hAnsi="Arial" w:cs="Arial"/>
                <w:b/>
                <w:sz w:val="22"/>
                <w:szCs w:val="22"/>
              </w:rPr>
              <w:t>Profesionales</w:t>
            </w:r>
            <w:r w:rsidRPr="00500C63">
              <w:rPr>
                <w:rFonts w:ascii="Arial" w:hAnsi="Arial" w:cs="Arial"/>
                <w:b/>
                <w:szCs w:val="22"/>
              </w:rPr>
              <w:t xml:space="preserve"> </w:t>
            </w:r>
            <w:r w:rsidRPr="00500C63">
              <w:rPr>
                <w:rFonts w:ascii="Arial" w:hAnsi="Arial" w:cs="Arial"/>
                <w:b/>
                <w:sz w:val="22"/>
                <w:szCs w:val="22"/>
              </w:rPr>
              <w:t>(no académicos)</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2017</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300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120</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2018</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600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150</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2019</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600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150</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2020</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600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100</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2021</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600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100</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2022</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400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100</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2023</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350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90</w:t>
            </w:r>
          </w:p>
        </w:tc>
      </w:tr>
      <w:tr w:rsidR="00500C63" w:rsidRPr="00500C63" w:rsidTr="00C56A72">
        <w:tc>
          <w:tcPr>
            <w:tcW w:w="1134" w:type="dxa"/>
          </w:tcPr>
          <w:p w:rsidR="00500C63" w:rsidRPr="00500C63" w:rsidRDefault="00500C63" w:rsidP="00C56A72">
            <w:pPr>
              <w:ind w:left="-284" w:right="-234"/>
              <w:jc w:val="center"/>
              <w:rPr>
                <w:rFonts w:ascii="Arial" w:hAnsi="Arial" w:cs="Arial"/>
                <w:sz w:val="22"/>
                <w:szCs w:val="22"/>
              </w:rPr>
            </w:pPr>
            <w:r w:rsidRPr="00500C63">
              <w:rPr>
                <w:rFonts w:ascii="Arial" w:hAnsi="Arial" w:cs="Arial"/>
                <w:sz w:val="22"/>
                <w:szCs w:val="22"/>
              </w:rPr>
              <w:t>2024</w:t>
            </w:r>
          </w:p>
        </w:tc>
        <w:tc>
          <w:tcPr>
            <w:tcW w:w="2835" w:type="dxa"/>
            <w:tcBorders>
              <w:righ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350</w:t>
            </w:r>
          </w:p>
        </w:tc>
        <w:tc>
          <w:tcPr>
            <w:tcW w:w="3402" w:type="dxa"/>
            <w:tcBorders>
              <w:left w:val="single" w:sz="4" w:space="0" w:color="auto"/>
            </w:tcBorders>
            <w:vAlign w:val="bottom"/>
          </w:tcPr>
          <w:p w:rsidR="00500C63" w:rsidRPr="00500C63" w:rsidRDefault="00500C63" w:rsidP="00C56A72">
            <w:pPr>
              <w:ind w:left="-284" w:right="-234"/>
              <w:jc w:val="center"/>
              <w:rPr>
                <w:rFonts w:ascii="Arial" w:hAnsi="Arial" w:cs="Arial"/>
                <w:color w:val="000000"/>
                <w:sz w:val="22"/>
                <w:szCs w:val="22"/>
              </w:rPr>
            </w:pPr>
            <w:r w:rsidRPr="00500C63">
              <w:rPr>
                <w:rFonts w:ascii="Arial" w:hAnsi="Arial" w:cs="Arial"/>
                <w:color w:val="000000"/>
                <w:sz w:val="22"/>
                <w:szCs w:val="22"/>
              </w:rPr>
              <w:t>90</w:t>
            </w:r>
          </w:p>
        </w:tc>
      </w:tr>
      <w:tr w:rsidR="00500C63" w:rsidRPr="00500C63" w:rsidTr="00C56A72">
        <w:tc>
          <w:tcPr>
            <w:tcW w:w="1134" w:type="dxa"/>
          </w:tcPr>
          <w:p w:rsidR="00500C63" w:rsidRPr="00500C63" w:rsidRDefault="00500C63" w:rsidP="00C56A72">
            <w:pPr>
              <w:ind w:left="-284" w:right="-234"/>
              <w:jc w:val="center"/>
              <w:rPr>
                <w:rFonts w:ascii="Arial" w:hAnsi="Arial" w:cs="Arial"/>
                <w:b/>
                <w:sz w:val="22"/>
                <w:szCs w:val="22"/>
              </w:rPr>
            </w:pPr>
            <w:r w:rsidRPr="00500C63">
              <w:rPr>
                <w:rFonts w:ascii="Arial" w:hAnsi="Arial" w:cs="Arial"/>
                <w:b/>
                <w:sz w:val="22"/>
                <w:szCs w:val="22"/>
              </w:rPr>
              <w:t>TOTAL</w:t>
            </w:r>
          </w:p>
        </w:tc>
        <w:tc>
          <w:tcPr>
            <w:tcW w:w="2835" w:type="dxa"/>
            <w:tcBorders>
              <w:right w:val="single" w:sz="4" w:space="0" w:color="auto"/>
            </w:tcBorders>
          </w:tcPr>
          <w:p w:rsidR="00500C63" w:rsidRPr="00500C63" w:rsidRDefault="00500C63" w:rsidP="00C56A72">
            <w:pPr>
              <w:ind w:left="-284" w:right="-234"/>
              <w:jc w:val="center"/>
              <w:rPr>
                <w:rFonts w:ascii="Arial" w:hAnsi="Arial" w:cs="Arial"/>
                <w:b/>
                <w:sz w:val="22"/>
                <w:szCs w:val="22"/>
              </w:rPr>
            </w:pPr>
            <w:r w:rsidRPr="00500C63">
              <w:rPr>
                <w:rFonts w:ascii="Arial" w:hAnsi="Arial" w:cs="Arial"/>
                <w:b/>
                <w:sz w:val="22"/>
                <w:szCs w:val="22"/>
              </w:rPr>
              <w:t>3.800</w:t>
            </w:r>
          </w:p>
        </w:tc>
        <w:tc>
          <w:tcPr>
            <w:tcW w:w="3402" w:type="dxa"/>
            <w:tcBorders>
              <w:left w:val="single" w:sz="4" w:space="0" w:color="auto"/>
            </w:tcBorders>
          </w:tcPr>
          <w:p w:rsidR="00500C63" w:rsidRPr="00500C63" w:rsidRDefault="00500C63" w:rsidP="00C56A72">
            <w:pPr>
              <w:ind w:left="-284" w:right="-234"/>
              <w:jc w:val="center"/>
              <w:rPr>
                <w:rFonts w:ascii="Arial" w:hAnsi="Arial" w:cs="Arial"/>
                <w:b/>
                <w:sz w:val="22"/>
                <w:szCs w:val="22"/>
              </w:rPr>
            </w:pPr>
            <w:r w:rsidRPr="00500C63">
              <w:rPr>
                <w:rFonts w:ascii="Arial" w:hAnsi="Arial" w:cs="Arial"/>
                <w:b/>
                <w:sz w:val="22"/>
                <w:szCs w:val="22"/>
              </w:rPr>
              <w:t>900</w:t>
            </w:r>
          </w:p>
        </w:tc>
      </w:tr>
    </w:tbl>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Los cupos que no se utilicen en los años 2017 y 2018, incrementarán los del 2019 y desde dicho año los cupos no utilizados incrementarán los del año siguiente.</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En materia de recontrataciones, se dispone que los académicos que se acojan al incentivo al retiro solo podrán ser recontratados, cumpliendo previamente los requisitos que se señalan en cada caso, para cumplir las siguientes funciones: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a) Ejercer la docencia hasta por un máximo de 12 horas semanales y sólo hasta que cumplan los 70 años de edad.</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b) Ejercer como máximo 22 horas de investigación y solo hasta que cumplan los 75 años de edad.</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c) Ejercer como máximo 22 horas, 12 de docencia de post grado y el resto de investigación y solo hasta que cumplan 75 años de edad.</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d) En el caso de médicos cirujanos u odontólogos que hayan ejercido como docentes a lo menos por 10 años, con estudios sistemáticos en la disciplina que impartan, podrán ser recontratados para ejercer labores de docencia con un tope de 12 horas semanales.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Requisitos de recontratación.</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a) Ser académico de la más alta jerarquía.</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b) Ser académico de la segunda más alta jerarquía y poseer el título de doctor, con 10 años de servicios continuos o discontinuos y haber tenido una jornada de 44 horas o más.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c) Ser académico de la segunda más alta jerarquía y tener el grado académico de magister, que haya tenido jornada de 44 horas o más, con 10 o más años de servicios continuos o discontinuos y siempre que sean recontratados en una universidad estatal mencionada en el artículo 12 de la ley 20.374 (Arturo Prat, Tarapacá, Antofagasta, y Magallanes) o en la universidad de Aysén.</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Todas las recontrataciones serán puestas en conocimiento del público por las respectivas universidades a través de su transparencia activa.</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En cuanto al procedimiento para asignación de cupos en el año 2017, considerando los tiempos que demandará la tramitación de los beneficios, se diseñó un procedimiento transitorio que contempla la intervención de los beneficiarios, las universidades, el Ministerio de Educación y la Dipres, que permite asignar cupos sin necesidad de que se dicte previamente el reglamento.</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Dicho procedimiento exige el cumplimiento de las siguientes etapas: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1. Los beneficiarios que cumplen los requisitos para postular el año 2017, deberán hacerlo en la respectiva universidad estatal empleadora, dentro de los 45 días hábiles siguientes a la publicación de la ley que establece la bonificación.</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2. Dentro de los 45 días hábiles siguientes, las universidades deberán remitir al Ministerio de Educación, las postulaciones conjuntamente con la certificación que acredite el cumplimiento de los requisitos para acceder a la bonificación.</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3. Dentro de los 45 hábiles siguientes, el Ministerio de Educación, a través de una o más resoluciones exentas, visadas por Dipres, establecerá la distribución de cupos anuales entre las universidades estatales, en proporción al número de postulaciones.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4. Dentro de los 15 días hábiles siguientes a la notificación que realice el Ministerio de Educación, la universidad empleadora deberá dictar una resolución que contenga el listado de todos los postulantes que cumplan con los requisitos necesarios para acceder a la bonificación, identificando los beneficiarios para el año 2017 y aquellos postulantes que no fueren seleccionados por falta de cupo, y que pasarán a integrar en forma preferente el listado de seleccionados del proceso del año o años siguientes.</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5. La universidad empleadora deberá notificar a los funcionarios dentro de los 5 días hábiles siguientes de la dictación de ésta.</w:t>
      </w:r>
    </w:p>
    <w:p w:rsidR="00500C63" w:rsidRP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6. Dentro de los 10 días hábiles siguientes a la notificación de la resolución precedente, los beneficiarios deberán informar por escrito a las universidades la fecha en que dejarán definitivamente el cargo, dentro de los 90 días siguientes al cumplimiento de los 65 años de edad o dentro de los 45 días siguientes a la notificación de la resolución que asigna un cupo, si esta fecha fuera posterior a aquélla.</w:t>
      </w:r>
    </w:p>
    <w:p w:rsidR="00500C63" w:rsidRDefault="00500C63" w:rsidP="00500C63">
      <w:pPr>
        <w:tabs>
          <w:tab w:val="left" w:pos="709"/>
        </w:tabs>
        <w:spacing w:before="120"/>
        <w:jc w:val="both"/>
        <w:rPr>
          <w:rFonts w:ascii="Arial" w:hAnsi="Arial"/>
          <w:sz w:val="24"/>
          <w:szCs w:val="24"/>
        </w:rPr>
      </w:pPr>
      <w:r w:rsidRPr="00500C63">
        <w:rPr>
          <w:rFonts w:ascii="Arial" w:hAnsi="Arial"/>
          <w:sz w:val="24"/>
          <w:szCs w:val="24"/>
        </w:rPr>
        <w:tab/>
        <w:t>7. La universidad deberá informar el cese de funciones de cada beneficiario, dentro de los 5 días hábiles siguientes a tal cese.</w:t>
      </w:r>
    </w:p>
    <w:p w:rsidR="00696282" w:rsidRDefault="0062132D" w:rsidP="0062132D">
      <w:pPr>
        <w:tabs>
          <w:tab w:val="left" w:pos="709"/>
        </w:tabs>
        <w:spacing w:before="240"/>
        <w:jc w:val="both"/>
        <w:rPr>
          <w:rFonts w:ascii="Arial" w:hAnsi="Arial" w:cs="Arial"/>
          <w:sz w:val="24"/>
          <w:szCs w:val="24"/>
        </w:rPr>
      </w:pPr>
      <w:r>
        <w:rPr>
          <w:rFonts w:ascii="Arial" w:hAnsi="Arial" w:cs="Arial"/>
          <w:sz w:val="24"/>
        </w:rPr>
        <w:tab/>
      </w:r>
      <w:r w:rsidR="00A77006" w:rsidRPr="0062132D">
        <w:rPr>
          <w:rFonts w:ascii="Arial" w:hAnsi="Arial" w:cs="Arial"/>
          <w:sz w:val="24"/>
        </w:rPr>
        <w:t xml:space="preserve">El Secretario de la Federación Nacional de Asociaciones de Académicos de las Universidades Estatales de Chile (FAUECH), señor Miguel </w:t>
      </w:r>
      <w:r w:rsidR="00A77006" w:rsidRPr="0062132D">
        <w:rPr>
          <w:rFonts w:ascii="Arial" w:hAnsi="Arial" w:cs="Arial"/>
          <w:b/>
          <w:sz w:val="24"/>
        </w:rPr>
        <w:t>Ramos</w:t>
      </w:r>
      <w:r w:rsidR="00A77006" w:rsidRPr="0062132D">
        <w:rPr>
          <w:rFonts w:ascii="Arial" w:hAnsi="Arial" w:cs="Arial"/>
          <w:sz w:val="24"/>
        </w:rPr>
        <w:t xml:space="preserve"> Tapia</w:t>
      </w:r>
      <w:r>
        <w:rPr>
          <w:rFonts w:ascii="Arial" w:hAnsi="Arial" w:cs="Arial"/>
          <w:sz w:val="24"/>
        </w:rPr>
        <w:t xml:space="preserve"> </w:t>
      </w:r>
      <w:r w:rsidR="00A77006">
        <w:rPr>
          <w:rFonts w:ascii="Arial" w:hAnsi="Arial" w:cs="Arial"/>
          <w:sz w:val="24"/>
        </w:rPr>
        <w:t>asistió a la sesión 288</w:t>
      </w:r>
      <w:r w:rsidR="00696282" w:rsidRPr="00696282">
        <w:rPr>
          <w:rFonts w:ascii="Arial" w:hAnsi="Arial" w:cs="Arial"/>
          <w:sz w:val="24"/>
        </w:rPr>
        <w:t>ª</w:t>
      </w:r>
      <w:r w:rsidR="00A77006" w:rsidRPr="00EB0C12">
        <w:rPr>
          <w:rFonts w:ascii="Arial" w:hAnsi="Arial" w:cs="Arial"/>
          <w:sz w:val="24"/>
        </w:rPr>
        <w:t xml:space="preserve">, </w:t>
      </w:r>
      <w:r w:rsidR="00A77006">
        <w:rPr>
          <w:rFonts w:ascii="Arial" w:hAnsi="Arial" w:cs="Arial"/>
          <w:sz w:val="24"/>
        </w:rPr>
        <w:t xml:space="preserve">acompañado de la </w:t>
      </w:r>
      <w:r w:rsidR="00A77006" w:rsidRPr="00EB0C12">
        <w:rPr>
          <w:rFonts w:ascii="Arial" w:hAnsi="Arial" w:cs="Arial"/>
          <w:sz w:val="24"/>
        </w:rPr>
        <w:t xml:space="preserve">Tesorera </w:t>
      </w:r>
      <w:r w:rsidR="00A77006" w:rsidRPr="00696282">
        <w:rPr>
          <w:rFonts w:ascii="Arial" w:hAnsi="Arial" w:cs="Arial"/>
          <w:sz w:val="24"/>
          <w:szCs w:val="24"/>
        </w:rPr>
        <w:t>señora Norma Peñailillo Gómez.</w:t>
      </w:r>
      <w:r w:rsidR="00696282" w:rsidRPr="00696282">
        <w:rPr>
          <w:rFonts w:ascii="Arial" w:hAnsi="Arial" w:cs="Arial"/>
          <w:sz w:val="24"/>
          <w:szCs w:val="24"/>
        </w:rPr>
        <w:t xml:space="preserve"> Copia íntegra de su </w:t>
      </w:r>
      <w:hyperlink r:id="rId12" w:history="1">
        <w:r w:rsidR="00696282" w:rsidRPr="00696282">
          <w:rPr>
            <w:rStyle w:val="Hipervnculo"/>
            <w:rFonts w:ascii="Arial" w:eastAsia="Arial Unicode MS" w:hAnsi="Arial" w:cs="Arial"/>
            <w:sz w:val="24"/>
            <w:szCs w:val="24"/>
          </w:rPr>
          <w:t>presentación</w:t>
        </w:r>
      </w:hyperlink>
      <w:r w:rsidR="00696282" w:rsidRPr="00696282">
        <w:rPr>
          <w:rFonts w:ascii="Arial" w:hAnsi="Arial" w:cs="Arial"/>
          <w:sz w:val="24"/>
          <w:szCs w:val="24"/>
        </w:rPr>
        <w:t xml:space="preserve"> se encuentra disponible para consulta.</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Expresó que el proyecto de ley requiere de la mayor celeridad posible, por cuanto ha sido una sentida demanda por parte de la comunidad universitaria desde el 1 de enero de 2012. Además, solicitó, en la medida de lo posible, revisar el aumento de cupo del primer año (600), y considerar para la aplicación del beneficio del artículo 9 de la ley N° 20.374 todos los haberes, en especial para los colegas de las zonas extremas del país.</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r>
      <w:r w:rsidR="0062132D" w:rsidRPr="00683C55">
        <w:rPr>
          <w:rFonts w:ascii="Arial" w:hAnsi="Arial" w:cs="Arial"/>
          <w:sz w:val="24"/>
          <w:szCs w:val="24"/>
          <w:lang w:val="es-CL"/>
        </w:rPr>
        <w:t>O</w:t>
      </w:r>
      <w:r w:rsidRPr="00683C55">
        <w:rPr>
          <w:rFonts w:ascii="Arial" w:hAnsi="Arial" w:cs="Arial"/>
          <w:sz w:val="24"/>
          <w:szCs w:val="24"/>
          <w:lang w:val="es-CL"/>
        </w:rPr>
        <w:t>bserv</w:t>
      </w:r>
      <w:r w:rsidR="0062132D">
        <w:rPr>
          <w:rFonts w:ascii="Arial" w:hAnsi="Arial" w:cs="Arial"/>
          <w:sz w:val="24"/>
          <w:szCs w:val="24"/>
          <w:lang w:val="es-CL"/>
        </w:rPr>
        <w:t>ó que e</w:t>
      </w:r>
      <w:r w:rsidRPr="00683C55">
        <w:rPr>
          <w:rFonts w:ascii="Arial" w:hAnsi="Arial" w:cs="Arial"/>
          <w:sz w:val="24"/>
          <w:szCs w:val="24"/>
          <w:lang w:val="es-CL"/>
        </w:rPr>
        <w:t>xiste discriminación y/o injusticia respecto a leyes anteriores referidas a incentivos al retiro del personal de las universidades del Estado. El artículo 1, inciso cuarto, de la iniciativa expresa que el reconocimiento de años de servicios discontinuos en las universidades del Estado para efectos del inciso anterior, sólo procederá cuando dicho personal tenga, a lo menos, cinco años continuos de servicios inmediatamente anteriores a la fecha de inicio del respectivo período de postulación a la bonificación adicional, en cargos de planta o a contrata en las mencionadas universidades.</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Sin considerar tanto en la ley N° 20.374 como en las leyes N°s 20.807 y 20.996 la palabra “continuo” está referida sólo al personal contratado de honorarios.</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Al respecto solicitó eliminar el inciso cuarto del artículo 1, lo que no afectará el espíritu de la ley. Se requiere de “nuevos pasos para modernizar la política de recursos humanos de las universidades estatales orientada a estimular un adecuado nivel de renovación de los cuadros académicos”; los que ya están cuantificados e informados desde hace años para la respectiva asignación de cupos del proyecto de ley.</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El proyecto de ley nada indica respecto del ex funcionario académico, directivo y profesional no académico que haya renunciado voluntariamente a su cargo o al total de horas que servía.</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Al respecto, propuso que el proyecto de ley incluya en un artículo transitorio al ex personal académico, directivo y profesional no académico: que haya renunciado voluntariamente a su cargo o al total de horas que servía y que haya sido desvinculado de su cargo o del total de horas que servía.</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 xml:space="preserve">El artículo 2 del proyecto de ley establece que el personal a que se refiere el artículo 1 de la presente ley que resulte beneficiario de un cupo de la bonificación adicional al cumplimiento de los 65 años de edad o dentro de los </w:t>
      </w:r>
      <w:r w:rsidRPr="00683C55">
        <w:rPr>
          <w:rFonts w:ascii="Arial" w:hAnsi="Arial" w:cs="Arial"/>
          <w:i/>
          <w:sz w:val="24"/>
          <w:szCs w:val="24"/>
          <w:lang w:val="es-CL"/>
        </w:rPr>
        <w:t>noventa días</w:t>
      </w:r>
      <w:r w:rsidRPr="00683C55">
        <w:rPr>
          <w:rFonts w:ascii="Arial" w:hAnsi="Arial" w:cs="Arial"/>
          <w:sz w:val="24"/>
          <w:szCs w:val="24"/>
          <w:lang w:val="es-CL"/>
        </w:rPr>
        <w:t xml:space="preserve"> siguientes deberá hacer efectiva se renuncia voluntaria a la universidad del Estado, sin embargo, en la ley N° 20.374, el personal tenía un plazo de </w:t>
      </w:r>
      <w:r w:rsidRPr="00683C55">
        <w:rPr>
          <w:rFonts w:ascii="Arial" w:hAnsi="Arial" w:cs="Arial"/>
          <w:i/>
          <w:sz w:val="24"/>
          <w:szCs w:val="24"/>
          <w:lang w:val="es-CL"/>
        </w:rPr>
        <w:t>ciento ochenta días</w:t>
      </w:r>
      <w:r w:rsidRPr="00683C55">
        <w:rPr>
          <w:rFonts w:ascii="Arial" w:hAnsi="Arial" w:cs="Arial"/>
          <w:sz w:val="24"/>
          <w:szCs w:val="24"/>
          <w:lang w:val="es-CL"/>
        </w:rPr>
        <w:t xml:space="preserve"> para hacer efectiva su renuncia voluntaria.</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Por otra parte, el artículo 4 señala que los funcionarios señalados en el inciso anterior, dentro de los tres años siguientes a la obtención de la pensión de invalidez o cese de sus funciones por declaración de vacancia según las causales señaladas en el inciso anterior, deberán cumplir entre la fecha de publicación de la presente ley y el 31 de diciembre de 2024…”. Al respecto, solicitó que no se discrimine a los colegas que se han acogido al beneficio de la ley N° 3.500 año 1980, entre el 1 de enero del año 2012 y la fecha de publicación de esta ley.</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El artículo 15 dispone que “La bonificación adicional que corresponda a un funcionario será transmisible por causa de muerte, si éste fallece entre la fecha de su postulación a la misma y antes de percibirla, y siempre que cumpla con los requisitos establecidos en la presente ley para acceder a ella. Este beneficio quedará afecto a los incisos primero y segundo del artículo 5, según corresponda.”. En tal sentido, pidió agregar un artículo transitorio que considere al personal que haya fallecido entre el 1 de enero de 2012 y la fecha de publicación de esta ley.</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En lo relativo al artículo 16 que establece “Con todo, las recontrataciones a que se refiere este artículo, sólo podrán efectuarse hasta que el personal académico cumpla 70 años de edad en el caso de la letra a) del inciso primero. En el caso de las recontrataciones señaladas en las letras b) y c) del inciso primero, sólo podrán efectuarse hasta que el personal académico cumpla 75 años de edad.”, no se mostró de acuerdo con el límite de edad propuesto.</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En cuanto al artículo 17, letra c, que prescribe “...ser académicos de la segunda más alta jerarquía y tener el grado académico de magíster, siempre que hubieren tenido una jornada semanal de 44 o más horas durante, a lo menos, 10 años de servicios continuos o discontinuos...”, se manifestó en desacuerdo con la exigencia de que se trate de académicos de la segunda más alta jerarquía y solicitó incluir a la tercera jerarquía.</w:t>
      </w:r>
    </w:p>
    <w:p w:rsidR="00683C55" w:rsidRPr="00683C55" w:rsidRDefault="00683C55" w:rsidP="00683C55">
      <w:pPr>
        <w:tabs>
          <w:tab w:val="left" w:pos="709"/>
        </w:tabs>
        <w:spacing w:before="120"/>
        <w:jc w:val="both"/>
        <w:rPr>
          <w:rFonts w:ascii="Arial" w:hAnsi="Arial" w:cs="Arial"/>
          <w:sz w:val="24"/>
          <w:szCs w:val="24"/>
          <w:lang w:val="es-CL"/>
        </w:rPr>
      </w:pPr>
      <w:r w:rsidRPr="00683C55">
        <w:rPr>
          <w:rFonts w:ascii="Arial" w:hAnsi="Arial" w:cs="Arial"/>
          <w:sz w:val="24"/>
          <w:szCs w:val="24"/>
          <w:lang w:val="es-CL"/>
        </w:rPr>
        <w:tab/>
        <w:t>Finalmente, pidió que se aumenten los cupos para el año 2017.</w:t>
      </w:r>
    </w:p>
    <w:p w:rsidR="00EB0C12" w:rsidRDefault="0062132D" w:rsidP="0062132D">
      <w:pPr>
        <w:tabs>
          <w:tab w:val="left" w:pos="709"/>
        </w:tabs>
        <w:spacing w:before="240"/>
        <w:jc w:val="both"/>
        <w:rPr>
          <w:rFonts w:ascii="Arial" w:hAnsi="Arial" w:cs="Arial"/>
          <w:sz w:val="24"/>
        </w:rPr>
      </w:pPr>
      <w:r>
        <w:rPr>
          <w:rFonts w:ascii="Arial" w:hAnsi="Arial" w:cs="Arial"/>
          <w:sz w:val="24"/>
          <w:szCs w:val="24"/>
          <w:lang w:val="es-CL"/>
        </w:rPr>
        <w:tab/>
      </w:r>
      <w:r w:rsidR="00F84575" w:rsidRPr="0062132D">
        <w:rPr>
          <w:rFonts w:ascii="Arial" w:hAnsi="Arial" w:cs="Arial"/>
          <w:sz w:val="24"/>
          <w:szCs w:val="24"/>
          <w:lang w:val="es-CL"/>
        </w:rPr>
        <w:t>El Vicep</w:t>
      </w:r>
      <w:r w:rsidR="00D55700" w:rsidRPr="0062132D">
        <w:rPr>
          <w:rFonts w:ascii="Arial" w:hAnsi="Arial" w:cs="Arial"/>
          <w:sz w:val="24"/>
          <w:szCs w:val="24"/>
          <w:lang w:val="es-CL"/>
        </w:rPr>
        <w:t>resident</w:t>
      </w:r>
      <w:r w:rsidR="00F84575" w:rsidRPr="0062132D">
        <w:rPr>
          <w:rFonts w:ascii="Arial" w:hAnsi="Arial" w:cs="Arial"/>
          <w:sz w:val="24"/>
          <w:szCs w:val="24"/>
          <w:lang w:val="es-CL"/>
        </w:rPr>
        <w:t>e</w:t>
      </w:r>
      <w:r w:rsidR="00D55700" w:rsidRPr="0062132D">
        <w:rPr>
          <w:rFonts w:ascii="Arial" w:hAnsi="Arial" w:cs="Arial"/>
          <w:sz w:val="24"/>
          <w:szCs w:val="24"/>
          <w:lang w:val="es-CL"/>
        </w:rPr>
        <w:t xml:space="preserve"> de la Federación Nacional de Asociaciones de Profesionales y Técnicos de Universidades Estatales de Chile (FENAPTUECH)</w:t>
      </w:r>
      <w:r w:rsidR="00F84575" w:rsidRPr="0062132D">
        <w:rPr>
          <w:rFonts w:ascii="Arial" w:hAnsi="Arial" w:cs="Arial"/>
          <w:sz w:val="24"/>
          <w:szCs w:val="24"/>
          <w:lang w:val="es-CL"/>
        </w:rPr>
        <w:t xml:space="preserve"> y Presidente Asociación de Profesionales y Técnicos de la Universidad de Chile, </w:t>
      </w:r>
      <w:r w:rsidR="00D55700" w:rsidRPr="0062132D">
        <w:rPr>
          <w:rFonts w:ascii="Arial" w:hAnsi="Arial" w:cs="Arial"/>
          <w:sz w:val="24"/>
          <w:szCs w:val="24"/>
          <w:lang w:val="es-CL"/>
        </w:rPr>
        <w:t>señor</w:t>
      </w:r>
      <w:r w:rsidR="00F84575" w:rsidRPr="0062132D">
        <w:rPr>
          <w:rFonts w:ascii="Arial" w:hAnsi="Arial" w:cs="Arial"/>
          <w:sz w:val="24"/>
          <w:szCs w:val="24"/>
          <w:lang w:val="es-CL"/>
        </w:rPr>
        <w:t xml:space="preserve"> Boris </w:t>
      </w:r>
      <w:r w:rsidR="00EB0C12" w:rsidRPr="00696282">
        <w:rPr>
          <w:rFonts w:ascii="Arial" w:hAnsi="Arial" w:cs="Arial"/>
          <w:b/>
          <w:sz w:val="24"/>
        </w:rPr>
        <w:t>Barrera</w:t>
      </w:r>
      <w:r w:rsidR="00F84575">
        <w:rPr>
          <w:rFonts w:ascii="Arial" w:hAnsi="Arial" w:cs="Arial"/>
          <w:sz w:val="24"/>
        </w:rPr>
        <w:t xml:space="preserve"> asistió a la sesión 288</w:t>
      </w:r>
      <w:r w:rsidR="00696282" w:rsidRPr="00696282">
        <w:rPr>
          <w:rFonts w:ascii="Arial" w:hAnsi="Arial" w:cs="Arial"/>
          <w:sz w:val="24"/>
        </w:rPr>
        <w:t>ª</w:t>
      </w:r>
      <w:r w:rsidR="00F84575" w:rsidRPr="00EB0C12">
        <w:rPr>
          <w:rFonts w:ascii="Arial" w:hAnsi="Arial" w:cs="Arial"/>
          <w:sz w:val="24"/>
        </w:rPr>
        <w:t>,</w:t>
      </w:r>
      <w:r w:rsidR="00F84575">
        <w:rPr>
          <w:rFonts w:ascii="Arial" w:hAnsi="Arial" w:cs="Arial"/>
          <w:sz w:val="24"/>
        </w:rPr>
        <w:t xml:space="preserve"> acompañado d</w:t>
      </w:r>
      <w:r w:rsidR="00EB0C12" w:rsidRPr="00EB0C12">
        <w:rPr>
          <w:rFonts w:ascii="Arial" w:hAnsi="Arial" w:cs="Arial"/>
          <w:sz w:val="24"/>
        </w:rPr>
        <w:t xml:space="preserve">el Secretario </w:t>
      </w:r>
      <w:r w:rsidR="00F84575">
        <w:rPr>
          <w:rFonts w:ascii="Arial" w:hAnsi="Arial" w:cs="Arial"/>
          <w:sz w:val="24"/>
        </w:rPr>
        <w:t xml:space="preserve">de Fenaptuech y </w:t>
      </w:r>
      <w:r w:rsidR="00EB0C12" w:rsidRPr="00EB0C12">
        <w:rPr>
          <w:rFonts w:ascii="Arial" w:hAnsi="Arial" w:cs="Arial"/>
          <w:sz w:val="24"/>
        </w:rPr>
        <w:t xml:space="preserve">Tesorero </w:t>
      </w:r>
      <w:r w:rsidR="00F84575">
        <w:rPr>
          <w:rFonts w:ascii="Arial" w:hAnsi="Arial" w:cs="Arial"/>
          <w:sz w:val="24"/>
        </w:rPr>
        <w:t xml:space="preserve">de la </w:t>
      </w:r>
      <w:r w:rsidR="00EB0C12" w:rsidRPr="00EB0C12">
        <w:rPr>
          <w:rFonts w:ascii="Arial" w:hAnsi="Arial" w:cs="Arial"/>
          <w:sz w:val="24"/>
        </w:rPr>
        <w:t>Asociación de Profesionales de la Universidad de Santiago de Chile</w:t>
      </w:r>
      <w:r w:rsidR="00F84575">
        <w:rPr>
          <w:rFonts w:ascii="Arial" w:hAnsi="Arial" w:cs="Arial"/>
          <w:sz w:val="24"/>
        </w:rPr>
        <w:t xml:space="preserve">, </w:t>
      </w:r>
      <w:r w:rsidR="00EB0C12" w:rsidRPr="00EB0C12">
        <w:rPr>
          <w:rFonts w:ascii="Arial" w:hAnsi="Arial" w:cs="Arial"/>
          <w:sz w:val="24"/>
        </w:rPr>
        <w:t xml:space="preserve">señor Ramón Ávila, </w:t>
      </w:r>
      <w:r w:rsidR="00F84575">
        <w:rPr>
          <w:rFonts w:ascii="Arial" w:hAnsi="Arial" w:cs="Arial"/>
          <w:sz w:val="24"/>
        </w:rPr>
        <w:t xml:space="preserve">de </w:t>
      </w:r>
      <w:r w:rsidR="00EB0C12" w:rsidRPr="00EB0C12">
        <w:rPr>
          <w:rFonts w:ascii="Arial" w:hAnsi="Arial" w:cs="Arial"/>
          <w:sz w:val="24"/>
        </w:rPr>
        <w:t xml:space="preserve">y la Directora </w:t>
      </w:r>
      <w:r w:rsidR="00F84575">
        <w:rPr>
          <w:rFonts w:ascii="Arial" w:hAnsi="Arial" w:cs="Arial"/>
          <w:sz w:val="24"/>
        </w:rPr>
        <w:t xml:space="preserve">y </w:t>
      </w:r>
      <w:r w:rsidR="00EB0C12" w:rsidRPr="00EB0C12">
        <w:rPr>
          <w:rFonts w:ascii="Arial" w:hAnsi="Arial" w:cs="Arial"/>
          <w:sz w:val="24"/>
        </w:rPr>
        <w:t>Secretaria de la Asociación de Profesionales y Técnicos de la Universidad de Chile</w:t>
      </w:r>
      <w:r w:rsidR="00F84575">
        <w:rPr>
          <w:rFonts w:ascii="Arial" w:hAnsi="Arial" w:cs="Arial"/>
          <w:sz w:val="24"/>
        </w:rPr>
        <w:t>,</w:t>
      </w:r>
      <w:r w:rsidR="00EB0C12" w:rsidRPr="00EB0C12">
        <w:rPr>
          <w:rFonts w:ascii="Arial" w:hAnsi="Arial" w:cs="Arial"/>
          <w:sz w:val="24"/>
        </w:rPr>
        <w:t xml:space="preserve"> señora Zaida Espinoza.</w:t>
      </w:r>
    </w:p>
    <w:p w:rsidR="00385B98" w:rsidRPr="00385B98" w:rsidRDefault="00385B98" w:rsidP="00385B98">
      <w:pPr>
        <w:tabs>
          <w:tab w:val="left" w:pos="709"/>
        </w:tabs>
        <w:spacing w:before="120"/>
        <w:jc w:val="both"/>
        <w:rPr>
          <w:rFonts w:ascii="Arial" w:hAnsi="Arial" w:cs="Arial"/>
          <w:sz w:val="24"/>
          <w:lang w:val="es-CL"/>
        </w:rPr>
      </w:pPr>
      <w:r w:rsidRPr="00385B98">
        <w:rPr>
          <w:rFonts w:ascii="Arial" w:hAnsi="Arial" w:cs="Arial"/>
          <w:sz w:val="24"/>
          <w:lang w:val="es-CL"/>
        </w:rPr>
        <w:tab/>
        <w:t>Expresó que el proyecto se trabajó por 2 años con el Ejecutivo y que esperaba que hubiese sido presentado en el 2016. Además, precisó que pese a que suscribieron un protocolo de acuerdo, claramente tiene observaciones y no se mejora como se quisiera los problemas generados por el decreto ley N° 3.500, pero pese a ello es esperado por muchos funcionarios.</w:t>
      </w:r>
    </w:p>
    <w:p w:rsidR="00385B98" w:rsidRPr="00385B98" w:rsidRDefault="00385B98" w:rsidP="00385B98">
      <w:pPr>
        <w:tabs>
          <w:tab w:val="left" w:pos="709"/>
        </w:tabs>
        <w:spacing w:before="120"/>
        <w:jc w:val="both"/>
        <w:rPr>
          <w:rFonts w:ascii="Arial" w:hAnsi="Arial" w:cs="Arial"/>
          <w:sz w:val="24"/>
          <w:lang w:val="es-CL"/>
        </w:rPr>
      </w:pPr>
      <w:r w:rsidRPr="00385B98">
        <w:rPr>
          <w:rFonts w:ascii="Arial" w:hAnsi="Arial" w:cs="Arial"/>
          <w:sz w:val="24"/>
          <w:lang w:val="es-CL"/>
        </w:rPr>
        <w:tab/>
        <w:t>El reparo principal dice relación con aquellos funcionarios que se retiraron a partir del 1 de enero de 2015 hasta la fecha, sin ley de incentivo al retiro, recibiendo sólo el beneficio de la ley N° 20.374. Pidió que esta ley se haga extensiva y se homologue lo que ya se hizo en una ley para los no profesionales que subsanó esta situación.</w:t>
      </w:r>
    </w:p>
    <w:p w:rsidR="00385B98" w:rsidRPr="00385B98" w:rsidRDefault="00385B98" w:rsidP="00385B98">
      <w:pPr>
        <w:tabs>
          <w:tab w:val="left" w:pos="709"/>
        </w:tabs>
        <w:spacing w:before="120"/>
        <w:jc w:val="both"/>
        <w:rPr>
          <w:rFonts w:ascii="Arial" w:hAnsi="Arial" w:cs="Arial"/>
          <w:sz w:val="24"/>
          <w:lang w:val="es-CL"/>
        </w:rPr>
      </w:pPr>
      <w:r w:rsidRPr="00385B98">
        <w:rPr>
          <w:rFonts w:ascii="Arial" w:hAnsi="Arial" w:cs="Arial"/>
          <w:sz w:val="24"/>
          <w:lang w:val="es-CL"/>
        </w:rPr>
        <w:tab/>
        <w:t>Asimismo, pidió que los profesionales que se retiraron entre 2012 y 2015 reciban la diferencia que se genera a su favor por aplicación de esta ley.</w:t>
      </w:r>
    </w:p>
    <w:p w:rsidR="00385B98" w:rsidRPr="00385B98" w:rsidRDefault="00385B98" w:rsidP="00385B98">
      <w:pPr>
        <w:tabs>
          <w:tab w:val="left" w:pos="709"/>
        </w:tabs>
        <w:spacing w:before="120"/>
        <w:jc w:val="both"/>
        <w:rPr>
          <w:rFonts w:ascii="Arial" w:hAnsi="Arial" w:cs="Arial"/>
          <w:sz w:val="24"/>
          <w:lang w:val="es-CL"/>
        </w:rPr>
      </w:pPr>
      <w:r w:rsidRPr="00385B98">
        <w:rPr>
          <w:rFonts w:ascii="Arial" w:hAnsi="Arial" w:cs="Arial"/>
          <w:sz w:val="24"/>
          <w:lang w:val="es-CL"/>
        </w:rPr>
        <w:tab/>
        <w:t>Pidió que se garantice el cumplimiento del artículo 2, en atención a que en muchas universidades, especialmente en regiones, se paga el sueldo de reemplazo al personal hasta que se recibe el beneficio. Asimismo, que se pague la bonificación lo más cercano posible al cese de funciones.</w:t>
      </w:r>
    </w:p>
    <w:p w:rsidR="00385B98" w:rsidRPr="00385B98" w:rsidRDefault="00385B98" w:rsidP="00385B98">
      <w:pPr>
        <w:tabs>
          <w:tab w:val="left" w:pos="709"/>
        </w:tabs>
        <w:spacing w:before="120"/>
        <w:jc w:val="both"/>
        <w:rPr>
          <w:rFonts w:ascii="Arial" w:hAnsi="Arial" w:cs="Arial"/>
          <w:sz w:val="24"/>
          <w:lang w:val="es-CL"/>
        </w:rPr>
      </w:pPr>
      <w:r w:rsidRPr="00385B98">
        <w:rPr>
          <w:rFonts w:ascii="Arial" w:hAnsi="Arial" w:cs="Arial"/>
          <w:sz w:val="24"/>
          <w:lang w:val="es-CL"/>
        </w:rPr>
        <w:tab/>
        <w:t>Precisó que el número de 900 cupos no es suficiente para recoger al potencial universo de beneficiarios, que estima que debe acercarse a los 1.500.</w:t>
      </w:r>
    </w:p>
    <w:p w:rsidR="00A84E70" w:rsidRPr="00385B98" w:rsidRDefault="00385B98" w:rsidP="00385B98">
      <w:pPr>
        <w:tabs>
          <w:tab w:val="left" w:pos="709"/>
        </w:tabs>
        <w:spacing w:before="120"/>
        <w:jc w:val="both"/>
        <w:rPr>
          <w:rFonts w:ascii="Arial" w:hAnsi="Arial" w:cs="Arial"/>
          <w:sz w:val="24"/>
          <w:lang w:val="es-CL"/>
        </w:rPr>
      </w:pPr>
      <w:r w:rsidRPr="00385B98">
        <w:rPr>
          <w:rFonts w:ascii="Arial" w:hAnsi="Arial" w:cs="Arial"/>
          <w:sz w:val="24"/>
          <w:lang w:val="es-CL"/>
        </w:rPr>
        <w:tab/>
        <w:t>Finalmente, expresó que no hay claridad de qué rector decide en caso de empate de funcionarios, si se trata de funcionarios de distintas universidades, debiendo clarificarse el artículo 5 inciso cuarto.</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La Jefa del Subdepartamento Institucional Laboral de la Dirección de Presupuestos del Ministerio de Hacienda, señora Patricia</w:t>
      </w:r>
      <w:r w:rsidRPr="00870429">
        <w:rPr>
          <w:rFonts w:ascii="Arial" w:hAnsi="Arial" w:cs="Arial"/>
          <w:b/>
          <w:sz w:val="24"/>
          <w:lang w:val="es-CL"/>
        </w:rPr>
        <w:t xml:space="preserve"> Orellana</w:t>
      </w:r>
      <w:r w:rsidRPr="00870429">
        <w:rPr>
          <w:rFonts w:ascii="Arial" w:hAnsi="Arial" w:cs="Arial"/>
          <w:sz w:val="24"/>
          <w:lang w:val="es-CL"/>
        </w:rPr>
        <w:t xml:space="preserve"> destacó que el proyecto se suscribió en el marco de </w:t>
      </w:r>
      <w:r w:rsidR="00347329">
        <w:rPr>
          <w:rFonts w:ascii="Arial" w:hAnsi="Arial" w:cs="Arial"/>
          <w:sz w:val="24"/>
          <w:lang w:val="es-CL"/>
        </w:rPr>
        <w:t xml:space="preserve">un </w:t>
      </w:r>
      <w:hyperlink r:id="rId13" w:history="1">
        <w:r w:rsidRPr="00347329">
          <w:rPr>
            <w:rStyle w:val="Hipervnculo"/>
            <w:rFonts w:ascii="Arial" w:hAnsi="Arial" w:cs="Arial"/>
            <w:sz w:val="24"/>
            <w:lang w:val="es-CL"/>
          </w:rPr>
          <w:t>protocolo</w:t>
        </w:r>
      </w:hyperlink>
      <w:r w:rsidRPr="00870429">
        <w:rPr>
          <w:rFonts w:ascii="Arial" w:hAnsi="Arial" w:cs="Arial"/>
          <w:sz w:val="24"/>
          <w:lang w:val="es-CL"/>
        </w:rPr>
        <w:t xml:space="preserve"> de acuerdo con el Consorcio de Universidades Estatales (Cuech) y con los funcionarios. </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 xml:space="preserve">En relación a los cupos, expresó que existe un gran esfuerzo fiscal, ya que se trata de un bono extraordinario y complementario al beneficio de la ley N° 20.374, que es de cargo de las instituciones. Asimismo, debe considerarse que hay un número de funcionarios que decide no acogerse y, por regla general, los cupos que han ofrecido en leyes similares se adecuan muy bien a la realidad. </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Realzó que el beneficio es bastante superior al último que se ofreció en la ley para los profesionales, ya que se pretende dar mejores condiciones de egreso a los funcionarios, pero también se quiere promover la carrera funcionaria.</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Respecto del cómputo de años discontinuos, se debe a que se pretende beneficiar a quienes han tenido una larga trayectoria de funcionarios, que han desarrollado su vida en el sector público.</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En relación a la petición para funcionarios de zonas extremas, puntualizó que alude a la bonificación permanente que entrega la propia institución, por ende, no tiene relación con esta ley y debe pronunciarse la respectiva institución.</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En relación con los pensionados de invalidez, precisó que se extendió a aquellos cercanos a la edad de jubilarse por vejez, pues en dicho caso se considera injusto que no accedan a la bonificación adicional, por regla general.</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 xml:space="preserve">El diputado </w:t>
      </w:r>
      <w:r w:rsidRPr="00870429">
        <w:rPr>
          <w:rFonts w:ascii="Arial" w:hAnsi="Arial" w:cs="Arial"/>
          <w:b/>
          <w:sz w:val="24"/>
          <w:lang w:val="es-CL"/>
        </w:rPr>
        <w:t xml:space="preserve">Robles </w:t>
      </w:r>
      <w:r w:rsidRPr="00870429">
        <w:rPr>
          <w:rFonts w:ascii="Arial" w:hAnsi="Arial" w:cs="Arial"/>
          <w:sz w:val="24"/>
          <w:lang w:val="es-CL"/>
        </w:rPr>
        <w:t>consultó si el acuerdo de los funcionarios es parcial o total, en atención a que no hay posibilidad de introducir modificaciones a través de indicaciones parlamentarias.</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Mostró dudas respecto del inciso cuarto del artículo 5 en relación a la distribución de cupos en relación a las universidades regionales, que quedarían en una situación desmedrada respecto de las universidades más grandes ubicadas en la Región Metropolitana.</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 xml:space="preserve">El diputado </w:t>
      </w:r>
      <w:r w:rsidRPr="00870429">
        <w:rPr>
          <w:rFonts w:ascii="Arial" w:hAnsi="Arial" w:cs="Arial"/>
          <w:b/>
          <w:sz w:val="24"/>
          <w:lang w:val="es-CL"/>
        </w:rPr>
        <w:t xml:space="preserve">Venegas </w:t>
      </w:r>
      <w:r w:rsidRPr="00870429">
        <w:rPr>
          <w:rFonts w:ascii="Arial" w:hAnsi="Arial" w:cs="Arial"/>
          <w:sz w:val="24"/>
          <w:lang w:val="es-CL"/>
        </w:rPr>
        <w:t>consultó respecto de la heredabilidad de la bonificación respecto de quienes fallecieron, y la posibilidad de extenderlo a quienes se jubilaron solo con el desahucio de la ley N° 20.379.</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 xml:space="preserve">El diputado </w:t>
      </w:r>
      <w:r w:rsidRPr="00870429">
        <w:rPr>
          <w:rFonts w:ascii="Arial" w:hAnsi="Arial" w:cs="Arial"/>
          <w:b/>
          <w:sz w:val="24"/>
          <w:lang w:val="es-CL"/>
        </w:rPr>
        <w:t xml:space="preserve">Bellolio </w:t>
      </w:r>
      <w:r w:rsidRPr="00870429">
        <w:rPr>
          <w:rFonts w:ascii="Arial" w:hAnsi="Arial" w:cs="Arial"/>
          <w:sz w:val="24"/>
          <w:lang w:val="es-CL"/>
        </w:rPr>
        <w:t>consultó cuántos funcionarios están en condiciones de acogerse hoy al beneficio.  Asimismo, preguntó si en el caso de las mujeres, que pueden postular desde los 60 y hasta los 65 años, el beneficio puede extenderse más allá del año 2024.</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 xml:space="preserve">El señor </w:t>
      </w:r>
      <w:r w:rsidRPr="00870429">
        <w:rPr>
          <w:rFonts w:ascii="Arial" w:hAnsi="Arial" w:cs="Arial"/>
          <w:b/>
          <w:sz w:val="24"/>
          <w:lang w:val="es-CL"/>
        </w:rPr>
        <w:t>Ramos</w:t>
      </w:r>
      <w:r w:rsidRPr="00870429">
        <w:rPr>
          <w:rFonts w:ascii="Arial" w:hAnsi="Arial" w:cs="Arial"/>
          <w:sz w:val="24"/>
          <w:lang w:val="es-CL"/>
        </w:rPr>
        <w:t xml:space="preserve"> insistió que les parece indispensable que los funcionarios que fallecieron antes de esta ley tengan derecho a sus beneficios, tal como se ha concedido en otras leyes para la Anef, el Colegio de Profesores o los funcionarios no académicos.</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Del mismo modo, precisó que si bien el artículo 9 ley N° 20.374 es un beneficio que hoy paga la institución, el cálculo de renta perjudica el total haberes de los colegas de zonas extremas, por lo que debería considerarse dentro de los mismos.</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Finalmente, reiteró que no debe tratarse de años continuos, sino permitir los servicios prestados en forma discontinua en diversas instituciones. Puso el caso de la Universidad de La Serena, en el cual los funcionarios, por un tema administrativo, fueron recontratados con un día de diferencia y quedaron con años discontinuos.</w:t>
      </w:r>
    </w:p>
    <w:p w:rsidR="00870429" w:rsidRPr="00870429" w:rsidRDefault="00870429" w:rsidP="00870429">
      <w:pPr>
        <w:tabs>
          <w:tab w:val="left" w:pos="709"/>
        </w:tabs>
        <w:spacing w:before="120"/>
        <w:jc w:val="both"/>
        <w:rPr>
          <w:rFonts w:ascii="Arial" w:hAnsi="Arial" w:cs="Arial"/>
          <w:sz w:val="24"/>
          <w:lang w:val="es-CL"/>
        </w:rPr>
      </w:pPr>
      <w:r w:rsidRPr="00870429">
        <w:rPr>
          <w:rFonts w:ascii="Arial" w:hAnsi="Arial" w:cs="Arial"/>
          <w:sz w:val="24"/>
          <w:lang w:val="es-CL"/>
        </w:rPr>
        <w:tab/>
        <w:t xml:space="preserve">El señor </w:t>
      </w:r>
      <w:r w:rsidRPr="00870429">
        <w:rPr>
          <w:rFonts w:ascii="Arial" w:hAnsi="Arial" w:cs="Arial"/>
          <w:b/>
          <w:sz w:val="24"/>
          <w:lang w:val="es-CL"/>
        </w:rPr>
        <w:t xml:space="preserve">Barrera </w:t>
      </w:r>
      <w:r w:rsidRPr="00870429">
        <w:rPr>
          <w:rFonts w:ascii="Arial" w:hAnsi="Arial" w:cs="Arial"/>
          <w:sz w:val="24"/>
          <w:lang w:val="es-CL"/>
        </w:rPr>
        <w:t>manifestó su preocupación por los funcionarios que se fueron sin ley de incentivo al retiro desde el año 2012 hasta la fecha. Por otra parte, estimó necesario aclarar el tema de los cupos y su distribución, en especial, respecto de los funcionarios de regiones. Finalmente, sostuvo que se debe considerar a los funcionarios que se fueron a partir del año 2015 para no perder los beneficios del bono post laboral.</w:t>
      </w:r>
    </w:p>
    <w:p w:rsidR="006B53C6" w:rsidRDefault="00870429" w:rsidP="00D34DC3">
      <w:pPr>
        <w:tabs>
          <w:tab w:val="left" w:pos="709"/>
        </w:tabs>
        <w:spacing w:before="120"/>
        <w:jc w:val="both"/>
        <w:rPr>
          <w:rFonts w:ascii="Arial" w:hAnsi="Arial" w:cs="Arial"/>
          <w:sz w:val="24"/>
          <w:lang w:val="es-CL"/>
        </w:rPr>
      </w:pPr>
      <w:r w:rsidRPr="00870429">
        <w:rPr>
          <w:rFonts w:ascii="Arial" w:hAnsi="Arial" w:cs="Arial"/>
          <w:sz w:val="24"/>
          <w:lang w:val="es-CL"/>
        </w:rPr>
        <w:tab/>
        <w:t xml:space="preserve">La señora </w:t>
      </w:r>
      <w:r w:rsidRPr="00870429">
        <w:rPr>
          <w:rFonts w:ascii="Arial" w:hAnsi="Arial" w:cs="Arial"/>
          <w:b/>
          <w:sz w:val="24"/>
          <w:lang w:val="es-CL"/>
        </w:rPr>
        <w:t xml:space="preserve">Orellana </w:t>
      </w:r>
      <w:r w:rsidRPr="00870429">
        <w:rPr>
          <w:rFonts w:ascii="Arial" w:hAnsi="Arial" w:cs="Arial"/>
          <w:sz w:val="24"/>
          <w:lang w:val="es-CL"/>
        </w:rPr>
        <w:t>aclaró que las mujeres, si bien pueden esperar hasta los 65 años, ello no significa que puedan acogerse al beneficio más allá del año 2024.</w:t>
      </w:r>
    </w:p>
    <w:p w:rsidR="00D34DC3" w:rsidRPr="00D34DC3" w:rsidRDefault="006B53C6" w:rsidP="00D34DC3">
      <w:pPr>
        <w:tabs>
          <w:tab w:val="left" w:pos="709"/>
        </w:tabs>
        <w:spacing w:before="120"/>
        <w:jc w:val="both"/>
        <w:rPr>
          <w:rFonts w:ascii="Arial" w:hAnsi="Arial" w:cs="Arial"/>
          <w:sz w:val="24"/>
          <w:lang w:val="es-CL"/>
        </w:rPr>
      </w:pPr>
      <w:r>
        <w:rPr>
          <w:rFonts w:ascii="Arial" w:hAnsi="Arial" w:cs="Arial"/>
          <w:sz w:val="24"/>
          <w:lang w:val="es-CL"/>
        </w:rPr>
        <w:tab/>
      </w:r>
      <w:r w:rsidR="00347329">
        <w:rPr>
          <w:rFonts w:ascii="Arial" w:hAnsi="Arial" w:cs="Arial"/>
          <w:sz w:val="24"/>
          <w:lang w:val="es-CL"/>
        </w:rPr>
        <w:t xml:space="preserve">Respecto del </w:t>
      </w:r>
      <w:r w:rsidR="00D34DC3" w:rsidRPr="00D34DC3">
        <w:rPr>
          <w:rFonts w:ascii="Arial" w:hAnsi="Arial" w:cs="Arial"/>
          <w:sz w:val="24"/>
          <w:lang w:val="es-CL"/>
        </w:rPr>
        <w:t>cómputo de los años consagrada en el inciso cuarto del artículo 1</w:t>
      </w:r>
      <w:r w:rsidR="00347329">
        <w:rPr>
          <w:rStyle w:val="Refdenotaalpie"/>
          <w:rFonts w:ascii="Arial" w:hAnsi="Arial" w:cs="Arial"/>
          <w:sz w:val="24"/>
          <w:lang w:val="es-CL"/>
        </w:rPr>
        <w:footnoteReference w:id="1"/>
      </w:r>
      <w:r w:rsidR="00D34DC3">
        <w:rPr>
          <w:rFonts w:ascii="Arial" w:hAnsi="Arial" w:cs="Arial"/>
          <w:sz w:val="24"/>
          <w:lang w:val="es-CL"/>
        </w:rPr>
        <w:t xml:space="preserve"> r</w:t>
      </w:r>
      <w:r w:rsidR="00D34DC3" w:rsidRPr="00D34DC3">
        <w:rPr>
          <w:rFonts w:ascii="Arial" w:hAnsi="Arial" w:cs="Arial"/>
          <w:sz w:val="24"/>
          <w:lang w:val="es-CL"/>
        </w:rPr>
        <w:t>espondió, que la norma pretende beneficiar a las personas que hayan desarrollado su carrera en las universidades del Estado, y que el mínimo de 5 años continuos busca evitar recontrataciones para acceder a la bonificación adicional que propone el proyecto. Destacó que el incentivo tiene una vigencia importante, hasta el 31 de diciembre de 2024, lo que hace razonable prever situaciones como las recontrataciones.</w:t>
      </w:r>
    </w:p>
    <w:p w:rsidR="00347329" w:rsidRPr="00870429" w:rsidRDefault="00347329" w:rsidP="00347329">
      <w:pPr>
        <w:tabs>
          <w:tab w:val="left" w:pos="709"/>
        </w:tabs>
        <w:spacing w:before="120"/>
        <w:jc w:val="both"/>
        <w:rPr>
          <w:rFonts w:ascii="Arial" w:hAnsi="Arial" w:cs="Arial"/>
          <w:sz w:val="24"/>
          <w:lang w:val="es-CL"/>
        </w:rPr>
      </w:pPr>
      <w:r w:rsidRPr="00870429">
        <w:rPr>
          <w:rFonts w:ascii="Arial" w:hAnsi="Arial" w:cs="Arial"/>
          <w:b/>
          <w:sz w:val="24"/>
          <w:lang w:val="es-CL"/>
        </w:rPr>
        <w:tab/>
      </w:r>
      <w:r w:rsidRPr="00870429">
        <w:rPr>
          <w:rFonts w:ascii="Arial" w:hAnsi="Arial" w:cs="Arial"/>
          <w:sz w:val="24"/>
          <w:lang w:val="es-CL"/>
        </w:rPr>
        <w:t>La Ministra</w:t>
      </w:r>
      <w:r w:rsidRPr="00870429">
        <w:rPr>
          <w:rFonts w:ascii="Arial" w:hAnsi="Arial" w:cs="Arial"/>
          <w:b/>
          <w:sz w:val="24"/>
          <w:lang w:val="es-CL"/>
        </w:rPr>
        <w:t xml:space="preserve"> Delpiano </w:t>
      </w:r>
      <w:r w:rsidRPr="00870429">
        <w:rPr>
          <w:rFonts w:ascii="Arial" w:hAnsi="Arial" w:cs="Arial"/>
          <w:sz w:val="24"/>
          <w:lang w:val="es-CL"/>
        </w:rPr>
        <w:t xml:space="preserve">manifestó que se revisará la posibilidad de actualización de la </w:t>
      </w:r>
      <w:r>
        <w:rPr>
          <w:rFonts w:ascii="Arial" w:hAnsi="Arial" w:cs="Arial"/>
          <w:sz w:val="24"/>
          <w:lang w:val="es-CL"/>
        </w:rPr>
        <w:t>unidad de fomento</w:t>
      </w:r>
      <w:r w:rsidRPr="00870429">
        <w:rPr>
          <w:rFonts w:ascii="Arial" w:hAnsi="Arial" w:cs="Arial"/>
          <w:sz w:val="24"/>
          <w:lang w:val="es-CL"/>
        </w:rPr>
        <w:t xml:space="preserve"> lo más cercana al pago de la bonificación y la repartición del porcentaje de los cupos de modo de que ninguna institución se vea afectada.  Sin embargo, el tema de incluir a los exfuncionarios es algo más complejo, que debe ser concordado con el Ministerio de Hacienda.</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r>
      <w:r w:rsidR="00347329">
        <w:rPr>
          <w:rFonts w:ascii="Arial" w:hAnsi="Arial" w:cs="Arial"/>
          <w:sz w:val="24"/>
          <w:lang w:val="es-CL"/>
        </w:rPr>
        <w:t>E</w:t>
      </w:r>
      <w:r w:rsidRPr="00D34DC3">
        <w:rPr>
          <w:rFonts w:ascii="Arial" w:hAnsi="Arial" w:cs="Arial"/>
          <w:sz w:val="24"/>
          <w:lang w:val="es-CL"/>
        </w:rPr>
        <w:t>l diputado</w:t>
      </w:r>
      <w:r w:rsidRPr="00D34DC3">
        <w:rPr>
          <w:rFonts w:ascii="Arial" w:hAnsi="Arial" w:cs="Arial"/>
          <w:b/>
          <w:sz w:val="24"/>
          <w:lang w:val="es-CL"/>
        </w:rPr>
        <w:t xml:space="preserve"> Robles </w:t>
      </w:r>
      <w:r w:rsidRPr="00D34DC3">
        <w:rPr>
          <w:rFonts w:ascii="Arial" w:hAnsi="Arial" w:cs="Arial"/>
          <w:sz w:val="24"/>
          <w:lang w:val="es-CL"/>
        </w:rPr>
        <w:t>consultó sobre la posibilidad de ser recontratados en universidades privadas</w:t>
      </w:r>
      <w:r>
        <w:rPr>
          <w:rFonts w:ascii="Arial" w:hAnsi="Arial" w:cs="Arial"/>
          <w:sz w:val="24"/>
          <w:lang w:val="es-CL"/>
        </w:rPr>
        <w:t xml:space="preserve"> de</w:t>
      </w:r>
      <w:r w:rsidRPr="00D34DC3">
        <w:rPr>
          <w:rFonts w:ascii="Arial" w:hAnsi="Arial" w:cs="Arial"/>
          <w:sz w:val="24"/>
          <w:lang w:val="es-CL"/>
        </w:rPr>
        <w:t xml:space="preserve"> quienes se acojan al beneficio de esta ley.</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El diputado Romilio </w:t>
      </w:r>
      <w:r w:rsidRPr="00D34DC3">
        <w:rPr>
          <w:rFonts w:ascii="Arial" w:hAnsi="Arial" w:cs="Arial"/>
          <w:b/>
          <w:sz w:val="24"/>
          <w:lang w:val="es-CL"/>
        </w:rPr>
        <w:t>Gutiérrez</w:t>
      </w:r>
      <w:r w:rsidRPr="00D34DC3">
        <w:rPr>
          <w:rFonts w:ascii="Arial" w:hAnsi="Arial" w:cs="Arial"/>
          <w:sz w:val="24"/>
          <w:lang w:val="es-CL"/>
        </w:rPr>
        <w:t xml:space="preserve"> apuntó que entendiendo la aclaración de la Dirección de Presupuestos en relación al cómputo del plazo del inciso cuarto del artículo 1, bastaría con exceptuar de la norma esa situación.</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La señora </w:t>
      </w:r>
      <w:r w:rsidRPr="00D34DC3">
        <w:rPr>
          <w:rFonts w:ascii="Arial" w:hAnsi="Arial" w:cs="Arial"/>
          <w:b/>
          <w:sz w:val="24"/>
          <w:lang w:val="es-CL"/>
        </w:rPr>
        <w:t>Orellana</w:t>
      </w:r>
      <w:r w:rsidRPr="00D34DC3">
        <w:rPr>
          <w:rFonts w:ascii="Arial" w:hAnsi="Arial" w:cs="Arial"/>
          <w:sz w:val="24"/>
          <w:lang w:val="es-CL"/>
        </w:rPr>
        <w:t xml:space="preserve"> aclaró que el requisito es tener 10 años de servicios continuos o discontinuos, y las épocas de postulación dicen relación con el cumplimiento de edades de los beneficiarios.</w:t>
      </w:r>
      <w:r>
        <w:rPr>
          <w:rFonts w:ascii="Arial" w:hAnsi="Arial" w:cs="Arial"/>
          <w:sz w:val="24"/>
          <w:lang w:val="es-CL"/>
        </w:rPr>
        <w:t xml:space="preserve"> Hizo presente que no hay problema en que los académicos sean recontratados por universidades privadas.</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La diputada </w:t>
      </w:r>
      <w:r w:rsidRPr="00D34DC3">
        <w:rPr>
          <w:rFonts w:ascii="Arial" w:hAnsi="Arial" w:cs="Arial"/>
          <w:b/>
          <w:sz w:val="24"/>
          <w:lang w:val="es-CL"/>
        </w:rPr>
        <w:t>Provoste</w:t>
      </w:r>
      <w:r w:rsidRPr="00D34DC3">
        <w:rPr>
          <w:rFonts w:ascii="Arial" w:hAnsi="Arial" w:cs="Arial"/>
          <w:sz w:val="24"/>
          <w:lang w:val="es-CL"/>
        </w:rPr>
        <w:t xml:space="preserve"> consultó si el proyecto de ley recoge y respeta íntegramente todos los puntos del protocolo de acuerdo.</w:t>
      </w:r>
    </w:p>
    <w:p w:rsid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La Ministra </w:t>
      </w:r>
      <w:r w:rsidRPr="00D34DC3">
        <w:rPr>
          <w:rFonts w:ascii="Arial" w:hAnsi="Arial" w:cs="Arial"/>
          <w:b/>
          <w:sz w:val="24"/>
          <w:lang w:val="es-CL"/>
        </w:rPr>
        <w:t xml:space="preserve">Delpiano </w:t>
      </w:r>
      <w:r w:rsidRPr="00D34DC3">
        <w:rPr>
          <w:rFonts w:ascii="Arial" w:hAnsi="Arial" w:cs="Arial"/>
          <w:sz w:val="24"/>
          <w:lang w:val="es-CL"/>
        </w:rPr>
        <w:t>respondió que, a su entender, se ha recogido y respetado el protocolo de acuerdo en su integridad, pese a que está consciente de que no han podido acogerse todas las aspiraciones de los funcionarios.</w:t>
      </w:r>
    </w:p>
    <w:p w:rsidR="00347329" w:rsidRDefault="00347329" w:rsidP="00347329">
      <w:pPr>
        <w:tabs>
          <w:tab w:val="left" w:pos="709"/>
        </w:tabs>
        <w:spacing w:before="240"/>
        <w:jc w:val="both"/>
        <w:rPr>
          <w:rFonts w:ascii="Arial" w:hAnsi="Arial" w:cs="Arial"/>
          <w:sz w:val="24"/>
        </w:rPr>
      </w:pPr>
      <w:r>
        <w:rPr>
          <w:rFonts w:ascii="Arial" w:hAnsi="Arial" w:cs="Arial"/>
          <w:sz w:val="24"/>
        </w:rPr>
        <w:tab/>
        <w:t>Luego de conocer la opinión de los invitados a exponer sobre el proyecto de ley, la Comisión, coincidiendo en la necesidad de aprobar esta iniciativa, en atención a su importancia para los funcionarios que resultan beneficiados con la misma, procedió a su votación en general.</w:t>
      </w:r>
    </w:p>
    <w:p w:rsidR="00347329" w:rsidRPr="00AA435A" w:rsidRDefault="00347329" w:rsidP="00347329">
      <w:pPr>
        <w:tabs>
          <w:tab w:val="left" w:pos="709"/>
        </w:tabs>
        <w:spacing w:before="240"/>
        <w:jc w:val="both"/>
        <w:rPr>
          <w:rFonts w:ascii="Arial" w:hAnsi="Arial" w:cs="Arial"/>
          <w:sz w:val="24"/>
          <w:lang w:val="es-CL"/>
        </w:rPr>
      </w:pPr>
      <w:r w:rsidRPr="001E1FA4">
        <w:rPr>
          <w:rFonts w:ascii="Arial" w:hAnsi="Arial" w:cs="Arial"/>
          <w:sz w:val="24"/>
        </w:rPr>
        <w:tab/>
      </w:r>
      <w:r w:rsidRPr="00AA435A">
        <w:rPr>
          <w:rFonts w:ascii="Arial" w:hAnsi="Arial" w:cs="Arial"/>
          <w:sz w:val="24"/>
          <w:lang w:val="es-CL"/>
        </w:rPr>
        <w:t>Puesto en votación general</w:t>
      </w:r>
      <w:r>
        <w:rPr>
          <w:rFonts w:ascii="Arial" w:hAnsi="Arial" w:cs="Arial"/>
          <w:sz w:val="24"/>
          <w:lang w:val="es-CL"/>
        </w:rPr>
        <w:t xml:space="preserve"> el proyecto</w:t>
      </w:r>
      <w:r w:rsidRPr="00AA435A">
        <w:rPr>
          <w:rFonts w:ascii="Arial" w:hAnsi="Arial" w:cs="Arial"/>
          <w:sz w:val="24"/>
          <w:lang w:val="es-CL"/>
        </w:rPr>
        <w:t xml:space="preserve">, resultó </w:t>
      </w:r>
      <w:r w:rsidRPr="00AA435A">
        <w:rPr>
          <w:rFonts w:ascii="Arial" w:hAnsi="Arial" w:cs="Arial"/>
          <w:b/>
          <w:sz w:val="24"/>
          <w:lang w:val="es-CL"/>
        </w:rPr>
        <w:t>aprobado por unanimidad</w:t>
      </w:r>
      <w:r w:rsidRPr="00AA435A">
        <w:rPr>
          <w:rFonts w:ascii="Arial" w:hAnsi="Arial" w:cs="Arial"/>
          <w:sz w:val="24"/>
          <w:lang w:val="es-CL"/>
        </w:rPr>
        <w:t xml:space="preserve"> de votos de los diputados </w:t>
      </w:r>
      <w:r>
        <w:rPr>
          <w:rFonts w:ascii="Arial" w:hAnsi="Arial" w:cs="Arial"/>
          <w:sz w:val="24"/>
          <w:lang w:val="es-CL"/>
        </w:rPr>
        <w:t xml:space="preserve">Jaime </w:t>
      </w:r>
      <w:r w:rsidRPr="00AA435A">
        <w:rPr>
          <w:rFonts w:ascii="Arial" w:hAnsi="Arial" w:cs="Arial"/>
          <w:sz w:val="24"/>
          <w:lang w:val="es-CL"/>
        </w:rPr>
        <w:t xml:space="preserve">Bellolio, </w:t>
      </w:r>
      <w:r>
        <w:rPr>
          <w:rFonts w:ascii="Arial" w:hAnsi="Arial" w:cs="Arial"/>
          <w:sz w:val="24"/>
          <w:lang w:val="es-CL"/>
        </w:rPr>
        <w:t xml:space="preserve">Rojo </w:t>
      </w:r>
      <w:r w:rsidRPr="00AA435A">
        <w:rPr>
          <w:rFonts w:ascii="Arial" w:hAnsi="Arial" w:cs="Arial"/>
          <w:sz w:val="24"/>
          <w:lang w:val="es-CL"/>
        </w:rPr>
        <w:t xml:space="preserve">Edwards, </w:t>
      </w:r>
      <w:r>
        <w:rPr>
          <w:rFonts w:ascii="Arial" w:hAnsi="Arial" w:cs="Arial"/>
          <w:sz w:val="24"/>
          <w:lang w:val="es-CL"/>
        </w:rPr>
        <w:t xml:space="preserve">Cristina </w:t>
      </w:r>
      <w:r w:rsidRPr="00AA435A">
        <w:rPr>
          <w:rFonts w:ascii="Arial" w:hAnsi="Arial" w:cs="Arial"/>
          <w:sz w:val="24"/>
          <w:lang w:val="es-CL"/>
        </w:rPr>
        <w:t xml:space="preserve">Girardi, </w:t>
      </w:r>
      <w:r>
        <w:rPr>
          <w:rFonts w:ascii="Arial" w:hAnsi="Arial" w:cs="Arial"/>
          <w:sz w:val="24"/>
          <w:lang w:val="es-CL"/>
        </w:rPr>
        <w:t xml:space="preserve">Sergio </w:t>
      </w:r>
      <w:r w:rsidRPr="00AA435A">
        <w:rPr>
          <w:rFonts w:ascii="Arial" w:hAnsi="Arial" w:cs="Arial"/>
          <w:sz w:val="24"/>
          <w:lang w:val="es-CL"/>
        </w:rPr>
        <w:t xml:space="preserve">Gahona, </w:t>
      </w:r>
      <w:r>
        <w:rPr>
          <w:rFonts w:ascii="Arial" w:hAnsi="Arial" w:cs="Arial"/>
          <w:sz w:val="24"/>
          <w:lang w:val="es-CL"/>
        </w:rPr>
        <w:t xml:space="preserve">Rodrigo </w:t>
      </w:r>
      <w:r w:rsidRPr="00AA435A">
        <w:rPr>
          <w:rFonts w:ascii="Arial" w:hAnsi="Arial" w:cs="Arial"/>
          <w:sz w:val="24"/>
          <w:lang w:val="es-CL"/>
        </w:rPr>
        <w:t xml:space="preserve">González </w:t>
      </w:r>
      <w:r>
        <w:rPr>
          <w:rFonts w:ascii="Arial" w:hAnsi="Arial" w:cs="Arial"/>
          <w:sz w:val="24"/>
          <w:lang w:val="es-CL"/>
        </w:rPr>
        <w:t>(Presidente), María José Hoffmann</w:t>
      </w:r>
      <w:r w:rsidRPr="00AA435A">
        <w:rPr>
          <w:rFonts w:ascii="Arial" w:hAnsi="Arial" w:cs="Arial"/>
          <w:sz w:val="24"/>
          <w:lang w:val="es-CL"/>
        </w:rPr>
        <w:t xml:space="preserve">, </w:t>
      </w:r>
      <w:r>
        <w:rPr>
          <w:rFonts w:ascii="Arial" w:hAnsi="Arial" w:cs="Arial"/>
          <w:sz w:val="24"/>
          <w:lang w:val="es-CL"/>
        </w:rPr>
        <w:t xml:space="preserve">Giorgio </w:t>
      </w:r>
      <w:r w:rsidRPr="00AA435A">
        <w:rPr>
          <w:rFonts w:ascii="Arial" w:hAnsi="Arial" w:cs="Arial"/>
          <w:sz w:val="24"/>
          <w:lang w:val="es-CL"/>
        </w:rPr>
        <w:t xml:space="preserve">Jackson, </w:t>
      </w:r>
      <w:r>
        <w:rPr>
          <w:rFonts w:ascii="Arial" w:hAnsi="Arial" w:cs="Arial"/>
          <w:sz w:val="24"/>
          <w:lang w:val="es-CL"/>
        </w:rPr>
        <w:t xml:space="preserve">Roberto </w:t>
      </w:r>
      <w:r w:rsidRPr="00AA435A">
        <w:rPr>
          <w:rFonts w:ascii="Arial" w:hAnsi="Arial" w:cs="Arial"/>
          <w:sz w:val="24"/>
          <w:lang w:val="es-CL"/>
        </w:rPr>
        <w:t xml:space="preserve">Poblete, </w:t>
      </w:r>
      <w:r>
        <w:rPr>
          <w:rFonts w:ascii="Arial" w:hAnsi="Arial" w:cs="Arial"/>
          <w:sz w:val="24"/>
          <w:lang w:val="es-CL"/>
        </w:rPr>
        <w:t xml:space="preserve">Alberto </w:t>
      </w:r>
      <w:r w:rsidRPr="00AA435A">
        <w:rPr>
          <w:rFonts w:ascii="Arial" w:hAnsi="Arial" w:cs="Arial"/>
          <w:sz w:val="24"/>
          <w:lang w:val="es-CL"/>
        </w:rPr>
        <w:t xml:space="preserve">Robles, </w:t>
      </w:r>
      <w:r>
        <w:rPr>
          <w:rFonts w:ascii="Arial" w:hAnsi="Arial" w:cs="Arial"/>
          <w:sz w:val="24"/>
          <w:lang w:val="es-CL"/>
        </w:rPr>
        <w:t xml:space="preserve">Camila </w:t>
      </w:r>
      <w:r w:rsidRPr="00AA435A">
        <w:rPr>
          <w:rFonts w:ascii="Arial" w:hAnsi="Arial" w:cs="Arial"/>
          <w:sz w:val="24"/>
          <w:lang w:val="es-CL"/>
        </w:rPr>
        <w:t xml:space="preserve">Vallejo y </w:t>
      </w:r>
      <w:r>
        <w:rPr>
          <w:rFonts w:ascii="Arial" w:hAnsi="Arial" w:cs="Arial"/>
          <w:sz w:val="24"/>
          <w:lang w:val="es-CL"/>
        </w:rPr>
        <w:t xml:space="preserve">Mario </w:t>
      </w:r>
      <w:r w:rsidRPr="00AA435A">
        <w:rPr>
          <w:rFonts w:ascii="Arial" w:hAnsi="Arial" w:cs="Arial"/>
          <w:sz w:val="24"/>
          <w:lang w:val="es-CL"/>
        </w:rPr>
        <w:t>Venegas (11-0-0).</w:t>
      </w:r>
    </w:p>
    <w:p w:rsidR="00347329" w:rsidRPr="003D761B" w:rsidRDefault="00347329" w:rsidP="00347329">
      <w:pPr>
        <w:pStyle w:val="Ttulo2"/>
      </w:pPr>
      <w:bookmarkStart w:id="82" w:name="_Toc487615179"/>
      <w:r>
        <w:t>B) E</w:t>
      </w:r>
      <w:r w:rsidRPr="003D761B">
        <w:t xml:space="preserve">n </w:t>
      </w:r>
      <w:r>
        <w:t>particular</w:t>
      </w:r>
      <w:r w:rsidRPr="003D761B">
        <w:t>.</w:t>
      </w:r>
      <w:bookmarkEnd w:id="82"/>
    </w:p>
    <w:p w:rsidR="00D34DC3" w:rsidRPr="00D34DC3" w:rsidRDefault="00D34DC3" w:rsidP="00DA2E67">
      <w:pPr>
        <w:tabs>
          <w:tab w:val="left" w:pos="709"/>
        </w:tabs>
        <w:spacing w:before="240"/>
        <w:jc w:val="both"/>
        <w:rPr>
          <w:rFonts w:ascii="Arial" w:hAnsi="Arial" w:cs="Arial"/>
          <w:sz w:val="24"/>
          <w:lang w:val="es-CL"/>
        </w:rPr>
      </w:pPr>
      <w:r w:rsidRPr="00D34DC3">
        <w:rPr>
          <w:rFonts w:ascii="Arial" w:hAnsi="Arial" w:cs="Arial"/>
          <w:sz w:val="24"/>
          <w:lang w:val="es-CL"/>
        </w:rPr>
        <w:tab/>
      </w:r>
      <w:r w:rsidR="00A764E4">
        <w:rPr>
          <w:rFonts w:ascii="Arial" w:hAnsi="Arial" w:cs="Arial"/>
          <w:sz w:val="24"/>
          <w:lang w:val="es-CL"/>
        </w:rPr>
        <w:t>E</w:t>
      </w:r>
      <w:r w:rsidRPr="00D34DC3">
        <w:rPr>
          <w:rFonts w:ascii="Arial" w:hAnsi="Arial" w:cs="Arial"/>
          <w:sz w:val="24"/>
          <w:lang w:val="es-CL"/>
        </w:rPr>
        <w:t>n particular</w:t>
      </w:r>
      <w:r w:rsidR="00A764E4">
        <w:rPr>
          <w:rFonts w:ascii="Arial" w:hAnsi="Arial" w:cs="Arial"/>
          <w:sz w:val="24"/>
          <w:lang w:val="es-CL"/>
        </w:rPr>
        <w:t xml:space="preserve">, </w:t>
      </w:r>
      <w:r w:rsidRPr="00D34DC3">
        <w:rPr>
          <w:rFonts w:ascii="Arial" w:hAnsi="Arial" w:cs="Arial"/>
          <w:sz w:val="24"/>
          <w:lang w:val="es-CL"/>
        </w:rPr>
        <w:t>el proyecto</w:t>
      </w:r>
      <w:r w:rsidR="00A764E4">
        <w:rPr>
          <w:rFonts w:ascii="Arial" w:hAnsi="Arial" w:cs="Arial"/>
          <w:sz w:val="24"/>
          <w:lang w:val="es-CL"/>
        </w:rPr>
        <w:t xml:space="preserve"> se votó de la si</w:t>
      </w:r>
      <w:r w:rsidRPr="00D34DC3">
        <w:rPr>
          <w:rFonts w:ascii="Arial" w:hAnsi="Arial" w:cs="Arial"/>
          <w:sz w:val="24"/>
          <w:lang w:val="es-CL"/>
        </w:rPr>
        <w:t>guiente</w:t>
      </w:r>
      <w:r w:rsidR="00A764E4">
        <w:rPr>
          <w:rFonts w:ascii="Arial" w:hAnsi="Arial" w:cs="Arial"/>
          <w:sz w:val="24"/>
          <w:lang w:val="es-CL"/>
        </w:rPr>
        <w:t xml:space="preserve"> forma</w:t>
      </w:r>
      <w:r w:rsidRPr="00D34DC3">
        <w:rPr>
          <w:rFonts w:ascii="Arial" w:hAnsi="Arial" w:cs="Arial"/>
          <w:sz w:val="24"/>
          <w:lang w:val="es-CL"/>
        </w:rPr>
        <w:t>:</w:t>
      </w:r>
    </w:p>
    <w:p w:rsidR="00D34DC3" w:rsidRPr="00D34DC3" w:rsidRDefault="00D34DC3" w:rsidP="003156B0">
      <w:pPr>
        <w:tabs>
          <w:tab w:val="left" w:pos="709"/>
        </w:tabs>
        <w:spacing w:before="240"/>
        <w:jc w:val="center"/>
        <w:rPr>
          <w:rFonts w:ascii="Arial" w:hAnsi="Arial" w:cs="Arial"/>
          <w:b/>
          <w:sz w:val="24"/>
          <w:lang w:val="es-CL"/>
        </w:rPr>
      </w:pPr>
      <w:r w:rsidRPr="00D34DC3">
        <w:rPr>
          <w:rFonts w:ascii="Arial" w:hAnsi="Arial" w:cs="Arial"/>
          <w:b/>
          <w:sz w:val="24"/>
          <w:lang w:val="es-CL"/>
        </w:rPr>
        <w:t>Artículo 1</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b/>
          <w:sz w:val="24"/>
          <w:lang w:val="es-CL"/>
        </w:rPr>
        <w:tab/>
      </w:r>
      <w:r w:rsidRPr="00D34DC3">
        <w:rPr>
          <w:rFonts w:ascii="Arial" w:hAnsi="Arial" w:cs="Arial"/>
          <w:sz w:val="24"/>
          <w:lang w:val="es-CL"/>
        </w:rPr>
        <w:t xml:space="preserve">El diputado </w:t>
      </w:r>
      <w:r w:rsidRPr="00D34DC3">
        <w:rPr>
          <w:rFonts w:ascii="Arial" w:hAnsi="Arial" w:cs="Arial"/>
          <w:b/>
          <w:sz w:val="24"/>
          <w:lang w:val="es-CL"/>
        </w:rPr>
        <w:t>Jackson</w:t>
      </w:r>
      <w:r w:rsidRPr="00D34DC3">
        <w:rPr>
          <w:rFonts w:ascii="Arial" w:hAnsi="Arial" w:cs="Arial"/>
          <w:sz w:val="24"/>
          <w:lang w:val="es-CL"/>
        </w:rPr>
        <w:t xml:space="preserve"> pidió votación separada del inciso cuarto del artículo 1.</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Puesto en votación el artículo 1, sin el inciso cuarto, resultó </w:t>
      </w:r>
      <w:r w:rsidRPr="00D34DC3">
        <w:rPr>
          <w:rFonts w:ascii="Arial" w:hAnsi="Arial" w:cs="Arial"/>
          <w:b/>
          <w:sz w:val="24"/>
          <w:lang w:val="es-CL"/>
        </w:rPr>
        <w:t>aprobado por unanimidad</w:t>
      </w:r>
      <w:r w:rsidRPr="00D34DC3">
        <w:rPr>
          <w:rFonts w:ascii="Arial" w:hAnsi="Arial" w:cs="Arial"/>
          <w:sz w:val="24"/>
          <w:lang w:val="es-CL"/>
        </w:rPr>
        <w:t xml:space="preserve"> de votos de los diputados Girardi, González, Romilio Gutiérrez, Jackson, Poblete, Provoste, Robles, Vallejo y Venegas (9-0-0).</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Puesto en votación el inciso cuarto, resultó </w:t>
      </w:r>
      <w:r w:rsidRPr="00D34DC3">
        <w:rPr>
          <w:rFonts w:ascii="Arial" w:hAnsi="Arial" w:cs="Arial"/>
          <w:b/>
          <w:sz w:val="24"/>
          <w:lang w:val="es-CL"/>
        </w:rPr>
        <w:t xml:space="preserve">rechazado </w:t>
      </w:r>
      <w:r w:rsidRPr="00D34DC3">
        <w:rPr>
          <w:rFonts w:ascii="Arial" w:hAnsi="Arial" w:cs="Arial"/>
          <w:sz w:val="24"/>
          <w:lang w:val="es-CL"/>
        </w:rPr>
        <w:t>por mayoría de votos. A favor votaron los diputados Robles y Venegas. En contra votaron los diputados Romilio Gutiérrez, González, Jackson, Provoste y Vallejo, y se abstuvieron los diputados Girardi y Poblete (2-5-2).</w:t>
      </w:r>
    </w:p>
    <w:p w:rsidR="00D34DC3" w:rsidRPr="00D34DC3" w:rsidRDefault="00D34DC3" w:rsidP="00D34DC3">
      <w:pPr>
        <w:tabs>
          <w:tab w:val="left" w:pos="709"/>
        </w:tabs>
        <w:spacing w:before="240"/>
        <w:jc w:val="center"/>
        <w:rPr>
          <w:rFonts w:ascii="Arial" w:hAnsi="Arial" w:cs="Arial"/>
          <w:b/>
          <w:sz w:val="24"/>
          <w:lang w:val="es-CL"/>
        </w:rPr>
      </w:pPr>
      <w:r w:rsidRPr="00D34DC3">
        <w:rPr>
          <w:rFonts w:ascii="Arial" w:hAnsi="Arial" w:cs="Arial"/>
          <w:b/>
          <w:sz w:val="24"/>
          <w:lang w:val="es-CL"/>
        </w:rPr>
        <w:t>Artículo 2</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b/>
          <w:sz w:val="24"/>
          <w:lang w:val="es-CL"/>
        </w:rPr>
        <w:tab/>
      </w:r>
      <w:r w:rsidRPr="00D34DC3">
        <w:rPr>
          <w:rFonts w:ascii="Arial" w:hAnsi="Arial" w:cs="Arial"/>
          <w:sz w:val="24"/>
          <w:lang w:val="es-CL"/>
        </w:rPr>
        <w:t xml:space="preserve">Puesto en votación el artículo 2, resultó </w:t>
      </w:r>
      <w:r w:rsidRPr="00D34DC3">
        <w:rPr>
          <w:rFonts w:ascii="Arial" w:hAnsi="Arial" w:cs="Arial"/>
          <w:b/>
          <w:sz w:val="24"/>
          <w:lang w:val="es-CL"/>
        </w:rPr>
        <w:t>aprobado por unanimidad</w:t>
      </w:r>
      <w:r w:rsidRPr="00D34DC3">
        <w:rPr>
          <w:rFonts w:ascii="Arial" w:hAnsi="Arial" w:cs="Arial"/>
          <w:sz w:val="24"/>
          <w:lang w:val="es-CL"/>
        </w:rPr>
        <w:t xml:space="preserve"> de votos de los diputados Girardi, González, Romilio Gutiérrez, Jackson, Poblete, Provoste, Robles, Vallejo y Venegas (9-0-0).</w:t>
      </w:r>
    </w:p>
    <w:p w:rsidR="00D34DC3" w:rsidRPr="00D34DC3" w:rsidRDefault="00D34DC3" w:rsidP="00D34DC3">
      <w:pPr>
        <w:tabs>
          <w:tab w:val="left" w:pos="709"/>
        </w:tabs>
        <w:spacing w:before="240"/>
        <w:jc w:val="center"/>
        <w:rPr>
          <w:rFonts w:ascii="Arial" w:hAnsi="Arial" w:cs="Arial"/>
          <w:b/>
          <w:sz w:val="24"/>
          <w:lang w:val="es-CL"/>
        </w:rPr>
      </w:pPr>
      <w:r w:rsidRPr="00D34DC3">
        <w:rPr>
          <w:rFonts w:ascii="Arial" w:hAnsi="Arial" w:cs="Arial"/>
          <w:b/>
          <w:sz w:val="24"/>
          <w:lang w:val="es-CL"/>
        </w:rPr>
        <w:t>Artículo 3</w:t>
      </w:r>
    </w:p>
    <w:p w:rsidR="00D34DC3" w:rsidRPr="00D34DC3" w:rsidRDefault="00D34DC3" w:rsidP="00D34DC3">
      <w:pPr>
        <w:tabs>
          <w:tab w:val="left" w:pos="709"/>
        </w:tabs>
        <w:spacing w:before="120"/>
        <w:jc w:val="both"/>
        <w:rPr>
          <w:rFonts w:ascii="Arial" w:hAnsi="Arial" w:cs="Arial"/>
          <w:b/>
          <w:sz w:val="24"/>
          <w:lang w:val="es-CL"/>
        </w:rPr>
      </w:pPr>
      <w:r w:rsidRPr="00D34DC3">
        <w:rPr>
          <w:rFonts w:ascii="Arial" w:hAnsi="Arial" w:cs="Arial"/>
          <w:b/>
          <w:sz w:val="24"/>
          <w:lang w:val="es-CL"/>
        </w:rPr>
        <w:tab/>
      </w:r>
      <w:r w:rsidRPr="00D34DC3">
        <w:rPr>
          <w:rFonts w:ascii="Arial" w:hAnsi="Arial" w:cs="Arial"/>
          <w:sz w:val="24"/>
          <w:lang w:val="es-CL"/>
        </w:rPr>
        <w:t xml:space="preserve">Puesto en votación el artículo 3, resultó </w:t>
      </w:r>
      <w:r w:rsidRPr="00D34DC3">
        <w:rPr>
          <w:rFonts w:ascii="Arial" w:hAnsi="Arial" w:cs="Arial"/>
          <w:b/>
          <w:sz w:val="24"/>
          <w:lang w:val="es-CL"/>
        </w:rPr>
        <w:t>aprobado por unanimidad</w:t>
      </w:r>
      <w:r w:rsidRPr="00D34DC3">
        <w:rPr>
          <w:rFonts w:ascii="Arial" w:hAnsi="Arial" w:cs="Arial"/>
          <w:sz w:val="24"/>
          <w:lang w:val="es-CL"/>
        </w:rPr>
        <w:t xml:space="preserve"> de votos de los diputados Girardi, González, Romilio Gutiérrez, Jackson, Poblete, Provoste, Robles, Vallejo y Venegas (9-0-0).</w:t>
      </w:r>
    </w:p>
    <w:p w:rsidR="00D34DC3" w:rsidRPr="00D34DC3" w:rsidRDefault="00D34DC3" w:rsidP="00D34DC3">
      <w:pPr>
        <w:tabs>
          <w:tab w:val="left" w:pos="709"/>
        </w:tabs>
        <w:spacing w:before="240"/>
        <w:jc w:val="center"/>
        <w:rPr>
          <w:rFonts w:ascii="Arial" w:hAnsi="Arial" w:cs="Arial"/>
          <w:b/>
          <w:sz w:val="24"/>
          <w:lang w:val="es-CL"/>
        </w:rPr>
      </w:pPr>
      <w:r w:rsidRPr="00D34DC3">
        <w:rPr>
          <w:rFonts w:ascii="Arial" w:hAnsi="Arial" w:cs="Arial"/>
          <w:b/>
          <w:sz w:val="24"/>
          <w:lang w:val="es-CL"/>
        </w:rPr>
        <w:t>Artículo 4</w:t>
      </w:r>
    </w:p>
    <w:p w:rsidR="00D34DC3" w:rsidRPr="00D34DC3" w:rsidRDefault="00D34DC3" w:rsidP="00D34DC3">
      <w:pPr>
        <w:tabs>
          <w:tab w:val="left" w:pos="709"/>
        </w:tabs>
        <w:spacing w:before="120"/>
        <w:jc w:val="both"/>
        <w:rPr>
          <w:rFonts w:ascii="Arial" w:hAnsi="Arial" w:cs="Arial"/>
          <w:b/>
          <w:sz w:val="24"/>
          <w:lang w:val="es-CL"/>
        </w:rPr>
      </w:pPr>
      <w:r w:rsidRPr="00D34DC3">
        <w:rPr>
          <w:rFonts w:ascii="Arial" w:hAnsi="Arial" w:cs="Arial"/>
          <w:b/>
          <w:sz w:val="24"/>
          <w:lang w:val="es-CL"/>
        </w:rPr>
        <w:tab/>
      </w:r>
      <w:r w:rsidRPr="00D34DC3">
        <w:rPr>
          <w:rFonts w:ascii="Arial" w:hAnsi="Arial" w:cs="Arial"/>
          <w:sz w:val="24"/>
          <w:lang w:val="es-CL"/>
        </w:rPr>
        <w:t xml:space="preserve">Puesto en votación el artículo 4, resultó </w:t>
      </w:r>
      <w:r w:rsidRPr="00D34DC3">
        <w:rPr>
          <w:rFonts w:ascii="Arial" w:hAnsi="Arial" w:cs="Arial"/>
          <w:b/>
          <w:sz w:val="24"/>
          <w:lang w:val="es-CL"/>
        </w:rPr>
        <w:t>aprobado por unanimidad</w:t>
      </w:r>
      <w:r w:rsidRPr="00D34DC3">
        <w:rPr>
          <w:rFonts w:ascii="Arial" w:hAnsi="Arial" w:cs="Arial"/>
          <w:sz w:val="24"/>
          <w:lang w:val="es-CL"/>
        </w:rPr>
        <w:t xml:space="preserve"> de votos de los diputados Girardi, González, Romilio Gutiérrez, Jackson, Poblete, Provoste, Robles, Vallejo y Venegas (9-0-0).</w:t>
      </w:r>
    </w:p>
    <w:p w:rsidR="00D34DC3" w:rsidRPr="00D34DC3" w:rsidRDefault="00D34DC3" w:rsidP="00D34DC3">
      <w:pPr>
        <w:tabs>
          <w:tab w:val="left" w:pos="709"/>
        </w:tabs>
        <w:spacing w:before="240"/>
        <w:jc w:val="center"/>
        <w:rPr>
          <w:rFonts w:ascii="Arial" w:hAnsi="Arial" w:cs="Arial"/>
          <w:b/>
          <w:sz w:val="24"/>
          <w:lang w:val="es-CL"/>
        </w:rPr>
      </w:pPr>
      <w:r w:rsidRPr="00D34DC3">
        <w:rPr>
          <w:rFonts w:ascii="Arial" w:hAnsi="Arial" w:cs="Arial"/>
          <w:b/>
          <w:sz w:val="24"/>
          <w:lang w:val="es-CL"/>
        </w:rPr>
        <w:t>Artículo 5</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El diputado </w:t>
      </w:r>
      <w:r w:rsidRPr="00D34DC3">
        <w:rPr>
          <w:rFonts w:ascii="Arial" w:hAnsi="Arial" w:cs="Arial"/>
          <w:b/>
          <w:sz w:val="24"/>
          <w:lang w:val="es-CL"/>
        </w:rPr>
        <w:t>Jackson</w:t>
      </w:r>
      <w:r w:rsidRPr="00D34DC3">
        <w:rPr>
          <w:rFonts w:ascii="Arial" w:hAnsi="Arial" w:cs="Arial"/>
          <w:sz w:val="24"/>
          <w:lang w:val="es-CL"/>
        </w:rPr>
        <w:t xml:space="preserve"> pidió votación separada del inciso cuarto del artículo 5.</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Puesto en votación el artículo 5, sin el inciso cuarto, resultó </w:t>
      </w:r>
      <w:r w:rsidRPr="00D34DC3">
        <w:rPr>
          <w:rFonts w:ascii="Arial" w:hAnsi="Arial" w:cs="Arial"/>
          <w:b/>
          <w:sz w:val="24"/>
          <w:lang w:val="es-CL"/>
        </w:rPr>
        <w:t>aprobado por unanimidad</w:t>
      </w:r>
      <w:r w:rsidRPr="00D34DC3">
        <w:rPr>
          <w:rFonts w:ascii="Arial" w:hAnsi="Arial" w:cs="Arial"/>
          <w:sz w:val="24"/>
          <w:lang w:val="es-CL"/>
        </w:rPr>
        <w:t xml:space="preserve"> de votos de los diputados Bellolio, Girardi, González, Romilio Gutiérrez, Jackson, Poblete, Provoste, Robles, Vallejo y Venegas (10-0-0).</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Se presentó una indicación de los diputados </w:t>
      </w:r>
      <w:r w:rsidRPr="00D34DC3">
        <w:rPr>
          <w:rFonts w:ascii="Arial" w:hAnsi="Arial" w:cs="Arial"/>
          <w:b/>
          <w:sz w:val="24"/>
          <w:lang w:val="es-CL"/>
        </w:rPr>
        <w:t xml:space="preserve">Girardi, Provoste </w:t>
      </w:r>
      <w:r w:rsidRPr="00D34DC3">
        <w:rPr>
          <w:rFonts w:ascii="Arial" w:hAnsi="Arial" w:cs="Arial"/>
          <w:sz w:val="24"/>
          <w:lang w:val="es-CL"/>
        </w:rPr>
        <w:t xml:space="preserve">y </w:t>
      </w:r>
      <w:r w:rsidRPr="00D34DC3">
        <w:rPr>
          <w:rFonts w:ascii="Arial" w:hAnsi="Arial" w:cs="Arial"/>
          <w:b/>
          <w:sz w:val="24"/>
          <w:lang w:val="es-CL"/>
        </w:rPr>
        <w:t>Robles</w:t>
      </w:r>
      <w:r w:rsidRPr="00D34DC3">
        <w:rPr>
          <w:rFonts w:ascii="Arial" w:hAnsi="Arial" w:cs="Arial"/>
          <w:sz w:val="24"/>
          <w:lang w:val="es-CL"/>
        </w:rPr>
        <w:t xml:space="preserve"> para agregar en el inciso cuarto, después de “universidades estatales”, lo siguiente “con prioridad a las universidades estatales”.</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La</w:t>
      </w:r>
      <w:r w:rsidRPr="00D34DC3">
        <w:rPr>
          <w:rFonts w:ascii="Arial" w:hAnsi="Arial" w:cs="Arial"/>
          <w:sz w:val="24"/>
        </w:rPr>
        <w:t xml:space="preserve"> </w:t>
      </w:r>
      <w:r w:rsidRPr="00D34DC3">
        <w:rPr>
          <w:rFonts w:ascii="Arial" w:hAnsi="Arial" w:cs="Arial"/>
          <w:sz w:val="24"/>
          <w:lang w:val="es-CL"/>
        </w:rPr>
        <w:t xml:space="preserve">Jefa de la División de Educación Superior, señora </w:t>
      </w:r>
      <w:r w:rsidRPr="00D34DC3">
        <w:rPr>
          <w:rFonts w:ascii="Arial" w:hAnsi="Arial" w:cs="Arial"/>
          <w:b/>
          <w:sz w:val="24"/>
          <w:lang w:val="es-CL"/>
        </w:rPr>
        <w:t xml:space="preserve">Contreras </w:t>
      </w:r>
      <w:r w:rsidRPr="00D34DC3">
        <w:rPr>
          <w:rFonts w:ascii="Arial" w:hAnsi="Arial" w:cs="Arial"/>
          <w:sz w:val="24"/>
          <w:lang w:val="es-CL"/>
        </w:rPr>
        <w:t>expresó que es imposible, en la práctica, definir una prioridad de unas instituciones por sobre otras, ya que el mecanismo lo impide, correspondiéndole al Ministerio sólo definir la cantidad de postulantes y la proporcionalidad que corresponde.</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Puesta en votación</w:t>
      </w:r>
      <w:r w:rsidR="00DA2E67">
        <w:rPr>
          <w:rFonts w:ascii="Arial" w:hAnsi="Arial" w:cs="Arial"/>
          <w:sz w:val="24"/>
          <w:lang w:val="es-CL"/>
        </w:rPr>
        <w:t xml:space="preserve"> la indicación</w:t>
      </w:r>
      <w:r w:rsidRPr="00D34DC3">
        <w:rPr>
          <w:rFonts w:ascii="Arial" w:hAnsi="Arial" w:cs="Arial"/>
          <w:sz w:val="24"/>
          <w:lang w:val="es-CL"/>
        </w:rPr>
        <w:t xml:space="preserve">, resultó </w:t>
      </w:r>
      <w:r w:rsidRPr="00D34DC3">
        <w:rPr>
          <w:rFonts w:ascii="Arial" w:hAnsi="Arial" w:cs="Arial"/>
          <w:b/>
          <w:sz w:val="24"/>
          <w:lang w:val="es-CL"/>
        </w:rPr>
        <w:t xml:space="preserve">aprobada </w:t>
      </w:r>
      <w:r w:rsidRPr="00D34DC3">
        <w:rPr>
          <w:rFonts w:ascii="Arial" w:hAnsi="Arial" w:cs="Arial"/>
          <w:sz w:val="24"/>
          <w:lang w:val="es-CL"/>
        </w:rPr>
        <w:t xml:space="preserve">por mayoría de votos de los diputados Girardi, González, Romilio Gutiérrez, Jackson, </w:t>
      </w:r>
      <w:r w:rsidR="00DA2E67">
        <w:rPr>
          <w:rFonts w:ascii="Arial" w:hAnsi="Arial" w:cs="Arial"/>
          <w:sz w:val="24"/>
          <w:lang w:val="es-CL"/>
        </w:rPr>
        <w:t xml:space="preserve">Poblete, </w:t>
      </w:r>
      <w:r w:rsidRPr="00D34DC3">
        <w:rPr>
          <w:rFonts w:ascii="Arial" w:hAnsi="Arial" w:cs="Arial"/>
          <w:sz w:val="24"/>
          <w:lang w:val="es-CL"/>
        </w:rPr>
        <w:t>Provoste, Robles y Vallejo. En contra votó el diputado Venegas, y se abstuvo el diputado Bellolio (</w:t>
      </w:r>
      <w:r w:rsidR="00DA2E67">
        <w:rPr>
          <w:rFonts w:ascii="Arial" w:hAnsi="Arial" w:cs="Arial"/>
          <w:sz w:val="24"/>
          <w:lang w:val="es-CL"/>
        </w:rPr>
        <w:t>8</w:t>
      </w:r>
      <w:r w:rsidRPr="00D34DC3">
        <w:rPr>
          <w:rFonts w:ascii="Arial" w:hAnsi="Arial" w:cs="Arial"/>
          <w:sz w:val="24"/>
          <w:lang w:val="es-CL"/>
        </w:rPr>
        <w:t>-1-1).</w:t>
      </w:r>
    </w:p>
    <w:p w:rsidR="00D34DC3" w:rsidRPr="00DA2E67" w:rsidRDefault="00D34DC3" w:rsidP="00D34DC3">
      <w:pPr>
        <w:tabs>
          <w:tab w:val="left" w:pos="709"/>
        </w:tabs>
        <w:spacing w:before="120"/>
        <w:jc w:val="both"/>
        <w:rPr>
          <w:rFonts w:ascii="Arial" w:hAnsi="Arial" w:cs="Arial"/>
          <w:spacing w:val="2"/>
          <w:sz w:val="24"/>
          <w:lang w:val="es-CL"/>
        </w:rPr>
      </w:pPr>
      <w:r w:rsidRPr="00D34DC3">
        <w:rPr>
          <w:rFonts w:ascii="Arial" w:hAnsi="Arial" w:cs="Arial"/>
          <w:sz w:val="24"/>
          <w:lang w:val="es-CL"/>
        </w:rPr>
        <w:tab/>
      </w:r>
      <w:r w:rsidRPr="00DA2E67">
        <w:rPr>
          <w:rFonts w:ascii="Arial" w:hAnsi="Arial" w:cs="Arial"/>
          <w:spacing w:val="2"/>
          <w:sz w:val="24"/>
          <w:lang w:val="es-CL"/>
        </w:rPr>
        <w:t xml:space="preserve">Puesto en votación el inciso cuarto, resultó </w:t>
      </w:r>
      <w:r w:rsidRPr="00DA2E67">
        <w:rPr>
          <w:rFonts w:ascii="Arial" w:hAnsi="Arial" w:cs="Arial"/>
          <w:b/>
          <w:spacing w:val="2"/>
          <w:sz w:val="24"/>
          <w:lang w:val="es-CL"/>
        </w:rPr>
        <w:t xml:space="preserve">aprobado </w:t>
      </w:r>
      <w:r w:rsidRPr="00DA2E67">
        <w:rPr>
          <w:rFonts w:ascii="Arial" w:hAnsi="Arial" w:cs="Arial"/>
          <w:spacing w:val="2"/>
          <w:sz w:val="24"/>
          <w:lang w:val="es-CL"/>
        </w:rPr>
        <w:t>por mayoría de votos de los diputados Bellolio, Girardi, González, Romilio Gutiérrez, Jackson, Provoste, Poblete, Robles y Vallejo</w:t>
      </w:r>
      <w:r w:rsidR="00DA2E67" w:rsidRPr="00DA2E67">
        <w:rPr>
          <w:rFonts w:ascii="Arial" w:hAnsi="Arial" w:cs="Arial"/>
          <w:spacing w:val="2"/>
          <w:sz w:val="24"/>
          <w:lang w:val="es-CL"/>
        </w:rPr>
        <w:t>. E</w:t>
      </w:r>
      <w:r w:rsidRPr="00DA2E67">
        <w:rPr>
          <w:rFonts w:ascii="Arial" w:hAnsi="Arial" w:cs="Arial"/>
          <w:spacing w:val="2"/>
          <w:sz w:val="24"/>
          <w:lang w:val="es-CL"/>
        </w:rPr>
        <w:t>n contra votó el diputado Venegas (9-1-0).</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r>
      <w:r w:rsidR="008D3DE8">
        <w:rPr>
          <w:rFonts w:ascii="Arial" w:hAnsi="Arial" w:cs="Arial"/>
          <w:sz w:val="24"/>
          <w:lang w:val="es-CL"/>
        </w:rPr>
        <w:t>Posteriormente, s</w:t>
      </w:r>
      <w:r w:rsidRPr="00D34DC3">
        <w:rPr>
          <w:rFonts w:ascii="Arial" w:hAnsi="Arial" w:cs="Arial"/>
          <w:sz w:val="24"/>
          <w:lang w:val="es-CL"/>
        </w:rPr>
        <w:t>e presentó una indicación de l</w:t>
      </w:r>
      <w:r w:rsidR="00DA2E67">
        <w:rPr>
          <w:rFonts w:ascii="Arial" w:hAnsi="Arial" w:cs="Arial"/>
          <w:sz w:val="24"/>
          <w:lang w:val="es-CL"/>
        </w:rPr>
        <w:t>o</w:t>
      </w:r>
      <w:r w:rsidRPr="00D34DC3">
        <w:rPr>
          <w:rFonts w:ascii="Arial" w:hAnsi="Arial" w:cs="Arial"/>
          <w:sz w:val="24"/>
          <w:lang w:val="es-CL"/>
        </w:rPr>
        <w:t>s diputad</w:t>
      </w:r>
      <w:r w:rsidR="00DA2E67">
        <w:rPr>
          <w:rFonts w:ascii="Arial" w:hAnsi="Arial" w:cs="Arial"/>
          <w:sz w:val="24"/>
          <w:lang w:val="es-CL"/>
        </w:rPr>
        <w:t>o</w:t>
      </w:r>
      <w:r w:rsidRPr="00D34DC3">
        <w:rPr>
          <w:rFonts w:ascii="Arial" w:hAnsi="Arial" w:cs="Arial"/>
          <w:sz w:val="24"/>
          <w:lang w:val="es-CL"/>
        </w:rPr>
        <w:t xml:space="preserve">s </w:t>
      </w:r>
      <w:r w:rsidRPr="00D34DC3">
        <w:rPr>
          <w:rFonts w:ascii="Arial" w:hAnsi="Arial" w:cs="Arial"/>
          <w:b/>
          <w:sz w:val="24"/>
          <w:lang w:val="es-CL"/>
        </w:rPr>
        <w:t>Girardi, Provoste</w:t>
      </w:r>
      <w:r w:rsidRPr="00D34DC3">
        <w:rPr>
          <w:rFonts w:ascii="Arial" w:hAnsi="Arial" w:cs="Arial"/>
          <w:sz w:val="24"/>
          <w:lang w:val="es-CL"/>
        </w:rPr>
        <w:t xml:space="preserve"> y </w:t>
      </w:r>
      <w:r w:rsidRPr="00D34DC3">
        <w:rPr>
          <w:rFonts w:ascii="Arial" w:hAnsi="Arial" w:cs="Arial"/>
          <w:b/>
          <w:sz w:val="24"/>
          <w:lang w:val="es-CL"/>
        </w:rPr>
        <w:t xml:space="preserve">Robles </w:t>
      </w:r>
      <w:r w:rsidRPr="00D34DC3">
        <w:rPr>
          <w:rFonts w:ascii="Arial" w:hAnsi="Arial" w:cs="Arial"/>
          <w:sz w:val="24"/>
          <w:lang w:val="es-CL"/>
        </w:rPr>
        <w:t>para agregar a la letra d) del artículo 5, después del punto aparte que pasa a ser seguido lo siguiente:</w:t>
      </w:r>
      <w:r>
        <w:rPr>
          <w:rFonts w:ascii="Arial" w:hAnsi="Arial" w:cs="Arial"/>
          <w:sz w:val="24"/>
          <w:lang w:val="es-CL"/>
        </w:rPr>
        <w:t xml:space="preserve"> </w:t>
      </w:r>
      <w:r w:rsidRPr="00D34DC3">
        <w:rPr>
          <w:rFonts w:ascii="Arial" w:hAnsi="Arial" w:cs="Arial"/>
          <w:sz w:val="24"/>
          <w:lang w:val="es-CL"/>
        </w:rPr>
        <w:t>“garantizando con prioridad la perspectiva de paridad de género.”.</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r>
      <w:r w:rsidR="008D3DE8" w:rsidRPr="00D34DC3">
        <w:rPr>
          <w:rFonts w:ascii="Arial" w:hAnsi="Arial" w:cs="Arial"/>
          <w:sz w:val="24"/>
          <w:lang w:val="es-CL"/>
        </w:rPr>
        <w:t>L</w:t>
      </w:r>
      <w:r w:rsidRPr="00D34DC3">
        <w:rPr>
          <w:rFonts w:ascii="Arial" w:hAnsi="Arial" w:cs="Arial"/>
          <w:sz w:val="24"/>
          <w:lang w:val="es-CL"/>
        </w:rPr>
        <w:t>a</w:t>
      </w:r>
      <w:r w:rsidR="008D3DE8">
        <w:rPr>
          <w:rFonts w:ascii="Arial" w:hAnsi="Arial" w:cs="Arial"/>
          <w:sz w:val="24"/>
          <w:lang w:val="es-CL"/>
        </w:rPr>
        <w:t xml:space="preserve"> </w:t>
      </w:r>
      <w:r w:rsidRPr="00D34DC3">
        <w:rPr>
          <w:rFonts w:ascii="Arial" w:hAnsi="Arial" w:cs="Arial"/>
          <w:sz w:val="24"/>
          <w:lang w:val="es-CL"/>
        </w:rPr>
        <w:t>diputada Provoste</w:t>
      </w:r>
      <w:r w:rsidR="008D3DE8">
        <w:rPr>
          <w:rFonts w:ascii="Arial" w:hAnsi="Arial" w:cs="Arial"/>
          <w:sz w:val="24"/>
          <w:lang w:val="es-CL"/>
        </w:rPr>
        <w:t xml:space="preserve"> solicitó </w:t>
      </w:r>
      <w:r w:rsidRPr="00D34DC3">
        <w:rPr>
          <w:rFonts w:ascii="Arial" w:hAnsi="Arial" w:cs="Arial"/>
          <w:sz w:val="24"/>
          <w:lang w:val="es-CL"/>
        </w:rPr>
        <w:t>la reapertura del debate en conformidad a los artículos 2</w:t>
      </w:r>
      <w:r w:rsidR="001A04DA">
        <w:rPr>
          <w:rFonts w:ascii="Arial" w:hAnsi="Arial" w:cs="Arial"/>
          <w:sz w:val="24"/>
          <w:lang w:val="es-CL"/>
        </w:rPr>
        <w:t>66</w:t>
      </w:r>
      <w:r w:rsidRPr="00D34DC3">
        <w:rPr>
          <w:rFonts w:ascii="Arial" w:hAnsi="Arial" w:cs="Arial"/>
          <w:sz w:val="24"/>
          <w:lang w:val="es-CL"/>
        </w:rPr>
        <w:t xml:space="preserve"> y 278 del Reglamento de la Cámara de Diputados, la que fue </w:t>
      </w:r>
      <w:r w:rsidR="001A04DA">
        <w:rPr>
          <w:rFonts w:ascii="Arial" w:hAnsi="Arial" w:cs="Arial"/>
          <w:sz w:val="24"/>
          <w:lang w:val="es-CL"/>
        </w:rPr>
        <w:t>aprobada</w:t>
      </w:r>
      <w:r w:rsidRPr="00D34DC3">
        <w:rPr>
          <w:rFonts w:ascii="Arial" w:hAnsi="Arial" w:cs="Arial"/>
          <w:sz w:val="24"/>
          <w:lang w:val="es-CL"/>
        </w:rPr>
        <w:t>.</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Puesta en votación la indicación, resultó </w:t>
      </w:r>
      <w:r w:rsidRPr="00D34DC3">
        <w:rPr>
          <w:rFonts w:ascii="Arial" w:hAnsi="Arial" w:cs="Arial"/>
          <w:b/>
          <w:sz w:val="24"/>
          <w:lang w:val="es-CL"/>
        </w:rPr>
        <w:t>aprobada</w:t>
      </w:r>
      <w:r w:rsidRPr="00D34DC3">
        <w:rPr>
          <w:rFonts w:ascii="Arial" w:hAnsi="Arial" w:cs="Arial"/>
          <w:sz w:val="24"/>
          <w:lang w:val="es-CL"/>
        </w:rPr>
        <w:t xml:space="preserve"> </w:t>
      </w:r>
      <w:r w:rsidRPr="00D34DC3">
        <w:rPr>
          <w:rFonts w:ascii="Arial" w:hAnsi="Arial" w:cs="Arial"/>
          <w:b/>
          <w:sz w:val="24"/>
          <w:lang w:val="es-CL"/>
        </w:rPr>
        <w:t>por unanimidad</w:t>
      </w:r>
      <w:r w:rsidRPr="00D34DC3">
        <w:rPr>
          <w:rFonts w:ascii="Arial" w:hAnsi="Arial" w:cs="Arial"/>
          <w:sz w:val="24"/>
          <w:lang w:val="es-CL"/>
        </w:rPr>
        <w:t xml:space="preserve"> de votos de los diputados Bellolio, Girardi, González, Romilio Gutiérrez, Jackson, Poblete, Provoste, Robles, Vallejo y Venegas (10-0-0).</w:t>
      </w:r>
    </w:p>
    <w:p w:rsidR="00D34DC3" w:rsidRPr="00D34DC3" w:rsidRDefault="00D34DC3" w:rsidP="00D34DC3">
      <w:pPr>
        <w:tabs>
          <w:tab w:val="left" w:pos="709"/>
        </w:tabs>
        <w:spacing w:before="240"/>
        <w:jc w:val="center"/>
        <w:rPr>
          <w:rFonts w:ascii="Arial" w:hAnsi="Arial" w:cs="Arial"/>
          <w:b/>
          <w:sz w:val="24"/>
          <w:lang w:val="es-CL"/>
        </w:rPr>
      </w:pPr>
      <w:r w:rsidRPr="00D34DC3">
        <w:rPr>
          <w:rFonts w:ascii="Arial" w:hAnsi="Arial" w:cs="Arial"/>
          <w:b/>
          <w:sz w:val="24"/>
          <w:lang w:val="es-CL"/>
        </w:rPr>
        <w:t xml:space="preserve">Artículos </w:t>
      </w:r>
      <w:r w:rsidR="001A04DA">
        <w:rPr>
          <w:rFonts w:ascii="Arial" w:hAnsi="Arial" w:cs="Arial"/>
          <w:b/>
          <w:sz w:val="24"/>
          <w:lang w:val="es-CL"/>
        </w:rPr>
        <w:t xml:space="preserve">6, 7, 8, 9, 10, 11, 12 y </w:t>
      </w:r>
      <w:r w:rsidRPr="00D34DC3">
        <w:rPr>
          <w:rFonts w:ascii="Arial" w:hAnsi="Arial" w:cs="Arial"/>
          <w:b/>
          <w:sz w:val="24"/>
          <w:lang w:val="es-CL"/>
        </w:rPr>
        <w:t>13</w:t>
      </w:r>
    </w:p>
    <w:p w:rsidR="00D34DC3" w:rsidRPr="00D34DC3" w:rsidRDefault="00D34DC3" w:rsidP="008D3DE8">
      <w:pPr>
        <w:tabs>
          <w:tab w:val="left" w:pos="709"/>
        </w:tabs>
        <w:spacing w:before="120"/>
        <w:jc w:val="both"/>
        <w:rPr>
          <w:rFonts w:ascii="Arial" w:hAnsi="Arial" w:cs="Arial"/>
          <w:sz w:val="24"/>
          <w:lang w:val="es-CL"/>
        </w:rPr>
      </w:pPr>
      <w:r w:rsidRPr="00D34DC3">
        <w:rPr>
          <w:rFonts w:ascii="Arial" w:hAnsi="Arial" w:cs="Arial"/>
          <w:sz w:val="24"/>
          <w:lang w:val="es-CL"/>
        </w:rPr>
        <w:tab/>
        <w:t xml:space="preserve">Puestos en votación conjunta, resultaron </w:t>
      </w:r>
      <w:r w:rsidRPr="00D34DC3">
        <w:rPr>
          <w:rFonts w:ascii="Arial" w:hAnsi="Arial" w:cs="Arial"/>
          <w:b/>
          <w:sz w:val="24"/>
          <w:lang w:val="es-CL"/>
        </w:rPr>
        <w:t>aprobados</w:t>
      </w:r>
      <w:r w:rsidRPr="00D34DC3">
        <w:rPr>
          <w:rFonts w:ascii="Arial" w:hAnsi="Arial" w:cs="Arial"/>
          <w:sz w:val="24"/>
          <w:lang w:val="es-CL"/>
        </w:rPr>
        <w:t xml:space="preserve"> </w:t>
      </w:r>
      <w:r w:rsidRPr="00D34DC3">
        <w:rPr>
          <w:rFonts w:ascii="Arial" w:hAnsi="Arial" w:cs="Arial"/>
          <w:b/>
          <w:sz w:val="24"/>
          <w:lang w:val="es-CL"/>
        </w:rPr>
        <w:t>por unanimidad</w:t>
      </w:r>
      <w:r w:rsidRPr="00D34DC3">
        <w:rPr>
          <w:rFonts w:ascii="Arial" w:hAnsi="Arial" w:cs="Arial"/>
          <w:sz w:val="24"/>
          <w:lang w:val="es-CL"/>
        </w:rPr>
        <w:t xml:space="preserve"> de votos de los diputados Bellolio, Girardi, González, Romilio Gutiérrez, Poblete, Provoste, Robles, Vallejo y Venegas (9-0-0).</w:t>
      </w:r>
    </w:p>
    <w:p w:rsidR="00D34DC3" w:rsidRPr="00D34DC3" w:rsidRDefault="00D34DC3" w:rsidP="00D34DC3">
      <w:pPr>
        <w:tabs>
          <w:tab w:val="left" w:pos="709"/>
        </w:tabs>
        <w:spacing w:before="240"/>
        <w:jc w:val="center"/>
        <w:rPr>
          <w:rFonts w:ascii="Arial" w:hAnsi="Arial" w:cs="Arial"/>
          <w:b/>
          <w:sz w:val="24"/>
          <w:lang w:val="es-CL"/>
        </w:rPr>
      </w:pPr>
      <w:r w:rsidRPr="00D34DC3">
        <w:rPr>
          <w:rFonts w:ascii="Arial" w:hAnsi="Arial" w:cs="Arial"/>
          <w:b/>
          <w:sz w:val="24"/>
          <w:lang w:val="es-CL"/>
        </w:rPr>
        <w:t>Artículo 14</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Se presentó una indicación de las diputadas </w:t>
      </w:r>
      <w:r w:rsidRPr="00D34DC3">
        <w:rPr>
          <w:rFonts w:ascii="Arial" w:hAnsi="Arial" w:cs="Arial"/>
          <w:b/>
          <w:sz w:val="24"/>
          <w:lang w:val="es-CL"/>
        </w:rPr>
        <w:t xml:space="preserve">Girardi </w:t>
      </w:r>
      <w:r w:rsidRPr="00D34DC3">
        <w:rPr>
          <w:rFonts w:ascii="Arial" w:hAnsi="Arial" w:cs="Arial"/>
          <w:sz w:val="24"/>
          <w:lang w:val="es-CL"/>
        </w:rPr>
        <w:t>y</w:t>
      </w:r>
      <w:r w:rsidRPr="00D34DC3">
        <w:rPr>
          <w:rFonts w:ascii="Arial" w:hAnsi="Arial" w:cs="Arial"/>
          <w:b/>
          <w:sz w:val="24"/>
          <w:lang w:val="es-CL"/>
        </w:rPr>
        <w:t xml:space="preserve"> Provoste</w:t>
      </w:r>
      <w:r w:rsidRPr="00D34DC3">
        <w:rPr>
          <w:rFonts w:ascii="Arial" w:hAnsi="Arial" w:cs="Arial"/>
          <w:sz w:val="24"/>
          <w:lang w:val="es-CL"/>
        </w:rPr>
        <w:t xml:space="preserve"> para reemplazar en el inciso final luego del punto aparte que pasa a ser una como lo siguiente:</w:t>
      </w:r>
      <w:r w:rsidR="001A04DA">
        <w:rPr>
          <w:rFonts w:ascii="Arial" w:hAnsi="Arial" w:cs="Arial"/>
          <w:sz w:val="24"/>
          <w:lang w:val="es-CL"/>
        </w:rPr>
        <w:t xml:space="preserve"> </w:t>
      </w:r>
      <w:r w:rsidRPr="00D34DC3">
        <w:rPr>
          <w:rFonts w:ascii="Arial" w:hAnsi="Arial" w:cs="Arial"/>
          <w:sz w:val="24"/>
          <w:lang w:val="es-CL"/>
        </w:rPr>
        <w:t>“, el que deberá contar con la participación activa del Consorcio de Universidades del Estado y sus organismos académicos”.</w:t>
      </w:r>
    </w:p>
    <w:p w:rsidR="00B9627B" w:rsidRPr="00B9627B" w:rsidRDefault="00B9627B" w:rsidP="00B9627B">
      <w:pPr>
        <w:tabs>
          <w:tab w:val="left" w:pos="709"/>
        </w:tabs>
        <w:spacing w:before="120"/>
        <w:jc w:val="both"/>
        <w:rPr>
          <w:rFonts w:ascii="Arial" w:hAnsi="Arial" w:cs="Arial"/>
          <w:sz w:val="24"/>
          <w:lang w:val="es-CL"/>
        </w:rPr>
      </w:pPr>
      <w:r w:rsidRPr="00B9627B">
        <w:rPr>
          <w:rFonts w:ascii="Arial" w:hAnsi="Arial" w:cs="Arial"/>
          <w:sz w:val="24"/>
          <w:lang w:val="es-CL"/>
        </w:rPr>
        <w:tab/>
        <w:t xml:space="preserve">Se acordó, por unanimidad de los diputados presentes, con la anuencia </w:t>
      </w:r>
      <w:r>
        <w:rPr>
          <w:rFonts w:ascii="Arial" w:hAnsi="Arial" w:cs="Arial"/>
          <w:sz w:val="24"/>
          <w:lang w:val="es-CL"/>
        </w:rPr>
        <w:t xml:space="preserve">de las autoras y </w:t>
      </w:r>
      <w:r w:rsidRPr="00B9627B">
        <w:rPr>
          <w:rFonts w:ascii="Arial" w:hAnsi="Arial" w:cs="Arial"/>
          <w:sz w:val="24"/>
          <w:lang w:val="es-CL"/>
        </w:rPr>
        <w:t>del Ejecutivo, reemplazar la indicación por un inciso similar al consagrado en el artículo 13 de la ley N° 20.996, del siguiente tenor:</w:t>
      </w:r>
    </w:p>
    <w:p w:rsidR="00D34DC3" w:rsidRPr="00B9627B" w:rsidRDefault="00D34DC3" w:rsidP="00D34DC3">
      <w:pPr>
        <w:tabs>
          <w:tab w:val="left" w:pos="709"/>
        </w:tabs>
        <w:spacing w:before="120"/>
        <w:jc w:val="both"/>
        <w:rPr>
          <w:rFonts w:ascii="Arial" w:hAnsi="Arial" w:cs="Arial"/>
          <w:sz w:val="24"/>
          <w:lang w:val="es-CL"/>
        </w:rPr>
      </w:pPr>
      <w:r w:rsidRPr="00B9627B">
        <w:rPr>
          <w:rFonts w:ascii="Arial" w:hAnsi="Arial" w:cs="Arial"/>
          <w:sz w:val="24"/>
          <w:lang w:val="es-CL"/>
        </w:rPr>
        <w:tab/>
        <w:t xml:space="preserve">“En la dictación del reglamento, la autoridad tomará conocimiento de la opinión de las asociaciones de </w:t>
      </w:r>
      <w:r w:rsidR="00B9627B" w:rsidRPr="00B9627B">
        <w:rPr>
          <w:rFonts w:ascii="Arial" w:hAnsi="Arial" w:cs="Arial"/>
          <w:i/>
          <w:sz w:val="24"/>
          <w:lang w:val="es-CL"/>
        </w:rPr>
        <w:t>académicos y de profesionales y técnicos</w:t>
      </w:r>
      <w:r w:rsidR="00B9627B" w:rsidRPr="00B9627B">
        <w:rPr>
          <w:rFonts w:ascii="Arial" w:hAnsi="Arial" w:cs="Arial"/>
          <w:sz w:val="24"/>
          <w:lang w:val="es-CL"/>
        </w:rPr>
        <w:t xml:space="preserve"> </w:t>
      </w:r>
      <w:r w:rsidRPr="00B9627B">
        <w:rPr>
          <w:rFonts w:ascii="Arial" w:hAnsi="Arial" w:cs="Arial"/>
          <w:sz w:val="24"/>
          <w:lang w:val="es-CL"/>
        </w:rPr>
        <w:t>de las universidades del Estado, constituidas de conformidad a la ley N° 19.296.”.</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Puesto en votación el artículo 14 con la modificación consensuada, resultó </w:t>
      </w:r>
      <w:r w:rsidRPr="00D34DC3">
        <w:rPr>
          <w:rFonts w:ascii="Arial" w:hAnsi="Arial" w:cs="Arial"/>
          <w:b/>
          <w:sz w:val="24"/>
          <w:lang w:val="es-CL"/>
        </w:rPr>
        <w:t>aprobado</w:t>
      </w:r>
      <w:r w:rsidRPr="00D34DC3">
        <w:rPr>
          <w:rFonts w:ascii="Arial" w:hAnsi="Arial" w:cs="Arial"/>
          <w:sz w:val="24"/>
          <w:lang w:val="es-CL"/>
        </w:rPr>
        <w:t xml:space="preserve"> </w:t>
      </w:r>
      <w:r w:rsidRPr="00D34DC3">
        <w:rPr>
          <w:rFonts w:ascii="Arial" w:hAnsi="Arial" w:cs="Arial"/>
          <w:b/>
          <w:sz w:val="24"/>
          <w:lang w:val="es-CL"/>
        </w:rPr>
        <w:t>por unanimidad</w:t>
      </w:r>
      <w:r w:rsidRPr="00D34DC3">
        <w:rPr>
          <w:rFonts w:ascii="Arial" w:hAnsi="Arial" w:cs="Arial"/>
          <w:sz w:val="24"/>
          <w:lang w:val="es-CL"/>
        </w:rPr>
        <w:t xml:space="preserve"> de votos de los diputados Bellolio, Girardi, González, Romilio Gutiérrez, Jackson, Poblete, Provoste, Robles, Vallejo y Venegas (9-0-0).</w:t>
      </w:r>
    </w:p>
    <w:p w:rsidR="00D34DC3" w:rsidRPr="00D34DC3" w:rsidRDefault="00D34DC3" w:rsidP="00D34DC3">
      <w:pPr>
        <w:tabs>
          <w:tab w:val="left" w:pos="709"/>
        </w:tabs>
        <w:spacing w:before="240"/>
        <w:jc w:val="center"/>
        <w:rPr>
          <w:rFonts w:ascii="Arial" w:hAnsi="Arial" w:cs="Arial"/>
          <w:b/>
          <w:sz w:val="24"/>
          <w:lang w:val="es-CL"/>
        </w:rPr>
      </w:pPr>
      <w:r w:rsidRPr="00D34DC3">
        <w:rPr>
          <w:rFonts w:ascii="Arial" w:hAnsi="Arial" w:cs="Arial"/>
          <w:b/>
          <w:sz w:val="24"/>
          <w:lang w:val="es-CL"/>
        </w:rPr>
        <w:t>Artículos 15</w:t>
      </w:r>
      <w:r w:rsidR="001A04DA">
        <w:rPr>
          <w:rFonts w:ascii="Arial" w:hAnsi="Arial" w:cs="Arial"/>
          <w:b/>
          <w:sz w:val="24"/>
          <w:lang w:val="es-CL"/>
        </w:rPr>
        <w:t>, 16, 17, 18, 19, 20, 21 y</w:t>
      </w:r>
      <w:r w:rsidRPr="00D34DC3">
        <w:rPr>
          <w:rFonts w:ascii="Arial" w:hAnsi="Arial" w:cs="Arial"/>
          <w:b/>
          <w:sz w:val="24"/>
          <w:lang w:val="es-CL"/>
        </w:rPr>
        <w:t xml:space="preserve"> 22 y primero y segundo transitorios</w:t>
      </w:r>
    </w:p>
    <w:p w:rsidR="00D34DC3" w:rsidRPr="00D34DC3" w:rsidRDefault="00D34DC3" w:rsidP="00D34DC3">
      <w:pPr>
        <w:tabs>
          <w:tab w:val="left" w:pos="709"/>
        </w:tabs>
        <w:spacing w:before="120"/>
        <w:jc w:val="both"/>
        <w:rPr>
          <w:rFonts w:ascii="Arial" w:hAnsi="Arial" w:cs="Arial"/>
          <w:sz w:val="24"/>
          <w:lang w:val="es-CL"/>
        </w:rPr>
      </w:pPr>
      <w:r w:rsidRPr="00D34DC3">
        <w:rPr>
          <w:rFonts w:ascii="Arial" w:hAnsi="Arial" w:cs="Arial"/>
          <w:sz w:val="24"/>
          <w:lang w:val="es-CL"/>
        </w:rPr>
        <w:tab/>
        <w:t xml:space="preserve">Puestos en votación conjunta, resultaron </w:t>
      </w:r>
      <w:r w:rsidRPr="00D34DC3">
        <w:rPr>
          <w:rFonts w:ascii="Arial" w:hAnsi="Arial" w:cs="Arial"/>
          <w:b/>
          <w:sz w:val="24"/>
          <w:lang w:val="es-CL"/>
        </w:rPr>
        <w:t>aprobados</w:t>
      </w:r>
      <w:r w:rsidRPr="00D34DC3">
        <w:rPr>
          <w:rFonts w:ascii="Arial" w:hAnsi="Arial" w:cs="Arial"/>
          <w:sz w:val="24"/>
          <w:lang w:val="es-CL"/>
        </w:rPr>
        <w:t xml:space="preserve"> </w:t>
      </w:r>
      <w:r w:rsidRPr="00D34DC3">
        <w:rPr>
          <w:rFonts w:ascii="Arial" w:hAnsi="Arial" w:cs="Arial"/>
          <w:b/>
          <w:sz w:val="24"/>
          <w:lang w:val="es-CL"/>
        </w:rPr>
        <w:t>por unanimidad</w:t>
      </w:r>
      <w:r w:rsidRPr="00D34DC3">
        <w:rPr>
          <w:rFonts w:ascii="Arial" w:hAnsi="Arial" w:cs="Arial"/>
          <w:sz w:val="24"/>
          <w:lang w:val="es-CL"/>
        </w:rPr>
        <w:t xml:space="preserve"> de votos de los diputados Bellolio, Girardi, González, Romilio Gutiérrez, Poblete, Provoste, Robles, Vallejo y Venegas (9-0-0).</w:t>
      </w:r>
    </w:p>
    <w:p w:rsidR="001312FE" w:rsidRDefault="004B5CE6" w:rsidP="00C91BEC">
      <w:pPr>
        <w:pStyle w:val="Ttulo1"/>
        <w:tabs>
          <w:tab w:val="left" w:pos="709"/>
        </w:tabs>
        <w:spacing w:before="480"/>
        <w:jc w:val="both"/>
      </w:pPr>
      <w:bookmarkStart w:id="83" w:name="_Toc400351790"/>
      <w:bookmarkStart w:id="84" w:name="_Toc487615180"/>
      <w:r>
        <w:t>I</w:t>
      </w:r>
      <w:r w:rsidR="001312FE">
        <w:t>V. Indicaciones rechazadas.</w:t>
      </w:r>
      <w:bookmarkEnd w:id="83"/>
      <w:bookmarkEnd w:id="84"/>
    </w:p>
    <w:p w:rsidR="00BC4134" w:rsidRPr="004B5CE6" w:rsidRDefault="004B5CE6" w:rsidP="00CE2848">
      <w:pPr>
        <w:widowControl w:val="0"/>
        <w:tabs>
          <w:tab w:val="left" w:pos="709"/>
        </w:tabs>
        <w:spacing w:before="120"/>
        <w:jc w:val="both"/>
        <w:rPr>
          <w:rFonts w:ascii="Arial" w:hAnsi="Arial" w:cs="Arial"/>
          <w:sz w:val="24"/>
          <w:szCs w:val="24"/>
        </w:rPr>
      </w:pPr>
      <w:r>
        <w:rPr>
          <w:rFonts w:ascii="Arial" w:hAnsi="Arial" w:cs="Arial"/>
          <w:sz w:val="24"/>
          <w:szCs w:val="24"/>
        </w:rPr>
        <w:tab/>
      </w:r>
      <w:r w:rsidRPr="004B5CE6">
        <w:rPr>
          <w:rFonts w:ascii="Arial" w:hAnsi="Arial" w:cs="Arial"/>
          <w:sz w:val="24"/>
          <w:szCs w:val="24"/>
        </w:rPr>
        <w:t>No las hubo</w:t>
      </w:r>
      <w:r w:rsidR="00AA435A">
        <w:rPr>
          <w:rFonts w:ascii="Arial" w:hAnsi="Arial" w:cs="Arial"/>
          <w:sz w:val="24"/>
          <w:szCs w:val="24"/>
        </w:rPr>
        <w:t>.</w:t>
      </w:r>
    </w:p>
    <w:p w:rsidR="001312FE" w:rsidRDefault="001312FE" w:rsidP="00C91BEC">
      <w:pPr>
        <w:pStyle w:val="Ttulo1"/>
        <w:tabs>
          <w:tab w:val="left" w:pos="709"/>
        </w:tabs>
        <w:spacing w:before="480"/>
        <w:jc w:val="both"/>
      </w:pPr>
      <w:bookmarkStart w:id="85" w:name="_Toc400351791"/>
      <w:bookmarkStart w:id="86" w:name="_Toc487615181"/>
      <w:r>
        <w:t>V. Indicaciones declaradas inadmisibles.</w:t>
      </w:r>
      <w:bookmarkEnd w:id="85"/>
      <w:bookmarkEnd w:id="86"/>
    </w:p>
    <w:p w:rsidR="004B5CE6" w:rsidRDefault="004B5CE6" w:rsidP="00CE2848">
      <w:pPr>
        <w:widowControl w:val="0"/>
        <w:tabs>
          <w:tab w:val="left" w:pos="709"/>
        </w:tabs>
        <w:spacing w:before="120"/>
        <w:jc w:val="both"/>
        <w:rPr>
          <w:rFonts w:ascii="Arial" w:hAnsi="Arial" w:cs="Arial"/>
          <w:sz w:val="24"/>
          <w:szCs w:val="24"/>
        </w:rPr>
      </w:pPr>
      <w:r>
        <w:rPr>
          <w:rFonts w:ascii="Arial" w:hAnsi="Arial" w:cs="Arial"/>
          <w:sz w:val="24"/>
          <w:szCs w:val="24"/>
        </w:rPr>
        <w:tab/>
        <w:t>No las hubo.</w:t>
      </w:r>
    </w:p>
    <w:p w:rsidR="00A85E57" w:rsidRDefault="00A85E57" w:rsidP="00C91BEC">
      <w:pPr>
        <w:pStyle w:val="Ttulo1"/>
        <w:tabs>
          <w:tab w:val="left" w:pos="709"/>
        </w:tabs>
        <w:spacing w:before="600"/>
        <w:jc w:val="both"/>
      </w:pPr>
      <w:bookmarkStart w:id="87" w:name="_Toc344020398"/>
      <w:bookmarkStart w:id="88" w:name="_Toc344020550"/>
      <w:bookmarkStart w:id="89" w:name="_Toc504290056"/>
      <w:bookmarkStart w:id="90" w:name="_Toc81655397"/>
      <w:bookmarkStart w:id="91" w:name="_Toc106429787"/>
      <w:bookmarkStart w:id="92" w:name="_Toc148515275"/>
      <w:bookmarkStart w:id="93" w:name="_Toc400351792"/>
      <w:bookmarkStart w:id="94" w:name="_Toc487615182"/>
      <w:r>
        <w:t>V</w:t>
      </w:r>
      <w:r w:rsidR="00EA0BBC">
        <w:t>I</w:t>
      </w:r>
      <w:r>
        <w:t>. TEXTO DEL PROYECTO DE LEY APROBADO POR LA COMISIÓN.</w:t>
      </w:r>
      <w:bookmarkEnd w:id="87"/>
      <w:bookmarkEnd w:id="88"/>
      <w:bookmarkEnd w:id="89"/>
      <w:bookmarkEnd w:id="90"/>
      <w:bookmarkEnd w:id="91"/>
      <w:bookmarkEnd w:id="92"/>
      <w:bookmarkEnd w:id="93"/>
      <w:bookmarkEnd w:id="94"/>
    </w:p>
    <w:p w:rsidR="00BC7798" w:rsidRDefault="00BC7798" w:rsidP="00C91BEC">
      <w:pPr>
        <w:pStyle w:val="Textoindependiente2"/>
        <w:tabs>
          <w:tab w:val="clear" w:pos="3119"/>
          <w:tab w:val="left" w:pos="709"/>
        </w:tabs>
        <w:spacing w:before="180" w:after="0"/>
        <w:ind w:right="0"/>
      </w:pPr>
      <w:r>
        <w:tab/>
        <w:t xml:space="preserve">En mérito de las consideraciones anteriores y por las que, en su oportunidad, pudiere añadir </w:t>
      </w:r>
      <w:r w:rsidR="001537AA">
        <w:t>e</w:t>
      </w:r>
      <w:r>
        <w:t xml:space="preserve">l </w:t>
      </w:r>
      <w:r w:rsidR="004B5CE6">
        <w:t>d</w:t>
      </w:r>
      <w:r>
        <w:t>iputad</w:t>
      </w:r>
      <w:r w:rsidR="001537AA">
        <w:t>o</w:t>
      </w:r>
      <w:r>
        <w:t xml:space="preserve"> informante, la Comisión de </w:t>
      </w:r>
      <w:r w:rsidR="008329D9">
        <w:t xml:space="preserve">Educación </w:t>
      </w:r>
      <w:r>
        <w:t>recomienda la aprobación del siguiente</w:t>
      </w:r>
    </w:p>
    <w:p w:rsidR="00A85E57" w:rsidRDefault="00A85E57" w:rsidP="00C91BEC">
      <w:pPr>
        <w:tabs>
          <w:tab w:val="left" w:pos="709"/>
        </w:tabs>
        <w:spacing w:before="600"/>
        <w:jc w:val="center"/>
        <w:rPr>
          <w:rFonts w:ascii="Arial" w:hAnsi="Arial"/>
          <w:b/>
          <w:sz w:val="24"/>
        </w:rPr>
      </w:pPr>
      <w:r>
        <w:rPr>
          <w:rFonts w:ascii="Arial" w:hAnsi="Arial"/>
          <w:b/>
          <w:sz w:val="24"/>
        </w:rPr>
        <w:t>PROYECTO DE LEY</w:t>
      </w:r>
    </w:p>
    <w:p w:rsidR="00C91BEC" w:rsidRDefault="00C91BEC" w:rsidP="00CE2848">
      <w:pPr>
        <w:pStyle w:val="Textoindependiente2"/>
        <w:tabs>
          <w:tab w:val="left" w:pos="709"/>
        </w:tabs>
        <w:spacing w:after="0"/>
        <w:ind w:right="0"/>
      </w:pPr>
      <w:r>
        <w:tab/>
        <w:t>“</w:t>
      </w:r>
      <w:r w:rsidRPr="00CE2848">
        <w:rPr>
          <w:b/>
        </w:rPr>
        <w:t>Artículo 1.-</w:t>
      </w:r>
      <w:r>
        <w:t xml:space="preserve"> El personal académico y directivo de las universidades del Estado, que perciba el beneficio compensatorio del artículo 9 de la ley N° 20.374, que entre el 1 de enero de 2012 y el 31 de diciembre de 2024 haya cumplido o cumpla 65 años de edad, en el caso de los hombres, y 60 años de edad, tratándose de mujeres, y se encuentre afiliado al sistema de pensiones establecido en el decreto ley N</w:t>
      </w:r>
      <w:r w:rsidR="00B917CF">
        <w:t>°</w:t>
      </w:r>
      <w:r>
        <w:t xml:space="preserve"> 3.500, de 1980, cotizando o habiendo cotizado en dicho sistema, tendrá derecho a una bonificación adicional, de cargo fiscal, siempre que cumpla los demás requisitos establecidos en esta ley. También podrá acceder a esta bonificación adicional dicho personal de las universidades del Estado que, al 31 de diciembre de 2011, haya cumplido las edades antes mencionadas siempre que cumpla con los requisitos para acceder a ella.</w:t>
      </w:r>
    </w:p>
    <w:p w:rsidR="00C91BEC" w:rsidRDefault="00C91BEC" w:rsidP="00C91BEC">
      <w:pPr>
        <w:pStyle w:val="Textoindependiente2"/>
        <w:tabs>
          <w:tab w:val="left" w:pos="709"/>
        </w:tabs>
        <w:spacing w:before="120" w:after="0"/>
        <w:ind w:right="0"/>
      </w:pPr>
      <w:r>
        <w:tab/>
        <w:t>Del mismo modo, el personal profesional no académico de las universidades del Estado, que perciba el beneficio compensatorio del artículo 9 de la ley N° 20.374, que entre el 1 de enero de 2015 y hasta el 31 de diciembre de 2024 haya cumplido o cumpla 65 años de edad, en el caso de los hombres, y 60 años de edad, tratándose de las mujeres, y se encuentre afiliado al sistema de pensiones establecido en el decreto ley Nº 3.500, de 1980, cotizando o habiendo cotizado en dicho sistema, tendrá derecho a la bonificación adicional a que se refiere el inciso anterior de cargo fiscal, siempre que cumpla los demás requisitos establecidos en esta ley. Igualmente, podrá acceder a esta bonificación adicional dicho personal de las universidades del Estado que, al 31 de diciembre de 2014, haya cumplido las edades antes mencionadas siempre que cumpla con los requisitos para acceder a ella.</w:t>
      </w:r>
    </w:p>
    <w:p w:rsidR="00C91BEC" w:rsidRDefault="00C91BEC" w:rsidP="00C91BEC">
      <w:pPr>
        <w:pStyle w:val="Textoindependiente2"/>
        <w:tabs>
          <w:tab w:val="left" w:pos="709"/>
        </w:tabs>
        <w:spacing w:before="120" w:after="0"/>
        <w:ind w:right="0"/>
      </w:pPr>
      <w:r>
        <w:tab/>
        <w:t xml:space="preserve">El personal académico, directivo y profesional no académico tendrá derecho a la bonificación adicional, siempre que sirva sus cargos en calidad de planta o a contrata y que haya prestado servicios en cualquiera de dichas calidades por un período no inferior a diez años,  continuos o discontinuos, en las universidades del Estado, a la fecha del inicio del respectivo período de postulación a dicha bonificación. Todo el personal antes señalado deberá hacer efectiva su renuncia voluntaria en los plazos que se señalan en el artículo siguiente. </w:t>
      </w:r>
    </w:p>
    <w:p w:rsidR="00C91BEC" w:rsidRDefault="00C91BEC" w:rsidP="00C91BEC">
      <w:pPr>
        <w:pStyle w:val="Textoindependiente2"/>
        <w:tabs>
          <w:tab w:val="left" w:pos="709"/>
        </w:tabs>
        <w:spacing w:after="0"/>
        <w:ind w:right="0"/>
      </w:pPr>
      <w:r>
        <w:tab/>
      </w:r>
      <w:r w:rsidRPr="00CE2848">
        <w:rPr>
          <w:b/>
        </w:rPr>
        <w:t>Artículo 2.-</w:t>
      </w:r>
      <w:r>
        <w:t xml:space="preserve"> El personal a que se refiere el artículo 1 de la presente ley que resulte beneficiario de un cupo de la bonificación adicional deberá hacer efectiva su renuncia voluntaria a la universidad del Estado, respecto del cargo o del total de horas que sirva en virtud de su nombramiento o contrato, dentro de los ciento ochenta días siguientes al cumplimiento de los 65 años de edad o dentro de los noventa días siguientes a la notificación de la resolución que le asigna un cupo, conforme al artículo 5, si esta última fecha fuera posterior a aquélla.</w:t>
      </w:r>
    </w:p>
    <w:p w:rsidR="00C91BEC" w:rsidRDefault="00C91BEC" w:rsidP="00C91BEC">
      <w:pPr>
        <w:pStyle w:val="Textoindependiente2"/>
        <w:tabs>
          <w:tab w:val="left" w:pos="709"/>
        </w:tabs>
        <w:spacing w:before="120" w:after="0"/>
        <w:ind w:right="0"/>
      </w:pPr>
      <w:r>
        <w:tab/>
        <w:t>Con todo, las funcionarias, sean académicas, directivas o profesionales no académicas, podrán postular a la bonificación adicional desde que cumplan 60 años de edad y hasta el período que le corresponda postular a los 65 años de edad, cumpliendo con las demás condiciones fijadas por esta ley y su reglamento. Las funcionarias que postulen antes del cumplimiento de los 65 años de edad y sean beneficiarias de un cupo de la bonificación adicional, deberán hacer efectiva su renuncia voluntaria dentro de los ciento ochenta días siguientes a la notificación del acto que les asigna un cupo. Si la funcionaria no hiciere efectiva su renuncia dentro de dicho plazo, perderá su cupo, pero podrá participar en los procesos siguientes hasta aquel en que le corresponda postular a los 65 años de edad.</w:t>
      </w:r>
    </w:p>
    <w:p w:rsidR="00C91BEC" w:rsidRDefault="00C91BEC" w:rsidP="00C91BEC">
      <w:pPr>
        <w:pStyle w:val="Textoindependiente2"/>
        <w:tabs>
          <w:tab w:val="left" w:pos="709"/>
        </w:tabs>
        <w:spacing w:before="120" w:after="0"/>
        <w:ind w:right="0"/>
      </w:pPr>
      <w:r>
        <w:tab/>
        <w:t>El personal directivo, académico y profesional no académico beneficiario de la bonificación adicional conforme al artículo 1 de la presente ley, cesará en funciones sólo si la universidad empleadora pone a su disposición la totalidad del beneficio compensatorio del artículo 9 de la ley Nº 20.374 que les corresponda.</w:t>
      </w:r>
    </w:p>
    <w:p w:rsidR="00C91BEC" w:rsidRDefault="00C91BEC" w:rsidP="00C91BEC">
      <w:pPr>
        <w:pStyle w:val="Textoindependiente2"/>
        <w:tabs>
          <w:tab w:val="left" w:pos="709"/>
        </w:tabs>
        <w:spacing w:before="120" w:after="0"/>
        <w:ind w:right="0"/>
      </w:pPr>
      <w:r>
        <w:tab/>
        <w:t>Sin perjuicio de lo dispuesto en los incisos primero y segundo de este artículo, los rectores de las universidades estatales que sean elegidos por períodos fijos y cumplan todos los requisitos que establece la presente ley, podrán hacer efectiva su renuncia voluntaria hasta el término del período de su nombramiento.</w:t>
      </w:r>
    </w:p>
    <w:p w:rsidR="00C91BEC" w:rsidRDefault="00C91BEC" w:rsidP="00CE2848">
      <w:pPr>
        <w:pStyle w:val="Textoindependiente2"/>
        <w:tabs>
          <w:tab w:val="left" w:pos="709"/>
        </w:tabs>
        <w:ind w:right="0"/>
      </w:pPr>
      <w:r>
        <w:tab/>
      </w:r>
      <w:r w:rsidRPr="00CE2848">
        <w:rPr>
          <w:b/>
        </w:rPr>
        <w:t>Artículo 3.-</w:t>
      </w:r>
      <w:r>
        <w:t xml:space="preserve"> La bonificación adicional se otorgará hasta por un máximo de 3.800 cupos para académicos y directivos, y hasta 900 cupos para profesionales no académicos, según lo dispuesto en el artículo 5, será de cargo fiscal y ascenderá, según los años de servicio que el funcionario haya prestado en universidades del Estado a la fecha de inicio del respectivo período de postulación a dicha bonificación, a los siguientes montos: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668"/>
        <w:gridCol w:w="2667"/>
      </w:tblGrid>
      <w:tr w:rsidR="00C91BEC" w:rsidRPr="0029680F" w:rsidTr="00C91BEC">
        <w:trPr>
          <w:tblHeader/>
        </w:trPr>
        <w:tc>
          <w:tcPr>
            <w:tcW w:w="3119" w:type="dxa"/>
            <w:shd w:val="clear" w:color="auto" w:fill="auto"/>
          </w:tcPr>
          <w:p w:rsidR="00C91BEC" w:rsidRPr="00D10846" w:rsidRDefault="00C91BEC" w:rsidP="007555B6">
            <w:pPr>
              <w:tabs>
                <w:tab w:val="left" w:pos="709"/>
              </w:tabs>
              <w:jc w:val="center"/>
              <w:rPr>
                <w:rFonts w:ascii="Arial Narrow" w:hAnsi="Arial Narrow" w:cs="Arial"/>
                <w:b/>
                <w:color w:val="000000"/>
                <w:sz w:val="22"/>
                <w:szCs w:val="22"/>
                <w:lang w:val="es-CL"/>
              </w:rPr>
            </w:pPr>
            <w:r w:rsidRPr="00D10846">
              <w:rPr>
                <w:rFonts w:ascii="Arial Narrow" w:hAnsi="Arial Narrow" w:cs="Arial"/>
                <w:b/>
                <w:color w:val="000000"/>
                <w:sz w:val="22"/>
                <w:szCs w:val="22"/>
                <w:lang w:val="es-CL"/>
              </w:rPr>
              <w:t>ESTAMENTO</w:t>
            </w:r>
          </w:p>
        </w:tc>
        <w:tc>
          <w:tcPr>
            <w:tcW w:w="2895" w:type="dxa"/>
            <w:shd w:val="clear" w:color="auto" w:fill="auto"/>
          </w:tcPr>
          <w:p w:rsidR="00C91BEC" w:rsidRPr="00D10846" w:rsidRDefault="00C91BEC" w:rsidP="007555B6">
            <w:pPr>
              <w:tabs>
                <w:tab w:val="left" w:pos="709"/>
              </w:tabs>
              <w:jc w:val="center"/>
              <w:rPr>
                <w:rFonts w:ascii="Arial Narrow" w:hAnsi="Arial Narrow" w:cs="Arial"/>
                <w:b/>
                <w:color w:val="000000"/>
                <w:sz w:val="22"/>
                <w:szCs w:val="22"/>
                <w:lang w:val="es-CL"/>
              </w:rPr>
            </w:pPr>
            <w:r w:rsidRPr="00D10846">
              <w:rPr>
                <w:rFonts w:ascii="Arial Narrow" w:hAnsi="Arial Narrow" w:cs="Arial"/>
                <w:b/>
                <w:color w:val="000000"/>
                <w:sz w:val="22"/>
                <w:szCs w:val="22"/>
                <w:lang w:val="es-CL"/>
              </w:rPr>
              <w:t>AÑOS DE SERVICIO, CONTINUOS O DISCONTINUOS, EN LAS UNIVERSIDADES DEL ESTADO</w:t>
            </w:r>
          </w:p>
        </w:tc>
        <w:tc>
          <w:tcPr>
            <w:tcW w:w="2932" w:type="dxa"/>
            <w:shd w:val="clear" w:color="auto" w:fill="auto"/>
          </w:tcPr>
          <w:p w:rsidR="00C91BEC" w:rsidRPr="00D10846" w:rsidRDefault="00C91BEC" w:rsidP="007555B6">
            <w:pPr>
              <w:tabs>
                <w:tab w:val="left" w:pos="709"/>
              </w:tabs>
              <w:jc w:val="center"/>
              <w:rPr>
                <w:rFonts w:ascii="Arial Narrow" w:hAnsi="Arial Narrow" w:cs="Arial"/>
                <w:b/>
                <w:color w:val="000000"/>
                <w:sz w:val="22"/>
                <w:szCs w:val="22"/>
                <w:lang w:val="es-CL"/>
              </w:rPr>
            </w:pPr>
            <w:r w:rsidRPr="00D10846">
              <w:rPr>
                <w:rFonts w:ascii="Arial Narrow" w:hAnsi="Arial Narrow" w:cs="Arial"/>
                <w:b/>
                <w:color w:val="000000"/>
                <w:sz w:val="22"/>
                <w:szCs w:val="22"/>
                <w:lang w:val="es-CL"/>
              </w:rPr>
              <w:t>MONTO DE LA BONIFICACIÓN ADICIONAL EN UNIDADES DE FOMENTO</w:t>
            </w:r>
          </w:p>
        </w:tc>
      </w:tr>
      <w:tr w:rsidR="00C91BEC" w:rsidRPr="0029680F" w:rsidTr="007555B6">
        <w:tc>
          <w:tcPr>
            <w:tcW w:w="3119"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Directivos y Profesionales no académicos</w:t>
            </w:r>
          </w:p>
        </w:tc>
        <w:tc>
          <w:tcPr>
            <w:tcW w:w="2895"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10 ó más años</w:t>
            </w:r>
          </w:p>
        </w:tc>
        <w:tc>
          <w:tcPr>
            <w:tcW w:w="2932"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935</w:t>
            </w:r>
          </w:p>
        </w:tc>
      </w:tr>
      <w:tr w:rsidR="00C91BEC" w:rsidRPr="0029680F" w:rsidTr="007555B6">
        <w:tc>
          <w:tcPr>
            <w:tcW w:w="3119"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 xml:space="preserve">Académicos  </w:t>
            </w:r>
          </w:p>
        </w:tc>
        <w:tc>
          <w:tcPr>
            <w:tcW w:w="2895"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10 y menos de 15 años</w:t>
            </w:r>
          </w:p>
        </w:tc>
        <w:tc>
          <w:tcPr>
            <w:tcW w:w="2932"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935</w:t>
            </w:r>
          </w:p>
        </w:tc>
      </w:tr>
      <w:tr w:rsidR="00C91BEC" w:rsidRPr="0029680F" w:rsidTr="007555B6">
        <w:tc>
          <w:tcPr>
            <w:tcW w:w="3119"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 xml:space="preserve">Académicos  </w:t>
            </w:r>
          </w:p>
        </w:tc>
        <w:tc>
          <w:tcPr>
            <w:tcW w:w="2895"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15 ó más años</w:t>
            </w:r>
          </w:p>
        </w:tc>
        <w:tc>
          <w:tcPr>
            <w:tcW w:w="2932" w:type="dxa"/>
          </w:tcPr>
          <w:p w:rsidR="00C91BEC" w:rsidRPr="00C91BEC" w:rsidRDefault="00C91BEC" w:rsidP="007555B6">
            <w:pPr>
              <w:tabs>
                <w:tab w:val="left" w:pos="709"/>
              </w:tabs>
              <w:jc w:val="center"/>
              <w:rPr>
                <w:rFonts w:ascii="Arial" w:hAnsi="Arial" w:cs="Arial"/>
                <w:color w:val="000000"/>
                <w:sz w:val="22"/>
                <w:szCs w:val="22"/>
                <w:lang w:val="es-CL"/>
              </w:rPr>
            </w:pPr>
            <w:r w:rsidRPr="00C91BEC">
              <w:rPr>
                <w:rFonts w:ascii="Arial" w:hAnsi="Arial" w:cs="Arial"/>
                <w:color w:val="000000"/>
                <w:sz w:val="22"/>
                <w:szCs w:val="22"/>
                <w:lang w:val="es-CL"/>
              </w:rPr>
              <w:t>950</w:t>
            </w:r>
          </w:p>
        </w:tc>
      </w:tr>
    </w:tbl>
    <w:p w:rsidR="00C91BEC" w:rsidRDefault="00C91BEC" w:rsidP="00C91BEC">
      <w:pPr>
        <w:pStyle w:val="Textoindependiente2"/>
        <w:tabs>
          <w:tab w:val="left" w:pos="709"/>
        </w:tabs>
        <w:spacing w:before="120" w:after="0"/>
        <w:ind w:right="0"/>
      </w:pPr>
      <w:r>
        <w:tab/>
        <w:t xml:space="preserve">La bonificación adicional será equivalente a los montos señalados en el inciso anterior, por una jornada máxima de 44 horas semanales, calculándose en forma proporcional a la jornada de trabajo por la cual esté sirviendo, si ésta fuere inferior. Si el personal está contratado por una jornada mayor o desempeña funciones en más de una universidad estatal con jornadas cuya suma sea superior a dicho máximo, sólo tendrá derecho a una bonificación adicional correspondiente a las referidas 44 horas semanales. </w:t>
      </w:r>
    </w:p>
    <w:p w:rsidR="00C91BEC" w:rsidRDefault="00C91BEC" w:rsidP="00C91BEC">
      <w:pPr>
        <w:pStyle w:val="Textoindependiente2"/>
        <w:tabs>
          <w:tab w:val="left" w:pos="709"/>
        </w:tabs>
        <w:spacing w:before="120" w:after="0"/>
        <w:ind w:right="0"/>
      </w:pPr>
      <w:r>
        <w:tab/>
        <w:t>Para efectos del inciso primero de este artículo, el reconocimiento de años de servicios discontinuos en las universidades del Estado se efectuará conforme al inciso final del artículo 1.</w:t>
      </w:r>
    </w:p>
    <w:p w:rsidR="00C91BEC" w:rsidRDefault="00C91BEC" w:rsidP="00C91BEC">
      <w:pPr>
        <w:pStyle w:val="Textoindependiente2"/>
        <w:tabs>
          <w:tab w:val="left" w:pos="709"/>
        </w:tabs>
        <w:spacing w:before="120" w:after="0"/>
        <w:ind w:right="0"/>
      </w:pPr>
      <w:r>
        <w:tab/>
        <w:t>La bonificación adicional no se considerará remuneración ni renta para ningún efecto legal, y no estará afecta a descuento alguno. El valor de la unidad de fomento que se considerará para el cálculo de este beneficio será el que corresponda a la fecha del cese de funciones.</w:t>
      </w:r>
    </w:p>
    <w:p w:rsidR="00C91BEC" w:rsidRDefault="00C91BEC" w:rsidP="00C91BEC">
      <w:pPr>
        <w:pStyle w:val="Textoindependiente2"/>
        <w:tabs>
          <w:tab w:val="left" w:pos="709"/>
        </w:tabs>
        <w:spacing w:before="120" w:after="0"/>
        <w:ind w:right="0"/>
      </w:pPr>
      <w:r>
        <w:tab/>
        <w:t>Para efectos de acceder a la bonificación de que trata este artículo, no se podrán computar los mismos años de servicio que ya hayan sido contabilizados para percibir otros beneficios asociados al retiro voluntario, con excepción de la bonificación del artículo 9 de la ley N° 20.374.</w:t>
      </w:r>
    </w:p>
    <w:p w:rsidR="00C91BEC" w:rsidRDefault="00C91BEC" w:rsidP="00C91BEC">
      <w:pPr>
        <w:pStyle w:val="Textoindependiente2"/>
        <w:tabs>
          <w:tab w:val="left" w:pos="709"/>
        </w:tabs>
        <w:spacing w:before="120" w:after="0"/>
        <w:ind w:right="0"/>
      </w:pPr>
      <w:r>
        <w:tab/>
        <w:t xml:space="preserve">La bonificación adicional se pagará por la universidad empleadora de una sola vez, al mes siguiente de producido el cese de funciones del personal, siempre que el Ministerio de Educación, haya traspasado los recursos a la respectiva universidad. </w:t>
      </w:r>
    </w:p>
    <w:p w:rsidR="00C91BEC" w:rsidRDefault="00C91BEC" w:rsidP="00C91BEC">
      <w:pPr>
        <w:pStyle w:val="Textoindependiente2"/>
        <w:tabs>
          <w:tab w:val="left" w:pos="709"/>
        </w:tabs>
        <w:spacing w:after="0"/>
        <w:ind w:right="0"/>
      </w:pPr>
      <w:r>
        <w:tab/>
      </w:r>
      <w:r w:rsidRPr="00CE2848">
        <w:rPr>
          <w:b/>
        </w:rPr>
        <w:t>Artículo 4.-</w:t>
      </w:r>
      <w:r>
        <w:t xml:space="preserve"> También tendrá derecho a la bonificación adicional el personal académico, directivo y profesional no académico de las universidades del Estado, de planta o a contrata, que obtenga o haya obtenido una pensión de invalidez del decreto ley N° 3.500, de 1980, o que cese o haya cesado en sus funciones por declaración de vacancia por salud irrecuperable o incompatible con el desempeño del cargo, entre la fecha de publicación de la presente ley y el 31 de diciembre de 2024, siempre que se encuentre afiliado al sistema de pensiones establecido en el decreto ley Nº 3.500, de 1980, cotizando o habiendo cotizado en dicho sistema, reúna los demás requisitos necesarios para su percepción y acceda a uno de los cupos a que se refiere el artículo 5.</w:t>
      </w:r>
    </w:p>
    <w:p w:rsidR="00C91BEC" w:rsidRDefault="00C91BEC" w:rsidP="00C91BEC">
      <w:pPr>
        <w:pStyle w:val="Textoindependiente2"/>
        <w:tabs>
          <w:tab w:val="left" w:pos="709"/>
        </w:tabs>
        <w:spacing w:before="120" w:after="0"/>
        <w:ind w:right="0"/>
      </w:pPr>
      <w:r>
        <w:tab/>
        <w:t xml:space="preserve">Además, los funcionarios señalados en el inciso anterior, dentro de los tres años siguientes a la obtención de la pensión de invalidez o cese en sus funciones por declaración de vacancia según las causales señaladas en el inciso anterior, deberán cumplir entre la fecha de publicación de la presente ley y el 31 de diciembre de 2024, 65 años de edad, en el caso de los hombres, y 60 años de edad, tratándose de las mujeres. </w:t>
      </w:r>
    </w:p>
    <w:p w:rsidR="00C91BEC" w:rsidRDefault="00C91BEC" w:rsidP="00C91BEC">
      <w:pPr>
        <w:pStyle w:val="Textoindependiente2"/>
        <w:tabs>
          <w:tab w:val="left" w:pos="709"/>
        </w:tabs>
        <w:spacing w:before="120" w:after="0"/>
        <w:ind w:right="0"/>
      </w:pPr>
      <w:r>
        <w:tab/>
        <w:t xml:space="preserve">El personal señalado en el inciso anterior que no cumpla con el requisito de edad allí establecido, igualmente podrá acceder a la bonificación adicional si tiene treinta o más años de servicio, continuos o discontinuos, a la fecha del cese de funciones, en cualquier calidad jurídica, sea de planta o a contrata, en las universidades del Estado; y siempre que al 31 de diciembre del año anterior al cese de sus funciones por las causales indicadas en el inciso primero haya tenido un mínimo de diez años de desempeño continuo o discontinuo en cargos de planta o a contrata en dichas universidades. </w:t>
      </w:r>
    </w:p>
    <w:p w:rsidR="00C91BEC" w:rsidRDefault="00C91BEC" w:rsidP="00C91BEC">
      <w:pPr>
        <w:pStyle w:val="Textoindependiente2"/>
        <w:tabs>
          <w:tab w:val="left" w:pos="709"/>
        </w:tabs>
        <w:spacing w:before="120" w:after="0"/>
        <w:ind w:right="0"/>
      </w:pPr>
      <w:r>
        <w:tab/>
        <w:t>El personal a que se refiere este artículo tendrá derecho a la bonificación adicional siempre que sirva sus cargos en calidad de planta o a contrata y que haya prestado servicios en cualquiera de dichas calidades por un período no inferior a diez años, continuos o discontinuos, en las universidades del Estado, a la fecha del cese de funciones por cualquiera de las causales indicadas en el inciso primero. Para el reconocimiento de años de servicios discontinuos, se aplicará lo dispuesto en el inciso cuarto del artículo 1, contados al cese de funciones.</w:t>
      </w:r>
    </w:p>
    <w:p w:rsidR="00C91BEC" w:rsidRDefault="00C91BEC" w:rsidP="00C91BEC">
      <w:pPr>
        <w:pStyle w:val="Textoindependiente2"/>
        <w:tabs>
          <w:tab w:val="left" w:pos="709"/>
        </w:tabs>
        <w:spacing w:before="120" w:after="0"/>
        <w:ind w:right="0"/>
      </w:pPr>
      <w:r>
        <w:tab/>
        <w:t>El personal señalado en los incisos anteriores de este artículo podrá postular a la bonificación adicional en la universidad del Estado empleadora, una vez cumplidas las edades señaladas en el inciso segundo o al cesar en sus funciones si tiene treinta o más años de servicio de acuerdo al inciso tercero, dentro del plazo que señale el reglamento. Si no postula dentro de dicho plazo, se entenderá que renuncia irrevocablemente a la bonificación adicional.</w:t>
      </w:r>
    </w:p>
    <w:p w:rsidR="00C91BEC" w:rsidRDefault="00C91BEC" w:rsidP="00C91BEC">
      <w:pPr>
        <w:pStyle w:val="Textoindependiente2"/>
        <w:tabs>
          <w:tab w:val="left" w:pos="709"/>
        </w:tabs>
        <w:spacing w:before="120" w:after="0"/>
        <w:ind w:right="0"/>
      </w:pPr>
      <w:r>
        <w:tab/>
        <w:t>La bonificación adicional se pagará por la universidad del Estado empleadora de una sola vez, al mes siguiente de tramitado totalmente el acto administrativo que la concede, siempre que el Ministerio de Educación haya traspasado los recursos a la respectiva universidad. El valor de la unidad de fomento que se considerará para el cálculo de este beneficio, será el que corresponda al último día del mes anterior a su pago.</w:t>
      </w:r>
    </w:p>
    <w:p w:rsidR="00C91BEC" w:rsidRDefault="00C91BEC" w:rsidP="00C91BEC">
      <w:pPr>
        <w:pStyle w:val="Textoindependiente2"/>
        <w:tabs>
          <w:tab w:val="left" w:pos="709"/>
        </w:tabs>
        <w:spacing w:before="120" w:after="0"/>
        <w:ind w:right="0"/>
      </w:pPr>
      <w:r>
        <w:tab/>
        <w:t>Las universidades estatales estarán facultadas para otorgar el beneficio compensatorio del artículo 9 de la ley Nº 20.374 al personal académico, directivo y profesional no académico, de planta o a contrata, que perciba la bonificación adicional en virtud del inciso primero de este artículo. En este caso, el número de meses a pagar por dicho beneficio compensatorio corresponderá a la diferencia entre los meses que hubiere podido percibir de acuerdo al artículo 9 de la ley Nº 20.374, si hubiere renunciado voluntariamente, y seis meses del inciso segundo del artículo 152 del decreto con fuerza de ley Nº 29, de 2004, del Ministerio de Hacienda, que fijó el texto refundido, coordinado y sistematizado de la ley Nº 18.834, sobre Estatuto Administrativo.</w:t>
      </w:r>
    </w:p>
    <w:p w:rsidR="00C91BEC" w:rsidRDefault="00C91BEC" w:rsidP="00C91BEC">
      <w:pPr>
        <w:pStyle w:val="Textoindependiente2"/>
        <w:tabs>
          <w:tab w:val="left" w:pos="709"/>
        </w:tabs>
        <w:spacing w:after="0"/>
        <w:ind w:right="0"/>
      </w:pPr>
      <w:r>
        <w:tab/>
      </w:r>
      <w:r w:rsidRPr="00CE2848">
        <w:rPr>
          <w:b/>
        </w:rPr>
        <w:t>Artículo 5.-</w:t>
      </w:r>
      <w:r>
        <w:t xml:space="preserve"> Podrán acceder a la bonificación adicional creada por esta ley hasta un total de 3.800 beneficiarios académicos y directivos. Para el año 2017 se contemplarán 300 cupos. Para los años 2018, 2019, 2020 y 2021 se contemplarán, por cada anualidad, 600 cupos. Para el año 2022, existirán 400 cupos. Para los años 2023 y 2024, se contemplarán, por cada anualidad, 350 cupos. Con todo, los cupos que no hubieren sido utilizados en los años 2017 y 2018 incrementarán los cupos del año 2019. A partir de este último año, los cupos que no sean utilizados en cada anualidad incrementarán los cupos del año inmediatamente siguiente.</w:t>
      </w:r>
    </w:p>
    <w:p w:rsidR="00C91BEC" w:rsidRDefault="00C91BEC" w:rsidP="00C91BEC">
      <w:pPr>
        <w:pStyle w:val="Textoindependiente2"/>
        <w:tabs>
          <w:tab w:val="left" w:pos="709"/>
        </w:tabs>
        <w:spacing w:before="120" w:after="0"/>
        <w:ind w:right="0"/>
      </w:pPr>
      <w:r>
        <w:tab/>
        <w:t>Podrán acceder a la bonificación adicional creada por esta ley hasta un total de 900 beneficiarios profesionales no académicos. Para el año 2017 se contemplarán  120 cupos. Para los años 2018 y 2019 se contemplarán, por cada anualidad, 150 cupos. Para los años 2020, 2021 y 2022 se contemplarán, por cada anualidad, 100 cupos. Para los años 2023 y 2024, por cada anualidad, 90 cupos. Con todo, los cupos que no hubieren sido utilizados en los años 2017 y 2018 incrementarán los cupos del año 2019. A partir de este último año, los cupos que no sean utilizados en cada anualidad incrementarán los cupos del año inmediatamente siguiente.</w:t>
      </w:r>
    </w:p>
    <w:p w:rsidR="00C91BEC" w:rsidRDefault="00C91BEC" w:rsidP="00C91BEC">
      <w:pPr>
        <w:pStyle w:val="Textoindependiente2"/>
        <w:tabs>
          <w:tab w:val="left" w:pos="709"/>
        </w:tabs>
        <w:spacing w:before="120" w:after="0"/>
        <w:ind w:right="0"/>
      </w:pPr>
      <w:r>
        <w:tab/>
        <w:t>Para que los funcionarios accedan a la bonificación adicional deberán postular en su respectiva universidad empleadora en los plazos que fije el reglamento, comunicando su decisión de renunciar voluntariamente. Dichas universidades deberán remitir al Ministerio de Educación las postulaciones de los funcionarios que cumplan con los requisitos para acceder a los beneficios de esta ley, en los plazos y formas que indique el reglamento.</w:t>
      </w:r>
    </w:p>
    <w:p w:rsidR="00C91BEC" w:rsidRDefault="00C91BEC" w:rsidP="00C91BEC">
      <w:pPr>
        <w:pStyle w:val="Textoindependiente2"/>
        <w:tabs>
          <w:tab w:val="left" w:pos="709"/>
        </w:tabs>
        <w:spacing w:before="120" w:after="0"/>
        <w:ind w:right="0"/>
      </w:pPr>
      <w:r>
        <w:tab/>
        <w:t>Mediante una o más resoluciones exentas del Ministerio de Educación, visadas por la Dirección de Presupuestos, se establecerá la distribución de los cupos anuales entre las universidades estatales</w:t>
      </w:r>
      <w:r w:rsidR="00574B78">
        <w:rPr>
          <w:b/>
        </w:rPr>
        <w:t>, con prioridad</w:t>
      </w:r>
      <w:r w:rsidR="00582DE6">
        <w:rPr>
          <w:b/>
        </w:rPr>
        <w:t xml:space="preserve"> </w:t>
      </w:r>
      <w:r w:rsidR="00574B78">
        <w:rPr>
          <w:b/>
        </w:rPr>
        <w:t>a las universidades regionales</w:t>
      </w:r>
      <w:r>
        <w:t>, en forma proporcional al número de postulaciones que cumplan con los requisitos fijados por esta ley conforme a los cupos a que se refiere el presente artículo 5.</w:t>
      </w:r>
    </w:p>
    <w:p w:rsidR="00C91BEC" w:rsidRDefault="00C91BEC" w:rsidP="00C91BEC">
      <w:pPr>
        <w:pStyle w:val="Textoindependiente2"/>
        <w:tabs>
          <w:tab w:val="left" w:pos="709"/>
        </w:tabs>
        <w:spacing w:before="120" w:after="0"/>
        <w:ind w:right="0"/>
      </w:pPr>
      <w:r>
        <w:tab/>
        <w:t>La universidad empleadora deberá dictar, para cada proceso de postulación, una resolución que deberá contener el listado de todos los postulantes que cumplen los requisitos para acceder a la bonificación adicional de esta ley. Además, dicha resolución contendrá la individualización de los beneficiarios de los cupos disponibles para dicho año y las demás materias que defina el reglamento.</w:t>
      </w:r>
    </w:p>
    <w:p w:rsidR="00C91BEC" w:rsidRDefault="00C91BEC" w:rsidP="00C91BEC">
      <w:pPr>
        <w:pStyle w:val="Textoindependiente2"/>
        <w:tabs>
          <w:tab w:val="left" w:pos="709"/>
        </w:tabs>
        <w:spacing w:before="120" w:after="0"/>
        <w:ind w:right="0"/>
      </w:pPr>
      <w:r>
        <w:tab/>
        <w:t xml:space="preserve">En caso de haber un mayor número de postulantes por universidad que cupos anuales otorgados a ella, éstas los asignarán conforme a los siguientes criterios: </w:t>
      </w:r>
    </w:p>
    <w:p w:rsidR="00C91BEC" w:rsidRDefault="00C91BEC" w:rsidP="00C91BEC">
      <w:pPr>
        <w:pStyle w:val="Textoindependiente2"/>
        <w:tabs>
          <w:tab w:val="left" w:pos="709"/>
        </w:tabs>
        <w:spacing w:before="120" w:after="0"/>
        <w:ind w:right="0"/>
      </w:pPr>
      <w:r>
        <w:tab/>
        <w:t>a) En primer término, se preferirá a aquéllos con un mayor número de días por sobre la edad legal para pensionarse por vejez, sean funcionarios o funcionarias, considerados a la fecha de inicio del periodo de postulación que fije el reglamento.</w:t>
      </w:r>
    </w:p>
    <w:p w:rsidR="00C91BEC" w:rsidRDefault="00C91BEC" w:rsidP="00C91BEC">
      <w:pPr>
        <w:pStyle w:val="Textoindependiente2"/>
        <w:tabs>
          <w:tab w:val="left" w:pos="709"/>
        </w:tabs>
        <w:spacing w:before="120" w:after="0"/>
        <w:ind w:right="0"/>
      </w:pPr>
      <w:r>
        <w:tab/>
        <w:t>b) En igualdad de condiciones de edad, se preferirá a los que tengan más años de servicio en la universidad estatal empleadora, y luego en todas las universidades estatales, a la fecha que determine el reglamento.</w:t>
      </w:r>
    </w:p>
    <w:p w:rsidR="00C91BEC" w:rsidRDefault="00C91BEC" w:rsidP="00C91BEC">
      <w:pPr>
        <w:pStyle w:val="Textoindependiente2"/>
        <w:tabs>
          <w:tab w:val="left" w:pos="709"/>
        </w:tabs>
        <w:spacing w:before="120" w:after="0"/>
        <w:ind w:right="0"/>
      </w:pPr>
      <w:r>
        <w:tab/>
        <w:t>c) Si persiste la igualdad, se preferirá a los que tengan el mayor número de días de reposo de licencias médicas cursadas durante los 365 días corridos inmediatamente anteriores al inicio del respectivo período de postulación.</w:t>
      </w:r>
    </w:p>
    <w:p w:rsidR="00C91BEC" w:rsidRDefault="00C91BEC" w:rsidP="00C91BEC">
      <w:pPr>
        <w:pStyle w:val="Textoindependiente2"/>
        <w:tabs>
          <w:tab w:val="left" w:pos="709"/>
        </w:tabs>
        <w:spacing w:before="120" w:after="0"/>
        <w:ind w:right="0"/>
      </w:pPr>
      <w:r>
        <w:tab/>
        <w:t>d) En todo caso, si aplicados todos los criterios de selección persiste la igualdad, resolverá la máxima autoridad de la universidad respectiva</w:t>
      </w:r>
      <w:r w:rsidR="00574B78" w:rsidRPr="00363302">
        <w:t xml:space="preserve">, </w:t>
      </w:r>
      <w:r w:rsidR="00574B78">
        <w:rPr>
          <w:b/>
        </w:rPr>
        <w:t>garantizando la paridad de género</w:t>
      </w:r>
      <w:r w:rsidR="00582DE6">
        <w:rPr>
          <w:b/>
        </w:rPr>
        <w:t>, si correspondiere</w:t>
      </w:r>
      <w:r>
        <w:t>.</w:t>
      </w:r>
    </w:p>
    <w:p w:rsidR="00C91BEC" w:rsidRDefault="00C91BEC" w:rsidP="00C91BEC">
      <w:pPr>
        <w:pStyle w:val="Textoindependiente2"/>
        <w:tabs>
          <w:tab w:val="left" w:pos="709"/>
        </w:tabs>
        <w:spacing w:before="120" w:after="0"/>
        <w:ind w:right="0"/>
      </w:pPr>
      <w:r>
        <w:tab/>
        <w:t>Una vez dictada la resolución a que se refiere el inciso tercero, la universidad estatal empleadora la notificará dentro de los 5 días siguientes a la fecha de su dictación, a cada uno de los funcionarios que participaron del proceso de postulación, al correo electrónico institucional que tengan asignado o al que fijen en su postulación, o por carta certificada a la dirección que indicó el funcionario al postular, o de conformidad al inciso final del artículo 46 de la ley N° 19.880.</w:t>
      </w:r>
    </w:p>
    <w:p w:rsidR="00C91BEC" w:rsidRDefault="00C91BEC" w:rsidP="00C91BEC">
      <w:pPr>
        <w:pStyle w:val="Textoindependiente2"/>
        <w:tabs>
          <w:tab w:val="left" w:pos="709"/>
        </w:tabs>
        <w:spacing w:before="120" w:after="0"/>
        <w:ind w:right="0"/>
      </w:pPr>
      <w:r>
        <w:tab/>
        <w:t>A más tardar, dentro de los 10 días hábiles siguientes a la notificación a que se refiere el inciso anterior, los beneficiarios de cupos deberán informar por escrito a la respectiva universidad estatal empleadora la fecha en que harán dejación definitiva del cargo o empleo o el total de horas que sirvan. Dicho personal deberá presentar su renuncia voluntaria y hacerla efectiva en los plazos señalados en el artículo 2.</w:t>
      </w:r>
    </w:p>
    <w:p w:rsidR="00C91BEC" w:rsidRDefault="00C91BEC" w:rsidP="00C91BEC">
      <w:pPr>
        <w:pStyle w:val="Textoindependiente2"/>
        <w:tabs>
          <w:tab w:val="left" w:pos="709"/>
        </w:tabs>
        <w:spacing w:before="120" w:after="0"/>
        <w:ind w:right="0"/>
      </w:pPr>
      <w:r>
        <w:tab/>
        <w:t>No obstante lo dispuesto en el inciso anterior, el personal que postule a la bonificación adicional y cumpla con los requisitos para acceder a ella, podrá renunciar a todos los cargos y al total de horas que sirva, a contar de la fecha de presentación de su postulación a dicho beneficio, siempre que tenga cumplidas las edades establecidas en el artículo 1 de esta ley, según corresponda. En este caso, el pago de la bonificación adicional se efectuará por la universidad empleadora, en el mes siguiente al de la total tramitación de la resolución que conceda al funcionario un cupo para acceder a la bonificación, y siempre que el Ministerio de Educación haya traspasado los recursos a la respectiva universidad. Con todo, las universidades podrán adelantar el pago de la bonificación adicional con recursos propios, a partir  de la asignación del cupo o desde que el funcionario se encuentre en la situación que regula el artículo 6, sin perjuicio del posterior traspaso de recursos que a su respecto realice el Ministerio de Educación. Dichos pagos anticipados no podrán realizarse durante el año 2024. El valor de la unidad de fomento para el cálculo de la bonificación será el vigente al último día del mes anterior a la fecha de la resolución que disponga su pago. A su vez, el beneficio compensatorio del artículo 9 de la ley N° 20.374 se pagará cuando corresponda, según el inciso cuarto de dicho artículo.</w:t>
      </w:r>
    </w:p>
    <w:p w:rsidR="00C91BEC" w:rsidRDefault="00C91BEC" w:rsidP="00C91BEC">
      <w:pPr>
        <w:pStyle w:val="Textoindependiente2"/>
        <w:tabs>
          <w:tab w:val="left" w:pos="709"/>
        </w:tabs>
        <w:spacing w:before="120" w:after="0"/>
        <w:ind w:right="0"/>
      </w:pPr>
      <w:r>
        <w:tab/>
        <w:t>Para los efectos del artículo 8 de esta ley, los funcionarios a que se refiere el inciso anterior deberán presentar la solicitud para acceder al bono establecido en la ley N° 20.305 en la misma oportunidad en que presenten su renuncia voluntaria.</w:t>
      </w:r>
    </w:p>
    <w:p w:rsidR="00C91BEC" w:rsidRDefault="00C91BEC" w:rsidP="00C91BEC">
      <w:pPr>
        <w:pStyle w:val="Textoindependiente2"/>
        <w:tabs>
          <w:tab w:val="left" w:pos="709"/>
        </w:tabs>
        <w:spacing w:after="0"/>
        <w:ind w:right="0"/>
      </w:pPr>
      <w:r>
        <w:tab/>
      </w:r>
      <w:r w:rsidRPr="00CE2848">
        <w:rPr>
          <w:b/>
        </w:rPr>
        <w:t>Artículo 6.-</w:t>
      </w:r>
      <w:r>
        <w:t xml:space="preserve"> Los postulantes a la bonificación adicional que, cumpliendo los requisitos para acceder a ella, no fueren seleccionados por falta de cupo, pasarán a integrar en forma preferente el listado de seleccionados del proceso que corresponda al año o años siguientes, sin necesidad de realizar una nueva postulación, manteniendo los beneficios que le correspondan a la época de dicha postulación, incluido aquel a que se refiere el artículo 9 de la ley N° 20.374, siempre que tengan derecho al mismo. Una vez que dichos postulantes sean incorporados a la nómina de beneficiarios de cupos del período o períodos siguientes, si quedaren cupos disponibles, éstos serán completados con los postulantes de dicho año que resulten seleccionados. </w:t>
      </w:r>
    </w:p>
    <w:p w:rsidR="00C91BEC" w:rsidRDefault="00C91BEC" w:rsidP="00C91BEC">
      <w:pPr>
        <w:pStyle w:val="Textoindependiente2"/>
        <w:tabs>
          <w:tab w:val="left" w:pos="709"/>
        </w:tabs>
        <w:spacing w:before="120" w:after="0"/>
        <w:ind w:right="0"/>
      </w:pPr>
      <w:r>
        <w:tab/>
        <w:t>El valor de la Unidad de Fomento que se considerará para el pago de la bonificación adicional, conforme a lo expresado en el inciso anterior, será el que corresponda al del último día del mes anterior a la fecha del cese de funciones.</w:t>
      </w:r>
    </w:p>
    <w:p w:rsidR="00C91BEC" w:rsidRDefault="00C91BEC" w:rsidP="00C91BEC">
      <w:pPr>
        <w:pStyle w:val="Textoindependiente2"/>
        <w:tabs>
          <w:tab w:val="left" w:pos="709"/>
        </w:tabs>
        <w:spacing w:after="0"/>
        <w:ind w:right="0"/>
      </w:pPr>
      <w:r>
        <w:tab/>
      </w:r>
      <w:r w:rsidRPr="00CE2848">
        <w:rPr>
          <w:b/>
        </w:rPr>
        <w:t>Artículo 7.-</w:t>
      </w:r>
      <w:r>
        <w:t xml:space="preserve"> En el caso que un funcionario o funcionaria seleccionado dentro de los cupos asignados a un proceso de postulación se desistiere de aquél, dicho cupo se reasignará por la respectiva universidad, siguiendo estrictamente el orden del listado contenido en la resolución de la universidad señalada en el artículo 5.</w:t>
      </w:r>
    </w:p>
    <w:p w:rsidR="00C91BEC" w:rsidRDefault="00C91BEC" w:rsidP="00C91BEC">
      <w:pPr>
        <w:pStyle w:val="Textoindependiente2"/>
        <w:tabs>
          <w:tab w:val="left" w:pos="709"/>
        </w:tabs>
        <w:spacing w:before="120" w:after="0"/>
        <w:ind w:right="0"/>
      </w:pPr>
      <w:r>
        <w:tab/>
        <w:t>Las mujeres menores de 65 años de edad que habiendo sido seleccionadas con un cupo se desistieren, no lo conservarán para los años siguientes, debiendo volver a postular conforme a las normas que establezca el reglamento.</w:t>
      </w:r>
    </w:p>
    <w:p w:rsidR="00C91BEC" w:rsidRDefault="00C91BEC" w:rsidP="00C91BEC">
      <w:pPr>
        <w:pStyle w:val="Textoindependiente2"/>
        <w:tabs>
          <w:tab w:val="left" w:pos="709"/>
        </w:tabs>
        <w:spacing w:before="120" w:after="0"/>
        <w:ind w:right="0"/>
      </w:pPr>
      <w:r>
        <w:tab/>
        <w:t>A quien se le reasigne el cupo del personal que se desista deberá hacer efectiva su renuncia voluntaria de acuerdo al artículo 2 de esta ley.</w:t>
      </w:r>
    </w:p>
    <w:p w:rsidR="00C91BEC" w:rsidRDefault="00C91BEC" w:rsidP="00C91BEC">
      <w:pPr>
        <w:pStyle w:val="Textoindependiente2"/>
        <w:tabs>
          <w:tab w:val="left" w:pos="709"/>
        </w:tabs>
        <w:spacing w:after="0"/>
        <w:ind w:right="0"/>
      </w:pPr>
      <w:r>
        <w:tab/>
      </w:r>
      <w:r w:rsidRPr="00CE2848">
        <w:rPr>
          <w:b/>
        </w:rPr>
        <w:t>Artículo 8.-</w:t>
      </w:r>
      <w:r>
        <w:t xml:space="preserve"> El personal académico, directivo y profesional no académico de las universidades del Estado que postule a la bonificación adicional, tendrá derecho a presentar la solicitud para acceder al bono establecido en la ley N</w:t>
      </w:r>
      <w:r w:rsidR="00CE2848">
        <w:t>°</w:t>
      </w:r>
      <w:r>
        <w:t xml:space="preserve"> 20.305, en la misma oportunidad en que comunique su fecha de renuncia voluntaria. Para tal efecto, se considerarán los plazos y edades establecidos en la presente ley, sin que sean aplicables a su respecto los plazos de doce meses señalados en los artículos 2 N</w:t>
      </w:r>
      <w:r w:rsidR="00CE2848">
        <w:t>°</w:t>
      </w:r>
      <w:r>
        <w:t xml:space="preserve"> 5, y 3 de la ley N</w:t>
      </w:r>
      <w:r w:rsidR="00CE2848">
        <w:t>°</w:t>
      </w:r>
      <w:r>
        <w:t xml:space="preserve"> 20.305.</w:t>
      </w:r>
    </w:p>
    <w:p w:rsidR="00C91BEC" w:rsidRDefault="00C91BEC" w:rsidP="00C91BEC">
      <w:pPr>
        <w:pStyle w:val="Textoindependiente2"/>
        <w:tabs>
          <w:tab w:val="left" w:pos="709"/>
        </w:tabs>
        <w:spacing w:after="0"/>
        <w:ind w:right="0"/>
      </w:pPr>
      <w:r>
        <w:tab/>
      </w:r>
      <w:r w:rsidRPr="00CE2848">
        <w:rPr>
          <w:b/>
        </w:rPr>
        <w:t xml:space="preserve">Artículo 9.- </w:t>
      </w:r>
      <w:r>
        <w:t>La bonificación adicional será incompatible con otras bonificaciones al retiro, tales como las otorgadas por las leyes N° 20.996 y N° 20.807, o los artículos 1 y 4 de la ley N° 20.374.</w:t>
      </w:r>
    </w:p>
    <w:p w:rsidR="00C91BEC" w:rsidRDefault="00C91BEC" w:rsidP="00C91BEC">
      <w:pPr>
        <w:pStyle w:val="Textoindependiente2"/>
        <w:tabs>
          <w:tab w:val="left" w:pos="709"/>
        </w:tabs>
        <w:spacing w:before="120" w:after="0"/>
        <w:ind w:right="0"/>
      </w:pPr>
      <w:r>
        <w:tab/>
        <w:t>Asimismo, la bonificación adicional que establece la presente ley será incompatible con toda indemnización que, por concepto de término de la relación laboral o cese de funciones, pudiere corresponderle al personal académico, directivo o profesional no académico, con las únicas excepciones del beneficio contemplado en la ley N° 20.305, el beneficio compensatorio establecido en el artículo 9 de la ley N° 20.374 y el desahucio a que se refiere el artículo 13 transitorio del decreto con fuerza de ley Nº 29, de 2004, del Ministerio de Hacienda.</w:t>
      </w:r>
    </w:p>
    <w:p w:rsidR="00C91BEC" w:rsidRDefault="00C91BEC" w:rsidP="00C91BEC">
      <w:pPr>
        <w:pStyle w:val="Textoindependiente2"/>
        <w:tabs>
          <w:tab w:val="left" w:pos="709"/>
        </w:tabs>
        <w:spacing w:after="0"/>
        <w:ind w:right="0"/>
      </w:pPr>
      <w:r>
        <w:tab/>
      </w:r>
      <w:r w:rsidRPr="00CE2848">
        <w:rPr>
          <w:b/>
        </w:rPr>
        <w:t>Artículo 10.-</w:t>
      </w:r>
      <w:r>
        <w:t xml:space="preserve"> El personal académico, directivo y profesional no académico que cese en su empleo por aplicación de lo dispuesto en esta ley u obtenga cualquiera de sus beneficios, no podrá ser nombrado ni contratado, ya sea a contrata o sobre la base de honorarios, en cualquier institución que integre la Administración del Estado durante los cinco años siguientes al término de su relación laboral; a menos que, previamente, devuelva la totalidad del beneficio percibido, debidamente reajustado por la variación del Índice de Precios al Consumidor, determinado por el Instituto Nacional de Estadísticas, entre el mes del pago del beneficio respectivo y el mes anterior al de la restitución, más el interés corriente para operaciones reajustables.</w:t>
      </w:r>
    </w:p>
    <w:p w:rsidR="00C91BEC" w:rsidRDefault="00C91BEC" w:rsidP="00C91BEC">
      <w:pPr>
        <w:pStyle w:val="Textoindependiente2"/>
        <w:tabs>
          <w:tab w:val="left" w:pos="709"/>
        </w:tabs>
        <w:spacing w:after="0"/>
        <w:ind w:right="0"/>
      </w:pPr>
      <w:r>
        <w:tab/>
      </w:r>
      <w:r w:rsidRPr="00CE2848">
        <w:rPr>
          <w:b/>
        </w:rPr>
        <w:t>Artículo 11.-</w:t>
      </w:r>
      <w:r>
        <w:t xml:space="preserve"> Si el personal académico, directivo y profesional no académico no postula a la bonificación adicional en las fechas que establezca el reglamento o no hace efectiva su renuncia voluntaria dentro de los plazos señalados en esta ley, se entenderá que renuncia irrevocablemente a dicho beneficio.</w:t>
      </w:r>
    </w:p>
    <w:p w:rsidR="00C91BEC" w:rsidRDefault="00C91BEC" w:rsidP="00C91BEC">
      <w:pPr>
        <w:pStyle w:val="Textoindependiente2"/>
        <w:tabs>
          <w:tab w:val="left" w:pos="709"/>
        </w:tabs>
        <w:spacing w:after="0"/>
        <w:ind w:right="0"/>
      </w:pPr>
      <w:r>
        <w:tab/>
      </w:r>
      <w:r w:rsidRPr="00CE2848">
        <w:rPr>
          <w:b/>
        </w:rPr>
        <w:t>Artículo 12.-</w:t>
      </w:r>
      <w:r>
        <w:t xml:space="preserve"> El personal que se acoja a los beneficios de esta ley deberá renunciar a todos los cargos y al total de horas que sirva en los plazos señalados al respecto. Los funcionarios que se desempeñen en más de una universidad del Estado deberán renunciar a la totalidad de horas y nombramientos o contratos que sirven en las distintas entidades empleadoras.</w:t>
      </w:r>
    </w:p>
    <w:p w:rsidR="00C91BEC" w:rsidRDefault="00C91BEC" w:rsidP="00C91BEC">
      <w:pPr>
        <w:pStyle w:val="Textoindependiente2"/>
        <w:tabs>
          <w:tab w:val="left" w:pos="709"/>
        </w:tabs>
        <w:spacing w:before="120" w:after="0"/>
        <w:ind w:right="0"/>
      </w:pPr>
      <w:r>
        <w:tab/>
        <w:t>Asimismo, dicho personal no podrá utilizar los años de servicios para acceder a bonificaciones o beneficios asociados al retiro voluntario que otorguen otras leyes ni tampoco utilizar años de servicios que ya hubieren sido considerados para luego acceder a otros incentivos asociados al retiro.</w:t>
      </w:r>
    </w:p>
    <w:p w:rsidR="00C91BEC" w:rsidRDefault="00C91BEC" w:rsidP="00C91BEC">
      <w:pPr>
        <w:pStyle w:val="Textoindependiente2"/>
        <w:tabs>
          <w:tab w:val="left" w:pos="709"/>
        </w:tabs>
        <w:spacing w:after="0"/>
        <w:ind w:right="0"/>
      </w:pPr>
      <w:r>
        <w:tab/>
      </w:r>
      <w:r w:rsidRPr="00CE2848">
        <w:rPr>
          <w:b/>
        </w:rPr>
        <w:t>Artículo 13.-</w:t>
      </w:r>
      <w:r>
        <w:t xml:space="preserve"> Las universidades estatales podrán otorgar el beneficio compensatorio que establece el artículo 9 de la ley N° 20.374, por única vez, al personal académico, directivo y profesional no académico, de planta o a contrata, que tuviere más de 65 años y 180 días de edad a la fecha de publicación de la presente ley, siempre que tenga derecho a ese beneficio y presente su renuncia voluntaria respecto de su cargo o del total de horas que sirva, dentro de los 180 días siguientes a dicha publicación, cuando sólo tengan derecho a este beneficio. Si el personal no presenta su renuncia dentro del plazo antes señalado, se entenderá que renuncia irrevocablemente a dicha compensación.</w:t>
      </w:r>
    </w:p>
    <w:p w:rsidR="00C91BEC" w:rsidRDefault="00C91BEC" w:rsidP="00C91BEC">
      <w:pPr>
        <w:pStyle w:val="Textoindependiente2"/>
        <w:tabs>
          <w:tab w:val="left" w:pos="709"/>
        </w:tabs>
        <w:spacing w:before="120" w:after="0"/>
        <w:ind w:right="0"/>
      </w:pPr>
      <w:r>
        <w:tab/>
        <w:t>Las universidades estatales también estarán facultadas para otorgar el beneficio compensatorio señalado en el inciso anterior, por única vez y en forma excepcional, al personal académico, directivo y profesional no académico, de planta o a contrata, que tuviere más de 65 años de edad con anterioridad a la fecha de inicio del primer proceso de postulación a la bonificación adicional dispuesto en el numeral 1 del artículo primero transitorio y tengan derecho a esta bonificación, siempre que haga efectiva su renuncia voluntaria respecto de su cargo o del total de horas que sirva dentro del plazo señalado en el artículo primero transitorio. Si el personal no hace efectiva su renuncia voluntaria dentro del plazo antes señalado se entenderá que renuncia irrevocablemente a dicha compensación.</w:t>
      </w:r>
    </w:p>
    <w:p w:rsidR="00C91BEC" w:rsidRDefault="00C91BEC" w:rsidP="00CE2848">
      <w:pPr>
        <w:pStyle w:val="Textoindependiente2"/>
        <w:tabs>
          <w:tab w:val="left" w:pos="709"/>
        </w:tabs>
        <w:spacing w:after="0"/>
        <w:ind w:right="0"/>
      </w:pPr>
      <w:r>
        <w:tab/>
      </w:r>
      <w:r w:rsidRPr="00CE2848">
        <w:rPr>
          <w:b/>
        </w:rPr>
        <w:t>Artículo 14.-</w:t>
      </w:r>
      <w:r>
        <w:t xml:space="preserve"> Un reglamento dictado por el Ministerio de Educación, y suscrito también por el Ministro de Hacienda, determinará el o los periodos de postulación a los cupos de la bonificación adicional, pudiendo establecer plazos distintos según la fecha en que los funcionarios cumplan los requisitos correspondientes. También podrá establecer el procedimiento de otorgamiento de los beneficios de esta ley y fijar los mecanismos para solicitar los recursos fiscales que correspondan para financiar la bonificación adicional. Asimismo, el reglamento determinará los procedimientos aplicables para la heredabilidad de la bonificación adicional. También podrá establecer las demás normas que sean necesarias para la aplicación de esta ley.</w:t>
      </w:r>
    </w:p>
    <w:p w:rsidR="00DD2287" w:rsidRPr="00DD2287" w:rsidRDefault="00DD2287" w:rsidP="00DD2287">
      <w:pPr>
        <w:pStyle w:val="Textoindependiente2"/>
        <w:tabs>
          <w:tab w:val="left" w:pos="709"/>
        </w:tabs>
        <w:spacing w:before="120" w:after="0"/>
        <w:ind w:right="0"/>
        <w:rPr>
          <w:b/>
        </w:rPr>
      </w:pPr>
      <w:r>
        <w:rPr>
          <w:b/>
        </w:rPr>
        <w:tab/>
      </w:r>
      <w:r w:rsidRPr="00DD2287">
        <w:rPr>
          <w:b/>
        </w:rPr>
        <w:t>En la dictación del reglamento, la autoridad tomará conocimiento de la opinión de las asociaciones de</w:t>
      </w:r>
      <w:r w:rsidR="00AE7DDE">
        <w:rPr>
          <w:b/>
        </w:rPr>
        <w:t xml:space="preserve"> </w:t>
      </w:r>
      <w:r w:rsidR="0058582C">
        <w:rPr>
          <w:b/>
        </w:rPr>
        <w:t xml:space="preserve">funcionarios que representen a los </w:t>
      </w:r>
      <w:r w:rsidR="00AE7DDE">
        <w:rPr>
          <w:b/>
        </w:rPr>
        <w:t>académicos</w:t>
      </w:r>
      <w:r w:rsidR="00BF6174">
        <w:rPr>
          <w:b/>
        </w:rPr>
        <w:t>, directivos y p</w:t>
      </w:r>
      <w:r w:rsidR="00AE7DDE">
        <w:rPr>
          <w:b/>
        </w:rPr>
        <w:t xml:space="preserve">rofesionales </w:t>
      </w:r>
      <w:r w:rsidR="00BF6174">
        <w:rPr>
          <w:b/>
        </w:rPr>
        <w:t>no académicos</w:t>
      </w:r>
      <w:r w:rsidR="00AE7DDE">
        <w:rPr>
          <w:b/>
        </w:rPr>
        <w:t xml:space="preserve"> </w:t>
      </w:r>
      <w:r w:rsidRPr="00DD2287">
        <w:rPr>
          <w:b/>
        </w:rPr>
        <w:t>de las universidades del Estado, constituidas de conformidad a la ley N° 19.296.</w:t>
      </w:r>
    </w:p>
    <w:p w:rsidR="00C91BEC" w:rsidRDefault="00C91BEC" w:rsidP="00C91BEC">
      <w:pPr>
        <w:pStyle w:val="Textoindependiente2"/>
        <w:tabs>
          <w:tab w:val="left" w:pos="709"/>
        </w:tabs>
        <w:spacing w:before="120" w:after="0"/>
        <w:ind w:right="0"/>
      </w:pPr>
      <w:r>
        <w:tab/>
        <w:t xml:space="preserve">El reglamento señalado en el inciso anterior deberá ser dictado dentro de los 90 días siguientes a la fecha de publicación de la presente ley. </w:t>
      </w:r>
    </w:p>
    <w:p w:rsidR="00C91BEC" w:rsidRDefault="00C91BEC" w:rsidP="00C91BEC">
      <w:pPr>
        <w:pStyle w:val="Textoindependiente2"/>
        <w:tabs>
          <w:tab w:val="left" w:pos="709"/>
        </w:tabs>
        <w:spacing w:after="0"/>
        <w:ind w:right="0"/>
      </w:pPr>
      <w:r>
        <w:tab/>
      </w:r>
      <w:r w:rsidRPr="00CE2848">
        <w:rPr>
          <w:b/>
        </w:rPr>
        <w:t>Artículo 15.-</w:t>
      </w:r>
      <w:r>
        <w:t xml:space="preserve"> La bonificación adicional que corresponda a un funcionario será transmisible por causa de muerte, si éste fallece entre la fecha de su postulación a la misma y antes de percibirla, y siempre que cumpla con los requisitos establecidos en la presente ley para acceder a ella. Este beneficio quedará afecto a los incisos primero y segundo del artículo 5, según corresponda. </w:t>
      </w:r>
    </w:p>
    <w:p w:rsidR="00C91BEC" w:rsidRDefault="00C91BEC" w:rsidP="00C91BEC">
      <w:pPr>
        <w:pStyle w:val="Textoindependiente2"/>
        <w:tabs>
          <w:tab w:val="left" w:pos="709"/>
        </w:tabs>
        <w:spacing w:after="0"/>
        <w:ind w:right="0"/>
      </w:pPr>
      <w:r>
        <w:tab/>
      </w:r>
      <w:r w:rsidRPr="00CE2848">
        <w:rPr>
          <w:b/>
        </w:rPr>
        <w:t>Artículo 16.-</w:t>
      </w:r>
      <w:r>
        <w:t xml:space="preserve"> Sin perjuicio de lo dispuesto en el artículo 10 de la presente ley, el personal académico que perciba los beneficios que establece esta ley y siempre que al cese de sus funciones hubiere estado desempeñando una jornada de trabajo semanal de 44 o más horas, podrá ser recontratado en las universidades estatales sólo para el desempeño de una de las siguientes funciones:</w:t>
      </w:r>
    </w:p>
    <w:p w:rsidR="00C91BEC" w:rsidRDefault="00C91BEC" w:rsidP="00C91BEC">
      <w:pPr>
        <w:pStyle w:val="Textoindependiente2"/>
        <w:tabs>
          <w:tab w:val="left" w:pos="709"/>
        </w:tabs>
        <w:spacing w:before="120" w:after="0"/>
        <w:ind w:right="0"/>
      </w:pPr>
      <w:r>
        <w:tab/>
        <w:t xml:space="preserve">a) Ejercer una jornada semanal de hasta 12 horas de docencia; o </w:t>
      </w:r>
    </w:p>
    <w:p w:rsidR="00C91BEC" w:rsidRDefault="00C91BEC" w:rsidP="00C91BEC">
      <w:pPr>
        <w:pStyle w:val="Textoindependiente2"/>
        <w:tabs>
          <w:tab w:val="left" w:pos="709"/>
        </w:tabs>
        <w:spacing w:before="120" w:after="0"/>
        <w:ind w:right="0"/>
      </w:pPr>
      <w:r>
        <w:tab/>
        <w:t xml:space="preserve">b) Ejercer una jornada semanal de hasta 22 horas de investigación; o </w:t>
      </w:r>
    </w:p>
    <w:p w:rsidR="00C91BEC" w:rsidRDefault="00C91BEC" w:rsidP="00C91BEC">
      <w:pPr>
        <w:pStyle w:val="Textoindependiente2"/>
        <w:tabs>
          <w:tab w:val="left" w:pos="709"/>
        </w:tabs>
        <w:spacing w:before="120" w:after="0"/>
        <w:ind w:right="0"/>
      </w:pPr>
      <w:r>
        <w:tab/>
        <w:t>c) Ejercer una jornada semanal de hasta 22 horas, de las cuáles hasta 12 horas podrán ser para el desempeño de labores de docencia de postgrado y las restantes para investigación.</w:t>
      </w:r>
    </w:p>
    <w:p w:rsidR="00C91BEC" w:rsidRDefault="00C91BEC" w:rsidP="00C91BEC">
      <w:pPr>
        <w:pStyle w:val="Textoindependiente2"/>
        <w:tabs>
          <w:tab w:val="left" w:pos="709"/>
        </w:tabs>
        <w:spacing w:before="120" w:after="0"/>
        <w:ind w:right="0"/>
      </w:pPr>
      <w:r>
        <w:tab/>
        <w:t xml:space="preserve">También podrá ser recontratado el personal académico que perciba los beneficios que establece la presente ley y siempre que al cese de sus funciones hubiere estado desempeñando una jornada de trabajo semanal inferior a 44 horas. En este caso, las jornadas máximas dispuestas en los literales del inciso anterior se ajustarán en proporción a la jornada semanal que se hubiere encontrado desempeñando al momento del cese de sus funciones. </w:t>
      </w:r>
    </w:p>
    <w:p w:rsidR="00C91BEC" w:rsidRDefault="00C91BEC" w:rsidP="00C91BEC">
      <w:pPr>
        <w:pStyle w:val="Textoindependiente2"/>
        <w:tabs>
          <w:tab w:val="left" w:pos="709"/>
        </w:tabs>
        <w:spacing w:before="120" w:after="0"/>
        <w:ind w:right="0"/>
      </w:pPr>
      <w:r>
        <w:tab/>
        <w:t>El personal académico que haga uso de lo dispuesto en el inciso noveno del artículo 5 podrá ser recontratado conforme a lo dispuesto en este artículo, según corresponda.</w:t>
      </w:r>
    </w:p>
    <w:p w:rsidR="00C91BEC" w:rsidRDefault="00C91BEC" w:rsidP="00C91BEC">
      <w:pPr>
        <w:pStyle w:val="Textoindependiente2"/>
        <w:tabs>
          <w:tab w:val="left" w:pos="709"/>
        </w:tabs>
        <w:spacing w:before="120" w:after="0"/>
        <w:ind w:right="0"/>
      </w:pPr>
      <w:r>
        <w:tab/>
        <w:t xml:space="preserve">Con todo, las recontrataciones a que se refiere este artículo, sólo podrán efectuarse hasta que el personal académico cumpla 70 años de edad en el caso de la letra a) del inciso primero. En el caso de las recontrataciones señaladas en las letras b) y c) del inciso primero, sólo podrán efectuarse hasta que el personal académico cumpla 75 años de edad. </w:t>
      </w:r>
    </w:p>
    <w:p w:rsidR="00C91BEC" w:rsidRDefault="00C91BEC" w:rsidP="00C91BEC">
      <w:pPr>
        <w:pStyle w:val="Textoindependiente2"/>
        <w:tabs>
          <w:tab w:val="left" w:pos="709"/>
        </w:tabs>
        <w:spacing w:before="120" w:after="0"/>
        <w:ind w:right="0"/>
      </w:pPr>
      <w:r>
        <w:tab/>
        <w:t>Sólo podrán ser recontratados para desempeñar una jornada semanal de 22 horas, quienes sean académicos de la más alta jerarquía de la respectiva universidad estatal.</w:t>
      </w:r>
    </w:p>
    <w:p w:rsidR="00C91BEC" w:rsidRDefault="00C91BEC" w:rsidP="00C91BEC">
      <w:pPr>
        <w:pStyle w:val="Textoindependiente2"/>
        <w:tabs>
          <w:tab w:val="left" w:pos="709"/>
        </w:tabs>
        <w:spacing w:after="0"/>
        <w:ind w:right="0"/>
      </w:pPr>
      <w:r>
        <w:tab/>
      </w:r>
      <w:r w:rsidRPr="00CE2848">
        <w:rPr>
          <w:b/>
        </w:rPr>
        <w:t>Artículo 17.-</w:t>
      </w:r>
      <w:r>
        <w:t xml:space="preserve"> Los académicos beneficiarios de esta ley que sean recontratados para desempeñar labores de docencia, de conformidad a lo señalado en el artículo anterior, deberán cumplir alguno de los siguientes requisitos alternativamente:</w:t>
      </w:r>
    </w:p>
    <w:p w:rsidR="00C91BEC" w:rsidRDefault="00C91BEC" w:rsidP="00C91BEC">
      <w:pPr>
        <w:pStyle w:val="Textoindependiente2"/>
        <w:tabs>
          <w:tab w:val="left" w:pos="709"/>
        </w:tabs>
        <w:spacing w:before="120" w:after="0"/>
        <w:ind w:right="0"/>
      </w:pPr>
      <w:r>
        <w:tab/>
        <w:t>a) Ser académico de la más alta jerarquía; o</w:t>
      </w:r>
    </w:p>
    <w:p w:rsidR="00C91BEC" w:rsidRDefault="00C91BEC" w:rsidP="00C91BEC">
      <w:pPr>
        <w:pStyle w:val="Textoindependiente2"/>
        <w:tabs>
          <w:tab w:val="left" w:pos="709"/>
        </w:tabs>
        <w:spacing w:before="120" w:after="0"/>
        <w:ind w:right="0"/>
      </w:pPr>
      <w:r>
        <w:tab/>
        <w:t>b) Ser académicos de la segunda más alta jerarquía y tener el grado académico de doctor, siempre que hubieren tenido una jornada semanal de 44 o más horas durante, a lo menos, 10 años de servicios continuos o discontinuos en la universidad en la cual cesaron en funciones acogiéndose a los beneficios que establece la presente ley; o</w:t>
      </w:r>
    </w:p>
    <w:p w:rsidR="00C91BEC" w:rsidRDefault="00C91BEC" w:rsidP="00C91BEC">
      <w:pPr>
        <w:pStyle w:val="Textoindependiente2"/>
        <w:tabs>
          <w:tab w:val="left" w:pos="709"/>
        </w:tabs>
        <w:spacing w:before="120" w:after="0"/>
        <w:ind w:right="0"/>
      </w:pPr>
      <w:r>
        <w:tab/>
        <w:t>c) Ser académicos de la segunda más alta jerarquía y tener el grado académico de magíster, siempre que hubieren tenido una jornada semanal de 44 o más horas durante, a lo menos, 10 años de servicios continuos o discontinuos, en la universidad en la cual cesaron en funciones acogiéndose a los beneficios que establece la presente ley y, siempre que sean recontratados exclusivamente en una universidad estatal de las incluidas en el artículo 12 de la ley N° 20.374 o en el decreto con fuerza de ley N° 7, de 2016, del Ministerio de Educación.</w:t>
      </w:r>
    </w:p>
    <w:p w:rsidR="00C91BEC" w:rsidRDefault="00C91BEC" w:rsidP="00CE2848">
      <w:pPr>
        <w:pStyle w:val="Textoindependiente2"/>
        <w:tabs>
          <w:tab w:val="left" w:pos="709"/>
        </w:tabs>
        <w:spacing w:after="0"/>
        <w:ind w:right="0"/>
      </w:pPr>
      <w:r>
        <w:tab/>
      </w:r>
      <w:r w:rsidRPr="00CE2848">
        <w:rPr>
          <w:b/>
        </w:rPr>
        <w:t>Artículo 18.-</w:t>
      </w:r>
      <w:r>
        <w:t xml:space="preserve"> Sin perjuicio de lo dispuesto en el artículo 10 de la presente ley, el personal que perciba los beneficios que establece esta ley y tenga el título profesional de médico cirujano u odontólogo, podrá ser recontratado por las universidades estatales para desempeñar labores de docencia, siempre que hubiere ejercido, a lo menos, 10 años como docente en la universidad en la que cesó en funciones acogiéndose a los beneficios de la presente ley, y acredite estudios sistemáticos en las disciplinas que imparte en calidad de docente. </w:t>
      </w:r>
    </w:p>
    <w:p w:rsidR="00C91BEC" w:rsidRDefault="00C91BEC" w:rsidP="00C91BEC">
      <w:pPr>
        <w:pStyle w:val="Textoindependiente2"/>
        <w:tabs>
          <w:tab w:val="left" w:pos="709"/>
        </w:tabs>
        <w:spacing w:before="120" w:after="0"/>
        <w:ind w:right="0"/>
      </w:pPr>
      <w:r>
        <w:tab/>
        <w:t>En este caso el número de horas máximas a recontratar para el desempeño de horas de docencia no podrá ser superior al 50% de la jornada laboral que desempeñaba en la universidad y en ningún caso superior a 12 horas semanales y no les serán aplicables los incisos primero y segundo del artículo 16.</w:t>
      </w:r>
    </w:p>
    <w:p w:rsidR="00C91BEC" w:rsidRDefault="00C91BEC" w:rsidP="00C91BEC">
      <w:pPr>
        <w:pStyle w:val="Textoindependiente2"/>
        <w:tabs>
          <w:tab w:val="left" w:pos="709"/>
        </w:tabs>
        <w:spacing w:before="120" w:after="0"/>
        <w:ind w:right="0"/>
      </w:pPr>
      <w:r>
        <w:tab/>
        <w:t>El personal señalado en el inciso primero que haga uso de lo dispuesto en el inciso noveno del artículo 5 podrá ser recontratado conforme a lo dispuesto en este artículo, según corresponda.</w:t>
      </w:r>
    </w:p>
    <w:p w:rsidR="00C91BEC" w:rsidRDefault="00C91BEC" w:rsidP="00C91BEC">
      <w:pPr>
        <w:pStyle w:val="Textoindependiente2"/>
        <w:tabs>
          <w:tab w:val="left" w:pos="709"/>
        </w:tabs>
        <w:spacing w:before="120" w:after="0"/>
        <w:ind w:right="0"/>
      </w:pPr>
      <w:r>
        <w:tab/>
        <w:t>Con todo, las recontrataciones a que se refiere este artículo, sólo podrán efectuarse hasta que el personal académico o profesional no académico cumpla 70 años de edad.</w:t>
      </w:r>
    </w:p>
    <w:p w:rsidR="00C91BEC" w:rsidRDefault="00C91BEC" w:rsidP="00C91BEC">
      <w:pPr>
        <w:pStyle w:val="Textoindependiente2"/>
        <w:tabs>
          <w:tab w:val="left" w:pos="709"/>
        </w:tabs>
        <w:spacing w:before="120" w:after="0"/>
        <w:ind w:right="0"/>
      </w:pPr>
      <w:r>
        <w:tab/>
        <w:t>El presente artículo no se aplicará al personal a que se refieren los artículos 16 y 17.</w:t>
      </w:r>
    </w:p>
    <w:p w:rsidR="00C91BEC" w:rsidRDefault="00C91BEC" w:rsidP="00CE2848">
      <w:pPr>
        <w:pStyle w:val="Textoindependiente2"/>
        <w:tabs>
          <w:tab w:val="left" w:pos="709"/>
        </w:tabs>
        <w:spacing w:after="0"/>
        <w:ind w:right="0"/>
      </w:pPr>
      <w:r>
        <w:tab/>
      </w:r>
      <w:r w:rsidRPr="00CE2848">
        <w:rPr>
          <w:b/>
        </w:rPr>
        <w:t>Artículo 19.-</w:t>
      </w:r>
      <w:r>
        <w:t xml:space="preserve"> Los ex funcionarios académicos que hubieren cesado en funciones hasta el día antes de la publicación de la presente ley y que hayan percibido el beneficio compensatorio establecido en el artículo 9 de la ley N° 20.374, podrán ser recontratados conforme a los artículos 16, 17 y 18 si cumplen con los requisitos respectivos. A dichos funcionarios no les será aplicable lo dispuesto en los incisos segundo y siguientes del artículo 8 de la ley N° 20.374.</w:t>
      </w:r>
    </w:p>
    <w:p w:rsidR="00C91BEC" w:rsidRDefault="00C91BEC" w:rsidP="00C91BEC">
      <w:pPr>
        <w:pStyle w:val="Textoindependiente2"/>
        <w:tabs>
          <w:tab w:val="left" w:pos="709"/>
        </w:tabs>
        <w:spacing w:before="120" w:after="0"/>
        <w:ind w:right="0"/>
      </w:pPr>
      <w:r>
        <w:tab/>
        <w:t>Los ex funcionarios académicos que hubieren cesado en funciones hasta el día antes de la publicación de la presente ley y que hayan sido recontratados conforme a los incisos segundo y siguientes del artículo 8 de la ley N° 20.374, continuarán rigiéndose por dicha normativa.</w:t>
      </w:r>
    </w:p>
    <w:p w:rsidR="00C91BEC" w:rsidRDefault="00C91BEC" w:rsidP="00EE4566">
      <w:pPr>
        <w:pStyle w:val="Textoindependiente2"/>
        <w:tabs>
          <w:tab w:val="left" w:pos="709"/>
        </w:tabs>
        <w:spacing w:after="0"/>
        <w:ind w:right="0"/>
      </w:pPr>
      <w:r>
        <w:tab/>
      </w:r>
      <w:r w:rsidRPr="00CE2848">
        <w:rPr>
          <w:b/>
        </w:rPr>
        <w:t>Artículo 20.-</w:t>
      </w:r>
      <w:r>
        <w:t xml:space="preserve"> Para los efectos de proceder a las recontrataciones a que se refieren los artículos 16, 17, 18 y 19 cada Rector recibirá las solicitudes de recontratación de personal, que le presenten las facultades de las respectivas universidades estatales. Dichas recontrataciones podrán realizarse a contrata u honorarios.</w:t>
      </w:r>
    </w:p>
    <w:p w:rsidR="00C91BEC" w:rsidRDefault="00C91BEC" w:rsidP="00C91BEC">
      <w:pPr>
        <w:pStyle w:val="Textoindependiente2"/>
        <w:tabs>
          <w:tab w:val="left" w:pos="709"/>
        </w:tabs>
        <w:spacing w:before="120" w:after="0"/>
        <w:ind w:right="0"/>
      </w:pPr>
      <w:r>
        <w:tab/>
        <w:t>El Rector deberá remitir dichas solicitudes, manifestando su opinión al respecto, a la Comisión de Jerarquización Académica Superior o su equivalente de la respectiva universidad, para que certifiquen el cumplimiento de cada una de las condiciones exigidas. El Rector estará facultado para recontratar a quienes obtengan una certificación favorable y siempre que la universidad cuente con disponibilidad presupuestaria, previa aprobación del órgano colegiado superior existente en la universidad.</w:t>
      </w:r>
    </w:p>
    <w:p w:rsidR="00C91BEC" w:rsidRDefault="00C91BEC" w:rsidP="00C91BEC">
      <w:pPr>
        <w:pStyle w:val="Textoindependiente2"/>
        <w:tabs>
          <w:tab w:val="left" w:pos="709"/>
        </w:tabs>
        <w:spacing w:before="120" w:after="0"/>
        <w:ind w:right="0"/>
      </w:pPr>
      <w:r>
        <w:tab/>
        <w:t>En caso que exista más de una Comisión de Jerarquización Académica o su equivalente en una  universidad, se conformará una Comisión Superior para efectos de lo dispuesto en el presente artículo, la que estará conformada por integrantes de cada una de ellas, los que serán elegidos entre sus pares.</w:t>
      </w:r>
    </w:p>
    <w:p w:rsidR="00C91BEC" w:rsidRDefault="00C91BEC" w:rsidP="00C91BEC">
      <w:pPr>
        <w:pStyle w:val="Textoindependiente2"/>
        <w:tabs>
          <w:tab w:val="left" w:pos="709"/>
        </w:tabs>
        <w:spacing w:before="120" w:after="0"/>
        <w:ind w:right="0"/>
      </w:pPr>
      <w:r>
        <w:tab/>
        <w:t xml:space="preserve">Las recontrataciones también podrán efectuarse por universidades estatales distintas a aquella en la que se desempeñaba el personal académico al momento de su cese de funciones, siéndole aplicables el procedimiento señalado en los incisos anteriores. En este caso, la certificación del cumplimiento de las condiciones exigidas será realizada por la Comisión a que se refiere el inciso segundo o tercero, según corresponda, de la universidad que realizará la recontratación, correspondiendo a la universidad en que el personal cesó en funciones, remitir sus calificaciones y todos los demás antecedentes asociados a su desempeño. </w:t>
      </w:r>
    </w:p>
    <w:p w:rsidR="00C91BEC" w:rsidRDefault="00C91BEC" w:rsidP="00C91BEC">
      <w:pPr>
        <w:pStyle w:val="Textoindependiente2"/>
        <w:tabs>
          <w:tab w:val="left" w:pos="709"/>
        </w:tabs>
        <w:spacing w:before="120" w:after="0"/>
        <w:ind w:right="0"/>
      </w:pPr>
      <w:r>
        <w:tab/>
        <w:t>Anualmente, las universidades deberán informar al Ministerio de Educación la nómina del personal académico que hubiere sido recontratado y los antecedentes que acrediten el cumplimiento de los requisitos para ello, según lo establezca el reglamento. En el caso que se verifique que fue recontratado sin cumplir con los requisitos se aplicará el artículo 10 de la presente ley, sin perjuicio de las demás sanciones que sean procedentes.</w:t>
      </w:r>
    </w:p>
    <w:p w:rsidR="00C91BEC" w:rsidRDefault="00C91BEC" w:rsidP="00C91BEC">
      <w:pPr>
        <w:pStyle w:val="Textoindependiente2"/>
        <w:tabs>
          <w:tab w:val="left" w:pos="709"/>
        </w:tabs>
        <w:spacing w:before="120" w:after="0"/>
        <w:ind w:right="0"/>
      </w:pPr>
      <w:r>
        <w:tab/>
        <w:t>Además, las universidades empleadoras deberán mantener a disposición permanente del público las recontrataciones que se realicen de acuerdo a los artículos 16, 17, 18 y 19 de esta ley, conforme con lo dispuesto en el título III de la Ley de Transparencia de la Función Pública y de acceso a la información de la Administración del Estado, contenida en el artículo primero de la ley N° 20.285.</w:t>
      </w:r>
    </w:p>
    <w:p w:rsidR="00C91BEC" w:rsidRDefault="00C91BEC" w:rsidP="00C91BEC">
      <w:pPr>
        <w:pStyle w:val="Textoindependiente2"/>
        <w:tabs>
          <w:tab w:val="left" w:pos="709"/>
        </w:tabs>
        <w:spacing w:before="120" w:after="0"/>
        <w:ind w:right="0"/>
      </w:pPr>
      <w:r>
        <w:tab/>
        <w:t>Los contratos que se celebren de acuerdo a lo dispuesto en los incisos anteriores, podrán ser renovados anualmente, previa evaluación de su cumplimiento.</w:t>
      </w:r>
    </w:p>
    <w:p w:rsidR="00C91BEC" w:rsidRDefault="00C91BEC" w:rsidP="00EE4566">
      <w:pPr>
        <w:pStyle w:val="Textoindependiente2"/>
        <w:tabs>
          <w:tab w:val="left" w:pos="709"/>
        </w:tabs>
        <w:spacing w:after="0"/>
        <w:ind w:right="0"/>
      </w:pPr>
      <w:r>
        <w:tab/>
      </w:r>
      <w:r w:rsidRPr="00CE2848">
        <w:rPr>
          <w:b/>
        </w:rPr>
        <w:t>Artículo 21.-</w:t>
      </w:r>
      <w:r>
        <w:t xml:space="preserve"> Quienes se acojan a los beneficios de la presente ley y luego sean recontratados de acuerdo a lo establecido en los artículos 16, 17, 18 y 19 de la presente ley, no podrán obtener nuevos beneficios asociados al retiro durante el período de su recontratación, cualquiera sea su origen o fuente de financiamiento.</w:t>
      </w:r>
    </w:p>
    <w:p w:rsidR="00C91BEC" w:rsidRDefault="00C91BEC" w:rsidP="00EE4566">
      <w:pPr>
        <w:pStyle w:val="Textoindependiente2"/>
        <w:tabs>
          <w:tab w:val="left" w:pos="709"/>
        </w:tabs>
        <w:spacing w:after="0"/>
        <w:ind w:right="0"/>
      </w:pPr>
      <w:r>
        <w:tab/>
      </w:r>
      <w:r w:rsidRPr="00CE2848">
        <w:rPr>
          <w:b/>
        </w:rPr>
        <w:t>Artículo 22.-</w:t>
      </w:r>
      <w:r>
        <w:t xml:space="preserve"> Autorízase a las universidades del Estado para que, hasta el 31 de diciembre de 2024, puedan contratar uno o más empréstitos con el objeto exclusivo de financiar el beneficio establecido en el artículo 9 de la ley N°</w:t>
      </w:r>
      <w:r w:rsidR="00B917CF">
        <w:t xml:space="preserve"> </w:t>
      </w:r>
      <w:r>
        <w:t>20.374. El o los empréstitos que sean contratados deberán estar directamente relacionados con el gasto real o proyectado del beneficio antes citado en la universidad respectiva. Dicha autorización no comprometerá en forma directa o indirecta el crédito o la responsabilidad financiera del Fisco.</w:t>
      </w:r>
    </w:p>
    <w:p w:rsidR="00C91BEC" w:rsidRDefault="00C91BEC" w:rsidP="00C91BEC">
      <w:pPr>
        <w:pStyle w:val="Textoindependiente2"/>
        <w:tabs>
          <w:tab w:val="left" w:pos="709"/>
        </w:tabs>
        <w:spacing w:before="120" w:after="0"/>
        <w:ind w:right="0"/>
      </w:pPr>
      <w:r>
        <w:tab/>
        <w:t>El servicio de deuda derivada de los empréstitos que se autorizan contratar de acuerdo a lo dispuesto en el presente artículo deberá hacerse con cargo al patrimonio de la universidad respectiva y no podrá exceder del plazo de 20 años contados desde la fecha de celebración del contrato.</w:t>
      </w:r>
    </w:p>
    <w:p w:rsidR="00C91BEC" w:rsidRDefault="00C91BEC" w:rsidP="00C91BEC">
      <w:pPr>
        <w:pStyle w:val="Textoindependiente2"/>
        <w:tabs>
          <w:tab w:val="left" w:pos="709"/>
        </w:tabs>
        <w:spacing w:before="120" w:after="0"/>
        <w:ind w:right="0"/>
      </w:pPr>
      <w:r>
        <w:tab/>
        <w:t>La selección de las entidades financieras con las cuales se contraten los empréstitos señalados, se efectuará mediante licitación pública, la que no estará sujeta a las disposiciones de la ley N° 19.886 y su reglamento.</w:t>
      </w:r>
    </w:p>
    <w:p w:rsidR="00C91BEC" w:rsidRDefault="00C91BEC" w:rsidP="00C91BEC">
      <w:pPr>
        <w:pStyle w:val="Textoindependiente2"/>
        <w:tabs>
          <w:tab w:val="left" w:pos="709"/>
        </w:tabs>
        <w:spacing w:before="120" w:after="0"/>
        <w:ind w:right="0"/>
      </w:pPr>
      <w:r>
        <w:tab/>
        <w:t xml:space="preserve">Con todo, las universidades del Estado podrán celebrar los contratos de empréstitos a que se refiere este artículo, a través de licitación privada o trato directo en virtud de las causales señaladas en el artículo 8 de la ley N° 19.886, en caso que la utilización del procedimiento de licitación pública ponga en riesgo la oportunidad, la finalidad o la eficacia de la aplicación del artículo 9 de la </w:t>
      </w:r>
      <w:r w:rsidR="00B917CF">
        <w:t>l</w:t>
      </w:r>
      <w:r>
        <w:t>ey N° 20.374. En estos casos, las universidades del Estado deberán establecer por medio de una resolución, disponible en el Sistema de Información de Compras y Contratación Pública, los procedimientos internos que permitan resguardar la publicidad, la transparencia, la igualdad de trato y la no discriminación arbitraria en esta clase de contratación de servicios.</w:t>
      </w:r>
    </w:p>
    <w:p w:rsidR="00C91BEC" w:rsidRDefault="00C91BEC" w:rsidP="00C91BEC">
      <w:pPr>
        <w:pStyle w:val="Textoindependiente2"/>
        <w:tabs>
          <w:tab w:val="left" w:pos="709"/>
        </w:tabs>
        <w:spacing w:before="120" w:after="0"/>
        <w:ind w:right="0"/>
      </w:pPr>
      <w:r>
        <w:tab/>
        <w:t>Copia de los contratos de los empréstitos materia de este artículo, indicando el monto y las condiciones bajo los cuales fueron celebrados, además de un informe que especifique los usos de los recursos obtenidos, serán remitidos por la universidad respectiva a los Ministerios de Hacienda y de Educación, dentro de los 30 días siguientes a su celebración.</w:t>
      </w:r>
    </w:p>
    <w:p w:rsidR="00C91BEC" w:rsidRDefault="00EE4566" w:rsidP="003156B0">
      <w:pPr>
        <w:pStyle w:val="Textoindependiente2"/>
        <w:tabs>
          <w:tab w:val="left" w:pos="709"/>
        </w:tabs>
        <w:spacing w:before="360" w:after="0"/>
        <w:ind w:right="0"/>
        <w:jc w:val="center"/>
      </w:pPr>
      <w:r>
        <w:t>DISPOSICIONES</w:t>
      </w:r>
      <w:r w:rsidR="00C91BEC">
        <w:t xml:space="preserve"> TRANSITORI</w:t>
      </w:r>
      <w:r>
        <w:t>A</w:t>
      </w:r>
      <w:r w:rsidR="00C91BEC">
        <w:t>S</w:t>
      </w:r>
    </w:p>
    <w:p w:rsidR="00C91BEC" w:rsidRDefault="00C91BEC" w:rsidP="00EE4566">
      <w:pPr>
        <w:pStyle w:val="Textoindependiente2"/>
        <w:tabs>
          <w:tab w:val="left" w:pos="709"/>
        </w:tabs>
        <w:spacing w:after="0"/>
        <w:ind w:right="0"/>
      </w:pPr>
      <w:r>
        <w:tab/>
      </w:r>
      <w:r w:rsidRPr="00CE2848">
        <w:rPr>
          <w:b/>
        </w:rPr>
        <w:t>Artículo primero.-</w:t>
      </w:r>
      <w:r>
        <w:t xml:space="preserve"> El procedimiento para asignar los cupos en el año 2017 se sujetará a las reglas siguientes:</w:t>
      </w:r>
    </w:p>
    <w:p w:rsidR="00C91BEC" w:rsidRDefault="00C91BEC" w:rsidP="00C91BEC">
      <w:pPr>
        <w:pStyle w:val="Textoindependiente2"/>
        <w:tabs>
          <w:tab w:val="left" w:pos="709"/>
        </w:tabs>
        <w:spacing w:before="120" w:after="0"/>
        <w:ind w:right="0"/>
      </w:pPr>
      <w:r>
        <w:tab/>
        <w:t xml:space="preserve">1.- Los académicos, directivos y los profesionales no académicos a que se refiere el artículo 1 que, al 31 de diciembre de 2017 cumplan o hayan cumplido 65 o más años de edad, deberán postular a la bonificación adicional por retiro que establece la presente ley dentro de los cuarenta y cinco días hábiles siguientes a su publicación, en la respectiva universidad estatal empleadora. Si no postularen dentro de dicho plazo se entenderá que renuncian irrevocablemente a los beneficios de la misma. </w:t>
      </w:r>
    </w:p>
    <w:p w:rsidR="00C91BEC" w:rsidRDefault="00C91BEC" w:rsidP="00C91BEC">
      <w:pPr>
        <w:pStyle w:val="Textoindependiente2"/>
        <w:tabs>
          <w:tab w:val="left" w:pos="709"/>
        </w:tabs>
        <w:spacing w:before="120" w:after="0"/>
        <w:ind w:right="0"/>
      </w:pPr>
      <w:r>
        <w:tab/>
        <w:t>También, dentro del mismo plazo antes señalado, podrán postular a la bonificación las funcionarias a las que se aplica la presente ley y que al 31 de diciembre de 2017 cumplan o hayan cumplido entre 60 y 64 años de edad. Con todo, ellas podrán postular hasta el período en que cumplan 65 años de edad.</w:t>
      </w:r>
    </w:p>
    <w:p w:rsidR="00C91BEC" w:rsidRDefault="00C91BEC" w:rsidP="00C91BEC">
      <w:pPr>
        <w:pStyle w:val="Textoindependiente2"/>
        <w:tabs>
          <w:tab w:val="left" w:pos="709"/>
        </w:tabs>
        <w:spacing w:before="120" w:after="0"/>
        <w:ind w:right="0"/>
      </w:pPr>
      <w:r>
        <w:tab/>
        <w:t>2.- Las universidades estatales empleadoras deberán remitir las postulaciones que cumplan los requisitos al Ministerio de Educación dentro de los cuarenta y cinco días hábiles siguientes al término del plazo para postular fijado en el numeral anterior. Dichas instituciones deberán remitir la certificación del cumplimiento de los requisitos para acceder a la bonificación adicional que establece la presente ley.</w:t>
      </w:r>
    </w:p>
    <w:p w:rsidR="00C91BEC" w:rsidRDefault="00C91BEC" w:rsidP="00C91BEC">
      <w:pPr>
        <w:pStyle w:val="Textoindependiente2"/>
        <w:tabs>
          <w:tab w:val="left" w:pos="709"/>
        </w:tabs>
        <w:spacing w:before="120" w:after="0"/>
        <w:ind w:right="0"/>
      </w:pPr>
      <w:r>
        <w:tab/>
        <w:t>3.- Mediante una o más resoluciones exentas del Ministerio de Educación, visadas por la Dirección de Presupuestos, se establecerá la distribución de los cupos anuales entre las universidades estatales, en forma proporcional al número de postulaciones que cumplan con los requisitos fijados por esta ley conforme a los cupos a que se refiere el artículo 5. Dicha resolución deberá ser dictada a más tardar dentro de los 45 días hábiles siguientes al vencimiento del plazo señalado en el numeral anterior.</w:t>
      </w:r>
    </w:p>
    <w:p w:rsidR="00C91BEC" w:rsidRDefault="00C91BEC" w:rsidP="00C91BEC">
      <w:pPr>
        <w:pStyle w:val="Textoindependiente2"/>
        <w:tabs>
          <w:tab w:val="left" w:pos="709"/>
        </w:tabs>
        <w:spacing w:before="120" w:after="0"/>
        <w:ind w:right="0"/>
      </w:pPr>
      <w:r>
        <w:tab/>
        <w:t>4.- La universidad empleadora deberá dictar una resolución que deberá contener el listado de todos los postulantes que cumplen los requisitos para acceder a la bonificación adicional de esta ley según lo informado en el numeral 2 anterior, identificando los beneficiarios de los cupos disponibles para el año 2017 y aquellos a quienes se les aplique el artículo 6 de la presente ley cuando corresponda. Dicha resolución deberá dictarse a más tardar dentro de los quince días hábiles siguientes a la notificación de la resolución a que se refiere el numeral anterior que realice el Ministerio de Educación a la respectiva Universidad.</w:t>
      </w:r>
    </w:p>
    <w:p w:rsidR="00C91BEC" w:rsidRDefault="00C91BEC" w:rsidP="00C91BEC">
      <w:pPr>
        <w:pStyle w:val="Textoindependiente2"/>
        <w:tabs>
          <w:tab w:val="left" w:pos="709"/>
        </w:tabs>
        <w:spacing w:before="120" w:after="0"/>
        <w:ind w:right="0"/>
      </w:pPr>
      <w:r>
        <w:tab/>
        <w:t>5.- La universidad empleadora deberá notificar a los funcionarios la resolución a que se refiere el numeral anterior a más tardar dentro de los 5 días hábiles siguientes a su dictación.</w:t>
      </w:r>
    </w:p>
    <w:p w:rsidR="00C91BEC" w:rsidRDefault="00C91BEC" w:rsidP="00C91BEC">
      <w:pPr>
        <w:pStyle w:val="Textoindependiente2"/>
        <w:tabs>
          <w:tab w:val="left" w:pos="709"/>
        </w:tabs>
        <w:spacing w:before="120" w:after="0"/>
        <w:ind w:right="0"/>
      </w:pPr>
      <w:r>
        <w:tab/>
        <w:t>6.- A más tardar, dentro de los 10 días hábiles siguientes a la notificación de la resolución a que se refiere el numeral 4, los beneficiarios de cupos deberán informar por escrito a la respectiva universidad estatal empleadora la fecha en que harán dejación definitiva del cargo o empleo o el total de horas que sirvan, la cual deberá ajustarse a lo señalado en los párrafos siguientes.</w:t>
      </w:r>
    </w:p>
    <w:p w:rsidR="00C91BEC" w:rsidRDefault="00C91BEC" w:rsidP="00C91BEC">
      <w:pPr>
        <w:pStyle w:val="Textoindependiente2"/>
        <w:tabs>
          <w:tab w:val="left" w:pos="709"/>
        </w:tabs>
        <w:spacing w:before="120" w:after="0"/>
        <w:ind w:right="0"/>
      </w:pPr>
      <w:r>
        <w:tab/>
        <w:t>El personal a que se refiere el numeral 1 de este artículo que resulte beneficiario de un cupo de la bonificación adicional deberá hacer efectiva su renuncia voluntaria a la universidad del Estado, respecto del cargo o del total de horas que sirva en virtud de su nombramiento o contrato, dentro de los noventa días siguientes al cumplimiento de los 65 años de edad o dentro de los cuarenta y cinco días siguientes a la notificación de la resolución que le asigna un cupo, si esta última fecha fuera posterior a aquélla.</w:t>
      </w:r>
    </w:p>
    <w:p w:rsidR="00C91BEC" w:rsidRDefault="00C91BEC" w:rsidP="00C91BEC">
      <w:pPr>
        <w:pStyle w:val="Textoindependiente2"/>
        <w:tabs>
          <w:tab w:val="left" w:pos="709"/>
        </w:tabs>
        <w:spacing w:before="120" w:after="0"/>
        <w:ind w:right="0"/>
      </w:pPr>
      <w:r>
        <w:tab/>
        <w:t>Las funcionarias, sean académicas, directivas o profesionales no académicas, que postulen en el proceso a que se refiere este artículo y que tengan menos de 65 años de edad y sean beneficiarias de un cupo de la bonificación adicional, deberán hacer efectiva su renuncia voluntaria dentro de los noventa días siguientes a la notificación del acto que le asigna un cupo. Si la funcionaria no hiciere efectiva su renuncia dentro de dicho plazo, perderá su cupo, pero podrá participar en los procesos siguientes hasta aquel en que le corresponda postular a los 65 años de edad.</w:t>
      </w:r>
    </w:p>
    <w:p w:rsidR="00C91BEC" w:rsidRDefault="00C91BEC" w:rsidP="00C91BEC">
      <w:pPr>
        <w:pStyle w:val="Textoindependiente2"/>
        <w:tabs>
          <w:tab w:val="left" w:pos="709"/>
        </w:tabs>
        <w:spacing w:before="120" w:after="0"/>
        <w:ind w:right="0"/>
      </w:pPr>
      <w:r>
        <w:tab/>
        <w:t>A los rectores les será aplicable lo dispuesto en el inciso cuarto del artículo 2 de esta ley.</w:t>
      </w:r>
    </w:p>
    <w:p w:rsidR="00C91BEC" w:rsidRDefault="00C91BEC" w:rsidP="00C91BEC">
      <w:pPr>
        <w:pStyle w:val="Textoindependiente2"/>
        <w:tabs>
          <w:tab w:val="left" w:pos="709"/>
        </w:tabs>
        <w:spacing w:before="120" w:after="0"/>
        <w:ind w:right="0"/>
      </w:pPr>
      <w:r>
        <w:tab/>
        <w:t>7.- Las universidades estatales deberán informar al Ministerio de Educación el cese de funciones de cada beneficiario de la bonificación adicional establecida en esta ley, dentro de los cinco días hábiles siguientes a dicho cese.</w:t>
      </w:r>
    </w:p>
    <w:p w:rsidR="00E62A67" w:rsidRDefault="00C91BEC" w:rsidP="00EE4566">
      <w:pPr>
        <w:pStyle w:val="Textoindependiente2"/>
        <w:tabs>
          <w:tab w:val="clear" w:pos="3119"/>
          <w:tab w:val="left" w:pos="709"/>
        </w:tabs>
        <w:spacing w:after="0"/>
        <w:ind w:right="0"/>
      </w:pPr>
      <w:r>
        <w:tab/>
      </w:r>
      <w:r w:rsidRPr="00CE2848">
        <w:rPr>
          <w:b/>
        </w:rPr>
        <w:t xml:space="preserve">Artículo segundo.- </w:t>
      </w:r>
      <w:r>
        <w:t>El mayor gasto fiscal que represente la aplicación de la presente ley, durante su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 Para los años siguientes se consultarán los recursos en la Ley de Presupuestos del Sector Público.”.</w:t>
      </w:r>
    </w:p>
    <w:p w:rsidR="00C86C31" w:rsidRDefault="00265E4B" w:rsidP="003156B0">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A84E70" w:rsidRDefault="00A85E57" w:rsidP="00C91BEC">
      <w:pPr>
        <w:pStyle w:val="Textoindependiente2"/>
        <w:tabs>
          <w:tab w:val="clear" w:pos="3119"/>
          <w:tab w:val="left" w:pos="709"/>
        </w:tabs>
        <w:spacing w:before="600" w:after="0"/>
        <w:ind w:right="0"/>
      </w:pPr>
      <w:r>
        <w:tab/>
        <w:t xml:space="preserve">Se designó </w:t>
      </w:r>
      <w:r w:rsidR="0093730A">
        <w:t>d</w:t>
      </w:r>
      <w:r>
        <w:t>iputado informante al señor</w:t>
      </w:r>
      <w:r w:rsidR="00F70704">
        <w:t xml:space="preserve"> ROBERTO POBLETE ZAPATA.</w:t>
      </w:r>
    </w:p>
    <w:p w:rsidR="00A85E57" w:rsidRDefault="00A85E57" w:rsidP="00C91BEC">
      <w:pPr>
        <w:pStyle w:val="Estilo1"/>
        <w:tabs>
          <w:tab w:val="left" w:pos="709"/>
        </w:tabs>
        <w:spacing w:before="600"/>
        <w:rPr>
          <w:bCs w:val="0"/>
        </w:rPr>
      </w:pPr>
      <w:r>
        <w:rPr>
          <w:bCs w:val="0"/>
        </w:rPr>
        <w:tab/>
        <w:t xml:space="preserve">SALA DE LA COMISIÓN, a </w:t>
      </w:r>
      <w:r w:rsidR="00A84E70">
        <w:rPr>
          <w:bCs w:val="0"/>
        </w:rPr>
        <w:t>11</w:t>
      </w:r>
      <w:r w:rsidR="00827044">
        <w:rPr>
          <w:bCs w:val="0"/>
        </w:rPr>
        <w:t xml:space="preserve"> </w:t>
      </w:r>
      <w:r>
        <w:rPr>
          <w:bCs w:val="0"/>
        </w:rPr>
        <w:t xml:space="preserve">de </w:t>
      </w:r>
      <w:r w:rsidR="00A84E70">
        <w:rPr>
          <w:bCs w:val="0"/>
        </w:rPr>
        <w:t>julio</w:t>
      </w:r>
      <w:r>
        <w:rPr>
          <w:bCs w:val="0"/>
        </w:rPr>
        <w:t xml:space="preserve"> de 20</w:t>
      </w:r>
      <w:r w:rsidR="00EA6805">
        <w:rPr>
          <w:bCs w:val="0"/>
        </w:rPr>
        <w:t>1</w:t>
      </w:r>
      <w:r w:rsidR="00A84E70">
        <w:rPr>
          <w:bCs w:val="0"/>
        </w:rPr>
        <w:t>7</w:t>
      </w:r>
      <w:r>
        <w:rPr>
          <w:bCs w:val="0"/>
        </w:rPr>
        <w:t>.</w:t>
      </w:r>
    </w:p>
    <w:p w:rsidR="00A85E57" w:rsidRDefault="00A85E57" w:rsidP="00C91BEC">
      <w:pPr>
        <w:tabs>
          <w:tab w:val="left" w:pos="709"/>
        </w:tabs>
        <w:jc w:val="both"/>
        <w:rPr>
          <w:rFonts w:ascii="Arial" w:hAnsi="Arial"/>
          <w:sz w:val="24"/>
        </w:rPr>
      </w:pPr>
    </w:p>
    <w:p w:rsidR="00A85E57" w:rsidRDefault="00A85E57" w:rsidP="00C91BEC">
      <w:pPr>
        <w:tabs>
          <w:tab w:val="left" w:pos="709"/>
        </w:tabs>
        <w:jc w:val="both"/>
        <w:rPr>
          <w:rFonts w:ascii="Arial" w:hAnsi="Arial" w:cs="Arial"/>
          <w:sz w:val="24"/>
          <w:szCs w:val="24"/>
        </w:rPr>
      </w:pPr>
    </w:p>
    <w:p w:rsidR="00DE1304" w:rsidRDefault="00DE1304" w:rsidP="00C91BEC">
      <w:pPr>
        <w:tabs>
          <w:tab w:val="left" w:pos="709"/>
        </w:tabs>
        <w:jc w:val="both"/>
        <w:rPr>
          <w:rFonts w:ascii="Arial" w:hAnsi="Arial" w:cs="Arial"/>
          <w:sz w:val="24"/>
          <w:szCs w:val="24"/>
        </w:rPr>
      </w:pPr>
    </w:p>
    <w:p w:rsidR="00DE1304" w:rsidRDefault="00DE1304" w:rsidP="00C91BEC">
      <w:pPr>
        <w:tabs>
          <w:tab w:val="left" w:pos="709"/>
        </w:tabs>
        <w:jc w:val="both"/>
        <w:rPr>
          <w:rFonts w:ascii="Arial" w:hAnsi="Arial" w:cs="Arial"/>
          <w:sz w:val="24"/>
          <w:szCs w:val="24"/>
        </w:rPr>
      </w:pPr>
    </w:p>
    <w:p w:rsidR="00DE1304" w:rsidRDefault="00DE1304" w:rsidP="00C91BEC">
      <w:pPr>
        <w:tabs>
          <w:tab w:val="left" w:pos="709"/>
        </w:tabs>
        <w:jc w:val="both"/>
        <w:rPr>
          <w:rFonts w:ascii="Arial" w:hAnsi="Arial" w:cs="Arial"/>
          <w:sz w:val="24"/>
          <w:szCs w:val="24"/>
        </w:rPr>
      </w:pPr>
    </w:p>
    <w:p w:rsidR="00DE1304" w:rsidRDefault="00DE1304" w:rsidP="00C91BEC">
      <w:pPr>
        <w:tabs>
          <w:tab w:val="left" w:pos="709"/>
        </w:tabs>
        <w:jc w:val="both"/>
        <w:rPr>
          <w:rFonts w:ascii="Arial" w:hAnsi="Arial" w:cs="Arial"/>
          <w:sz w:val="24"/>
          <w:szCs w:val="24"/>
        </w:rPr>
      </w:pPr>
    </w:p>
    <w:p w:rsidR="00DE1304" w:rsidRDefault="00DE1304" w:rsidP="00C91BEC">
      <w:pPr>
        <w:tabs>
          <w:tab w:val="left" w:pos="709"/>
        </w:tabs>
        <w:jc w:val="both"/>
        <w:rPr>
          <w:rFonts w:ascii="Arial" w:hAnsi="Arial" w:cs="Arial"/>
          <w:sz w:val="24"/>
          <w:szCs w:val="24"/>
        </w:rPr>
      </w:pPr>
    </w:p>
    <w:p w:rsidR="00DE1304" w:rsidRDefault="00DE1304" w:rsidP="00C91BEC">
      <w:pPr>
        <w:tabs>
          <w:tab w:val="left" w:pos="709"/>
        </w:tabs>
        <w:jc w:val="both"/>
        <w:rPr>
          <w:rFonts w:ascii="Arial" w:hAnsi="Arial" w:cs="Arial"/>
          <w:sz w:val="24"/>
          <w:szCs w:val="24"/>
        </w:rPr>
      </w:pPr>
    </w:p>
    <w:p w:rsidR="00DE1304" w:rsidRDefault="00DE1304" w:rsidP="00C91BEC">
      <w:pPr>
        <w:tabs>
          <w:tab w:val="left" w:pos="709"/>
        </w:tabs>
        <w:jc w:val="both"/>
        <w:rPr>
          <w:rFonts w:ascii="Arial" w:hAnsi="Arial" w:cs="Arial"/>
          <w:sz w:val="24"/>
          <w:szCs w:val="24"/>
        </w:rPr>
      </w:pPr>
    </w:p>
    <w:p w:rsidR="00175AAC" w:rsidRDefault="00175AAC" w:rsidP="00C91BEC">
      <w:pPr>
        <w:tabs>
          <w:tab w:val="left" w:pos="709"/>
        </w:tabs>
        <w:jc w:val="both"/>
        <w:rPr>
          <w:rFonts w:ascii="Arial" w:hAnsi="Arial" w:cs="Arial"/>
          <w:sz w:val="24"/>
          <w:szCs w:val="24"/>
        </w:rPr>
      </w:pPr>
    </w:p>
    <w:p w:rsidR="00175AAC" w:rsidRPr="00832018" w:rsidRDefault="00175AAC" w:rsidP="00C91BEC">
      <w:pPr>
        <w:tabs>
          <w:tab w:val="left" w:pos="709"/>
        </w:tabs>
        <w:jc w:val="both"/>
        <w:rPr>
          <w:rFonts w:ascii="Arial" w:hAnsi="Arial" w:cs="Arial"/>
          <w:sz w:val="24"/>
          <w:szCs w:val="24"/>
        </w:rPr>
      </w:pPr>
    </w:p>
    <w:p w:rsidR="00AA435A" w:rsidRPr="00AA435A" w:rsidRDefault="00A85E57" w:rsidP="00AA435A">
      <w:pPr>
        <w:tabs>
          <w:tab w:val="left" w:pos="709"/>
          <w:tab w:val="left" w:pos="1134"/>
        </w:tabs>
        <w:jc w:val="both"/>
        <w:rPr>
          <w:rFonts w:ascii="Arial" w:hAnsi="Arial" w:cs="Arial"/>
          <w:sz w:val="24"/>
          <w:szCs w:val="24"/>
          <w:lang w:val="es-CL"/>
        </w:rPr>
      </w:pPr>
      <w:r w:rsidRPr="00595384">
        <w:rPr>
          <w:rFonts w:ascii="Arial" w:hAnsi="Arial" w:cs="Arial"/>
          <w:sz w:val="24"/>
          <w:szCs w:val="24"/>
        </w:rPr>
        <w:tab/>
        <w:t>Acordado en sesi</w:t>
      </w:r>
      <w:r w:rsidR="00827044">
        <w:rPr>
          <w:rFonts w:ascii="Arial" w:hAnsi="Arial" w:cs="Arial"/>
          <w:sz w:val="24"/>
          <w:szCs w:val="24"/>
        </w:rPr>
        <w:t>o</w:t>
      </w:r>
      <w:r w:rsidRPr="00595384">
        <w:rPr>
          <w:rFonts w:ascii="Arial" w:hAnsi="Arial" w:cs="Arial"/>
          <w:sz w:val="24"/>
          <w:szCs w:val="24"/>
        </w:rPr>
        <w:t>n</w:t>
      </w:r>
      <w:r w:rsidR="00827044">
        <w:rPr>
          <w:rFonts w:ascii="Arial" w:hAnsi="Arial" w:cs="Arial"/>
          <w:sz w:val="24"/>
          <w:szCs w:val="24"/>
        </w:rPr>
        <w:t>es</w:t>
      </w:r>
      <w:r w:rsidRPr="00595384">
        <w:rPr>
          <w:rFonts w:ascii="Arial" w:hAnsi="Arial" w:cs="Arial"/>
          <w:sz w:val="24"/>
          <w:szCs w:val="24"/>
        </w:rPr>
        <w:t xml:space="preserve"> de fecha</w:t>
      </w:r>
      <w:r w:rsidR="00426034">
        <w:rPr>
          <w:rFonts w:ascii="Arial" w:hAnsi="Arial" w:cs="Arial"/>
          <w:sz w:val="24"/>
          <w:szCs w:val="24"/>
        </w:rPr>
        <w:t xml:space="preserve"> </w:t>
      </w:r>
      <w:r w:rsidR="00A84E70">
        <w:rPr>
          <w:rFonts w:ascii="Arial" w:hAnsi="Arial" w:cs="Arial"/>
          <w:sz w:val="24"/>
          <w:szCs w:val="24"/>
        </w:rPr>
        <w:t>4 y 11 de julio d</w:t>
      </w:r>
      <w:r w:rsidR="0050228B" w:rsidRPr="00595384">
        <w:rPr>
          <w:rFonts w:ascii="Arial" w:hAnsi="Arial" w:cs="Arial"/>
          <w:sz w:val="24"/>
          <w:szCs w:val="24"/>
        </w:rPr>
        <w:t>e 20</w:t>
      </w:r>
      <w:r w:rsidR="00EA6805" w:rsidRPr="00595384">
        <w:rPr>
          <w:rFonts w:ascii="Arial" w:hAnsi="Arial" w:cs="Arial"/>
          <w:sz w:val="24"/>
          <w:szCs w:val="24"/>
        </w:rPr>
        <w:t>1</w:t>
      </w:r>
      <w:r w:rsidR="00A84E70">
        <w:rPr>
          <w:rFonts w:ascii="Arial" w:hAnsi="Arial" w:cs="Arial"/>
          <w:sz w:val="24"/>
          <w:szCs w:val="24"/>
        </w:rPr>
        <w:t>7</w:t>
      </w:r>
      <w:r w:rsidR="0050228B" w:rsidRPr="00595384">
        <w:rPr>
          <w:rFonts w:ascii="Arial" w:hAnsi="Arial" w:cs="Arial"/>
          <w:sz w:val="24"/>
          <w:szCs w:val="24"/>
        </w:rPr>
        <w:t xml:space="preserve">, </w:t>
      </w:r>
      <w:r w:rsidRPr="00595384">
        <w:rPr>
          <w:rFonts w:ascii="Arial" w:hAnsi="Arial" w:cs="Arial"/>
          <w:sz w:val="24"/>
          <w:szCs w:val="24"/>
        </w:rPr>
        <w:t xml:space="preserve">con la asistencia de </w:t>
      </w:r>
      <w:r w:rsidR="00AA435A" w:rsidRPr="00AA435A">
        <w:rPr>
          <w:rFonts w:ascii="Arial" w:hAnsi="Arial" w:cs="Arial"/>
          <w:sz w:val="24"/>
          <w:szCs w:val="24"/>
          <w:lang w:val="es-CL"/>
        </w:rPr>
        <w:t>los diputados integrantes de la Comisión señoras Cristina Girardi Lavín, María José Hoffmann Opazo</w:t>
      </w:r>
      <w:r w:rsidR="00574B78">
        <w:rPr>
          <w:rFonts w:ascii="Arial" w:hAnsi="Arial" w:cs="Arial"/>
          <w:sz w:val="24"/>
          <w:szCs w:val="24"/>
          <w:lang w:val="es-CL"/>
        </w:rPr>
        <w:t>, Yasna Provoste Campillay</w:t>
      </w:r>
      <w:r w:rsidR="00AA435A" w:rsidRPr="00AA435A">
        <w:rPr>
          <w:rFonts w:ascii="Arial" w:hAnsi="Arial" w:cs="Arial"/>
          <w:sz w:val="24"/>
          <w:szCs w:val="24"/>
          <w:lang w:val="es-CL"/>
        </w:rPr>
        <w:t xml:space="preserve"> y Camila Vallejo Dowling, y los señores Jaime Bellolio Avaria, Rojo Edwards Silva, Sergio Gahona Salazar, Rodrigo González Torres, </w:t>
      </w:r>
      <w:r w:rsidR="00574B78">
        <w:rPr>
          <w:rFonts w:ascii="Arial" w:hAnsi="Arial" w:cs="Arial"/>
          <w:sz w:val="24"/>
          <w:szCs w:val="24"/>
          <w:lang w:val="es-CL"/>
        </w:rPr>
        <w:t xml:space="preserve">Romilio Gutiérrez Pino, </w:t>
      </w:r>
      <w:r w:rsidR="00AA435A" w:rsidRPr="00AA435A">
        <w:rPr>
          <w:rFonts w:ascii="Arial" w:hAnsi="Arial" w:cs="Arial"/>
          <w:sz w:val="24"/>
          <w:szCs w:val="24"/>
          <w:lang w:val="es-CL"/>
        </w:rPr>
        <w:t>Giorgio Jackson Drago, Roberto Poblete Zapata, Alberto Robles Pantoja y Mario Venegas Cárdenas.</w:t>
      </w:r>
    </w:p>
    <w:p w:rsidR="004C501C" w:rsidRPr="00574B78" w:rsidRDefault="004C501C" w:rsidP="00C91BEC">
      <w:pPr>
        <w:tabs>
          <w:tab w:val="left" w:pos="709"/>
          <w:tab w:val="left" w:pos="1134"/>
        </w:tabs>
        <w:jc w:val="both"/>
        <w:rPr>
          <w:rFonts w:ascii="Arial" w:hAnsi="Arial" w:cs="Arial"/>
          <w:sz w:val="24"/>
          <w:szCs w:val="24"/>
          <w:lang w:val="es-CL"/>
        </w:rPr>
      </w:pPr>
    </w:p>
    <w:p w:rsidR="004C501C" w:rsidRDefault="004C501C" w:rsidP="00C91BEC">
      <w:pPr>
        <w:tabs>
          <w:tab w:val="left" w:pos="709"/>
          <w:tab w:val="left" w:pos="1134"/>
        </w:tabs>
        <w:jc w:val="both"/>
        <w:rPr>
          <w:rFonts w:ascii="Arial" w:hAnsi="Arial" w:cs="Arial"/>
          <w:sz w:val="24"/>
          <w:szCs w:val="24"/>
        </w:rPr>
      </w:pPr>
    </w:p>
    <w:p w:rsidR="00A84E70" w:rsidRDefault="00A84E70" w:rsidP="00C91BEC">
      <w:pPr>
        <w:tabs>
          <w:tab w:val="left" w:pos="709"/>
          <w:tab w:val="left" w:pos="1134"/>
        </w:tabs>
        <w:jc w:val="both"/>
        <w:rPr>
          <w:rFonts w:ascii="Arial" w:hAnsi="Arial" w:cs="Arial"/>
          <w:sz w:val="24"/>
          <w:szCs w:val="24"/>
        </w:rPr>
      </w:pPr>
    </w:p>
    <w:p w:rsidR="00AA435A" w:rsidRDefault="00AA435A" w:rsidP="00C91BEC">
      <w:pPr>
        <w:tabs>
          <w:tab w:val="left" w:pos="709"/>
          <w:tab w:val="left" w:pos="1134"/>
        </w:tabs>
        <w:jc w:val="both"/>
        <w:rPr>
          <w:rFonts w:ascii="Arial" w:hAnsi="Arial" w:cs="Arial"/>
          <w:sz w:val="24"/>
          <w:szCs w:val="24"/>
        </w:rPr>
      </w:pPr>
    </w:p>
    <w:p w:rsidR="00175AAC" w:rsidRDefault="00175AAC" w:rsidP="00C91BEC">
      <w:pPr>
        <w:tabs>
          <w:tab w:val="left" w:pos="709"/>
          <w:tab w:val="left" w:pos="1134"/>
        </w:tabs>
        <w:jc w:val="both"/>
        <w:rPr>
          <w:rFonts w:ascii="Arial" w:hAnsi="Arial" w:cs="Arial"/>
          <w:sz w:val="24"/>
          <w:szCs w:val="24"/>
        </w:rPr>
      </w:pPr>
      <w:bookmarkStart w:id="95" w:name="_GoBack"/>
      <w:bookmarkEnd w:id="95"/>
    </w:p>
    <w:p w:rsidR="00175AAC" w:rsidRDefault="00175AAC" w:rsidP="00C91BEC">
      <w:pPr>
        <w:tabs>
          <w:tab w:val="left" w:pos="709"/>
          <w:tab w:val="left" w:pos="1134"/>
        </w:tabs>
        <w:jc w:val="both"/>
        <w:rPr>
          <w:rFonts w:ascii="Arial" w:hAnsi="Arial" w:cs="Arial"/>
          <w:sz w:val="24"/>
          <w:szCs w:val="24"/>
        </w:rPr>
      </w:pPr>
    </w:p>
    <w:p w:rsidR="00175AAC" w:rsidRDefault="00175AAC" w:rsidP="00C91BEC">
      <w:pPr>
        <w:tabs>
          <w:tab w:val="left" w:pos="709"/>
          <w:tab w:val="left" w:pos="1134"/>
        </w:tabs>
        <w:jc w:val="both"/>
        <w:rPr>
          <w:rFonts w:ascii="Arial" w:hAnsi="Arial" w:cs="Arial"/>
          <w:sz w:val="24"/>
          <w:szCs w:val="24"/>
        </w:rPr>
      </w:pPr>
    </w:p>
    <w:p w:rsidR="00175AAC" w:rsidRDefault="00175AAC" w:rsidP="00C91BEC">
      <w:pPr>
        <w:tabs>
          <w:tab w:val="left" w:pos="709"/>
          <w:tab w:val="left" w:pos="1134"/>
        </w:tabs>
        <w:jc w:val="both"/>
        <w:rPr>
          <w:rFonts w:ascii="Arial" w:hAnsi="Arial" w:cs="Arial"/>
          <w:sz w:val="24"/>
          <w:szCs w:val="24"/>
        </w:rPr>
      </w:pPr>
    </w:p>
    <w:p w:rsidR="004C501C" w:rsidRDefault="004C501C" w:rsidP="00C91BEC">
      <w:pPr>
        <w:tabs>
          <w:tab w:val="left" w:pos="709"/>
          <w:tab w:val="left" w:pos="1134"/>
        </w:tabs>
        <w:jc w:val="both"/>
        <w:rPr>
          <w:rFonts w:ascii="Arial" w:hAnsi="Arial" w:cs="Arial"/>
          <w:sz w:val="24"/>
          <w:szCs w:val="24"/>
        </w:rPr>
      </w:pPr>
    </w:p>
    <w:p w:rsidR="004C501C" w:rsidRDefault="004C501C" w:rsidP="00C91BEC">
      <w:pPr>
        <w:tabs>
          <w:tab w:val="left" w:pos="709"/>
          <w:tab w:val="left" w:pos="1134"/>
        </w:tabs>
        <w:jc w:val="both"/>
        <w:rPr>
          <w:rFonts w:ascii="Arial" w:hAnsi="Arial" w:cs="Arial"/>
          <w:sz w:val="24"/>
          <w:szCs w:val="24"/>
        </w:rPr>
      </w:pPr>
    </w:p>
    <w:p w:rsidR="004C501C" w:rsidRDefault="004C501C" w:rsidP="00C91BEC">
      <w:pPr>
        <w:tabs>
          <w:tab w:val="left" w:pos="709"/>
          <w:tab w:val="left" w:pos="1134"/>
        </w:tabs>
        <w:jc w:val="center"/>
        <w:rPr>
          <w:rFonts w:ascii="Arial" w:hAnsi="Arial" w:cs="Arial"/>
          <w:sz w:val="24"/>
          <w:szCs w:val="24"/>
        </w:rPr>
      </w:pPr>
      <w:r>
        <w:rPr>
          <w:rFonts w:ascii="Arial" w:hAnsi="Arial" w:cs="Arial"/>
          <w:sz w:val="24"/>
          <w:szCs w:val="24"/>
        </w:rPr>
        <w:t>MARÍA SOLEDAD FREDES RUIZ,</w:t>
      </w:r>
    </w:p>
    <w:p w:rsidR="004C501C" w:rsidRDefault="004C501C" w:rsidP="00C91BEC">
      <w:pPr>
        <w:tabs>
          <w:tab w:val="left" w:pos="709"/>
          <w:tab w:val="left" w:pos="1134"/>
        </w:tabs>
        <w:jc w:val="center"/>
        <w:rPr>
          <w:rFonts w:ascii="Arial" w:hAnsi="Arial" w:cs="Arial"/>
          <w:sz w:val="24"/>
          <w:szCs w:val="24"/>
        </w:rPr>
      </w:pPr>
      <w:r>
        <w:rPr>
          <w:rFonts w:ascii="Arial" w:hAnsi="Arial" w:cs="Arial"/>
          <w:sz w:val="24"/>
          <w:szCs w:val="24"/>
        </w:rPr>
        <w:t>Abogada Secretaria de la Comisión.</w:t>
      </w:r>
    </w:p>
    <w:p w:rsidR="004C501C" w:rsidRDefault="004C501C" w:rsidP="00C91BEC">
      <w:pPr>
        <w:tabs>
          <w:tab w:val="left" w:pos="709"/>
          <w:tab w:val="left" w:pos="1134"/>
        </w:tabs>
        <w:jc w:val="both"/>
        <w:rPr>
          <w:rFonts w:ascii="Arial" w:hAnsi="Arial" w:cs="Arial"/>
          <w:sz w:val="24"/>
          <w:szCs w:val="24"/>
        </w:rPr>
      </w:pPr>
    </w:p>
    <w:p w:rsidR="002149A0" w:rsidRDefault="001729F4" w:rsidP="00C91BEC">
      <w:pPr>
        <w:tabs>
          <w:tab w:val="left" w:pos="709"/>
        </w:tabs>
        <w:jc w:val="center"/>
        <w:rPr>
          <w:rFonts w:ascii="Arial" w:hAnsi="Arial" w:cs="Arial"/>
          <w:b/>
          <w:sz w:val="24"/>
        </w:rPr>
      </w:pPr>
      <w:r>
        <w:rPr>
          <w:rFonts w:ascii="Arial" w:hAnsi="Arial" w:cs="Arial"/>
          <w:sz w:val="24"/>
        </w:rPr>
        <w:br w:type="page"/>
      </w:r>
      <w:r w:rsidR="002149A0" w:rsidRPr="002149A0">
        <w:rPr>
          <w:rFonts w:ascii="Arial" w:hAnsi="Arial" w:cs="Arial"/>
          <w:b/>
          <w:sz w:val="24"/>
        </w:rPr>
        <w:t>INDICE</w:t>
      </w:r>
    </w:p>
    <w:p w:rsidR="00D31C90" w:rsidRDefault="00D31C90" w:rsidP="00C91BEC">
      <w:pPr>
        <w:tabs>
          <w:tab w:val="left" w:pos="709"/>
        </w:tabs>
        <w:jc w:val="center"/>
        <w:rPr>
          <w:rFonts w:ascii="Arial" w:hAnsi="Arial" w:cs="Arial"/>
          <w:b/>
          <w:sz w:val="24"/>
        </w:rPr>
      </w:pPr>
    </w:p>
    <w:p w:rsidR="00807E03" w:rsidRDefault="00426034">
      <w:pPr>
        <w:pStyle w:val="TDC1"/>
        <w:tabs>
          <w:tab w:val="right" w:leader="dot" w:pos="8263"/>
        </w:tabs>
        <w:rPr>
          <w:rFonts w:asciiTheme="minorHAnsi" w:eastAsiaTheme="minorEastAsia" w:hAnsiTheme="minorHAnsi" w:cstheme="minorBidi"/>
          <w:b w:val="0"/>
          <w:bCs w:val="0"/>
          <w:caps w:val="0"/>
          <w:noProof/>
          <w:sz w:val="22"/>
          <w:szCs w:val="22"/>
          <w:lang w:val="es-CL" w:eastAsia="es-CL"/>
        </w:rPr>
      </w:pPr>
      <w:r>
        <w:fldChar w:fldCharType="begin"/>
      </w:r>
      <w:r>
        <w:instrText xml:space="preserve"> TOC \o "1-3" \h \z \u </w:instrText>
      </w:r>
      <w:r>
        <w:fldChar w:fldCharType="separate"/>
      </w:r>
      <w:hyperlink w:anchor="_Toc487615152" w:history="1">
        <w:r w:rsidR="00807E03" w:rsidRPr="00527A07">
          <w:rPr>
            <w:rStyle w:val="Hipervnculo"/>
            <w:noProof/>
          </w:rPr>
          <w:t>I. CONSTANCIAS REGLAMENTARIAS PREVIAS.</w:t>
        </w:r>
        <w:r w:rsidR="00807E03">
          <w:rPr>
            <w:noProof/>
            <w:webHidden/>
          </w:rPr>
          <w:tab/>
        </w:r>
        <w:r w:rsidR="00807E03">
          <w:rPr>
            <w:noProof/>
            <w:webHidden/>
          </w:rPr>
          <w:fldChar w:fldCharType="begin"/>
        </w:r>
        <w:r w:rsidR="00807E03">
          <w:rPr>
            <w:noProof/>
            <w:webHidden/>
          </w:rPr>
          <w:instrText xml:space="preserve"> PAGEREF _Toc487615152 \h </w:instrText>
        </w:r>
        <w:r w:rsidR="00807E03">
          <w:rPr>
            <w:noProof/>
            <w:webHidden/>
          </w:rPr>
        </w:r>
        <w:r w:rsidR="00807E03">
          <w:rPr>
            <w:noProof/>
            <w:webHidden/>
          </w:rPr>
          <w:fldChar w:fldCharType="separate"/>
        </w:r>
        <w:r w:rsidR="004A03F0">
          <w:rPr>
            <w:noProof/>
            <w:webHidden/>
          </w:rPr>
          <w:t>1</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53" w:history="1">
        <w:r w:rsidR="00807E03" w:rsidRPr="00527A07">
          <w:rPr>
            <w:rStyle w:val="Hipervnculo"/>
            <w:noProof/>
            <w:lang w:val="es-ES_tradnl"/>
          </w:rPr>
          <w:t>1) Idea matriz o fundamental del proyecto.</w:t>
        </w:r>
        <w:r w:rsidR="00807E03">
          <w:rPr>
            <w:noProof/>
            <w:webHidden/>
          </w:rPr>
          <w:tab/>
        </w:r>
        <w:r w:rsidR="00807E03">
          <w:rPr>
            <w:noProof/>
            <w:webHidden/>
          </w:rPr>
          <w:fldChar w:fldCharType="begin"/>
        </w:r>
        <w:r w:rsidR="00807E03">
          <w:rPr>
            <w:noProof/>
            <w:webHidden/>
          </w:rPr>
          <w:instrText xml:space="preserve"> PAGEREF _Toc487615153 \h </w:instrText>
        </w:r>
        <w:r w:rsidR="00807E03">
          <w:rPr>
            <w:noProof/>
            <w:webHidden/>
          </w:rPr>
        </w:r>
        <w:r w:rsidR="00807E03">
          <w:rPr>
            <w:noProof/>
            <w:webHidden/>
          </w:rPr>
          <w:fldChar w:fldCharType="separate"/>
        </w:r>
        <w:r w:rsidR="004A03F0">
          <w:rPr>
            <w:noProof/>
            <w:webHidden/>
          </w:rPr>
          <w:t>1</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54" w:history="1">
        <w:r w:rsidR="00807E03" w:rsidRPr="00527A07">
          <w:rPr>
            <w:rStyle w:val="Hipervnculo"/>
            <w:noProof/>
            <w:lang w:val="es-ES_tradnl"/>
          </w:rPr>
          <w:t>2) Normas de quórum especial.</w:t>
        </w:r>
        <w:r w:rsidR="00807E03">
          <w:rPr>
            <w:noProof/>
            <w:webHidden/>
          </w:rPr>
          <w:tab/>
        </w:r>
        <w:r w:rsidR="00807E03">
          <w:rPr>
            <w:noProof/>
            <w:webHidden/>
          </w:rPr>
          <w:fldChar w:fldCharType="begin"/>
        </w:r>
        <w:r w:rsidR="00807E03">
          <w:rPr>
            <w:noProof/>
            <w:webHidden/>
          </w:rPr>
          <w:instrText xml:space="preserve"> PAGEREF _Toc487615154 \h </w:instrText>
        </w:r>
        <w:r w:rsidR="00807E03">
          <w:rPr>
            <w:noProof/>
            <w:webHidden/>
          </w:rPr>
        </w:r>
        <w:r w:rsidR="00807E03">
          <w:rPr>
            <w:noProof/>
            <w:webHidden/>
          </w:rPr>
          <w:fldChar w:fldCharType="separate"/>
        </w:r>
        <w:r w:rsidR="004A03F0">
          <w:rPr>
            <w:noProof/>
            <w:webHidden/>
          </w:rPr>
          <w:t>1</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55" w:history="1">
        <w:r w:rsidR="00807E03" w:rsidRPr="00527A07">
          <w:rPr>
            <w:rStyle w:val="Hipervnculo"/>
            <w:noProof/>
            <w:lang w:val="es-ES_tradnl"/>
          </w:rPr>
          <w:t>3) Normas que requieren trámite de Hacienda.</w:t>
        </w:r>
        <w:r w:rsidR="00807E03">
          <w:rPr>
            <w:noProof/>
            <w:webHidden/>
          </w:rPr>
          <w:tab/>
        </w:r>
        <w:r w:rsidR="00807E03">
          <w:rPr>
            <w:noProof/>
            <w:webHidden/>
          </w:rPr>
          <w:fldChar w:fldCharType="begin"/>
        </w:r>
        <w:r w:rsidR="00807E03">
          <w:rPr>
            <w:noProof/>
            <w:webHidden/>
          </w:rPr>
          <w:instrText xml:space="preserve"> PAGEREF _Toc487615155 \h </w:instrText>
        </w:r>
        <w:r w:rsidR="00807E03">
          <w:rPr>
            <w:noProof/>
            <w:webHidden/>
          </w:rPr>
        </w:r>
        <w:r w:rsidR="00807E03">
          <w:rPr>
            <w:noProof/>
            <w:webHidden/>
          </w:rPr>
          <w:fldChar w:fldCharType="separate"/>
        </w:r>
        <w:r w:rsidR="004A03F0">
          <w:rPr>
            <w:noProof/>
            <w:webHidden/>
          </w:rPr>
          <w:t>1</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56" w:history="1">
        <w:r w:rsidR="00807E03" w:rsidRPr="00527A07">
          <w:rPr>
            <w:rStyle w:val="Hipervnculo"/>
            <w:noProof/>
            <w:lang w:val="es-ES_tradnl"/>
          </w:rPr>
          <w:t>4) Aprobación general del proyecto de ley.</w:t>
        </w:r>
        <w:r w:rsidR="00807E03">
          <w:rPr>
            <w:noProof/>
            <w:webHidden/>
          </w:rPr>
          <w:tab/>
        </w:r>
        <w:r w:rsidR="00807E03">
          <w:rPr>
            <w:noProof/>
            <w:webHidden/>
          </w:rPr>
          <w:fldChar w:fldCharType="begin"/>
        </w:r>
        <w:r w:rsidR="00807E03">
          <w:rPr>
            <w:noProof/>
            <w:webHidden/>
          </w:rPr>
          <w:instrText xml:space="preserve"> PAGEREF _Toc487615156 \h </w:instrText>
        </w:r>
        <w:r w:rsidR="00807E03">
          <w:rPr>
            <w:noProof/>
            <w:webHidden/>
          </w:rPr>
        </w:r>
        <w:r w:rsidR="00807E03">
          <w:rPr>
            <w:noProof/>
            <w:webHidden/>
          </w:rPr>
          <w:fldChar w:fldCharType="separate"/>
        </w:r>
        <w:r w:rsidR="004A03F0">
          <w:rPr>
            <w:noProof/>
            <w:webHidden/>
          </w:rPr>
          <w:t>2</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57" w:history="1">
        <w:r w:rsidR="00807E03" w:rsidRPr="00527A07">
          <w:rPr>
            <w:rStyle w:val="Hipervnculo"/>
            <w:noProof/>
            <w:lang w:val="es-ES_tradnl"/>
          </w:rPr>
          <w:t>5) Diputado informante.</w:t>
        </w:r>
        <w:r w:rsidR="00807E03">
          <w:rPr>
            <w:noProof/>
            <w:webHidden/>
          </w:rPr>
          <w:tab/>
        </w:r>
        <w:r w:rsidR="00807E03">
          <w:rPr>
            <w:noProof/>
            <w:webHidden/>
          </w:rPr>
          <w:fldChar w:fldCharType="begin"/>
        </w:r>
        <w:r w:rsidR="00807E03">
          <w:rPr>
            <w:noProof/>
            <w:webHidden/>
          </w:rPr>
          <w:instrText xml:space="preserve"> PAGEREF _Toc487615157 \h </w:instrText>
        </w:r>
        <w:r w:rsidR="00807E03">
          <w:rPr>
            <w:noProof/>
            <w:webHidden/>
          </w:rPr>
        </w:r>
        <w:r w:rsidR="00807E03">
          <w:rPr>
            <w:noProof/>
            <w:webHidden/>
          </w:rPr>
          <w:fldChar w:fldCharType="separate"/>
        </w:r>
        <w:r w:rsidR="004A03F0">
          <w:rPr>
            <w:noProof/>
            <w:webHidden/>
          </w:rPr>
          <w:t>2</w:t>
        </w:r>
        <w:r w:rsidR="00807E03">
          <w:rPr>
            <w:noProof/>
            <w:webHidden/>
          </w:rPr>
          <w:fldChar w:fldCharType="end"/>
        </w:r>
      </w:hyperlink>
    </w:p>
    <w:p w:rsidR="00807E03" w:rsidRDefault="00D63326">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87615158" w:history="1">
        <w:r w:rsidR="00807E03" w:rsidRPr="00527A07">
          <w:rPr>
            <w:rStyle w:val="Hipervnculo"/>
            <w:noProof/>
          </w:rPr>
          <w:t>II. ANTECEDENTES DEL PROYECTO.</w:t>
        </w:r>
        <w:r w:rsidR="00807E03">
          <w:rPr>
            <w:noProof/>
            <w:webHidden/>
          </w:rPr>
          <w:tab/>
        </w:r>
        <w:r w:rsidR="00807E03">
          <w:rPr>
            <w:noProof/>
            <w:webHidden/>
          </w:rPr>
          <w:fldChar w:fldCharType="begin"/>
        </w:r>
        <w:r w:rsidR="00807E03">
          <w:rPr>
            <w:noProof/>
            <w:webHidden/>
          </w:rPr>
          <w:instrText xml:space="preserve"> PAGEREF _Toc487615158 \h </w:instrText>
        </w:r>
        <w:r w:rsidR="00807E03">
          <w:rPr>
            <w:noProof/>
            <w:webHidden/>
          </w:rPr>
        </w:r>
        <w:r w:rsidR="00807E03">
          <w:rPr>
            <w:noProof/>
            <w:webHidden/>
          </w:rPr>
          <w:fldChar w:fldCharType="separate"/>
        </w:r>
        <w:r w:rsidR="004A03F0">
          <w:rPr>
            <w:noProof/>
            <w:webHidden/>
          </w:rPr>
          <w:t>2</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59" w:history="1">
        <w:r w:rsidR="00807E03" w:rsidRPr="00527A07">
          <w:rPr>
            <w:rStyle w:val="Hipervnculo"/>
            <w:noProof/>
          </w:rPr>
          <w:t>A) Fundamentos.</w:t>
        </w:r>
        <w:r w:rsidR="00807E03">
          <w:rPr>
            <w:noProof/>
            <w:webHidden/>
          </w:rPr>
          <w:tab/>
        </w:r>
        <w:r w:rsidR="00807E03">
          <w:rPr>
            <w:noProof/>
            <w:webHidden/>
          </w:rPr>
          <w:fldChar w:fldCharType="begin"/>
        </w:r>
        <w:r w:rsidR="00807E03">
          <w:rPr>
            <w:noProof/>
            <w:webHidden/>
          </w:rPr>
          <w:instrText xml:space="preserve"> PAGEREF _Toc487615159 \h </w:instrText>
        </w:r>
        <w:r w:rsidR="00807E03">
          <w:rPr>
            <w:noProof/>
            <w:webHidden/>
          </w:rPr>
        </w:r>
        <w:r w:rsidR="00807E03">
          <w:rPr>
            <w:noProof/>
            <w:webHidden/>
          </w:rPr>
          <w:fldChar w:fldCharType="separate"/>
        </w:r>
        <w:r w:rsidR="004A03F0">
          <w:rPr>
            <w:noProof/>
            <w:webHidden/>
          </w:rPr>
          <w:t>2</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0" w:history="1">
        <w:r w:rsidR="00807E03" w:rsidRPr="00527A07">
          <w:rPr>
            <w:rStyle w:val="Hipervnculo"/>
            <w:noProof/>
          </w:rPr>
          <w:t>1. Beneficiarios de la bonificación adicional.</w:t>
        </w:r>
        <w:r w:rsidR="00807E03">
          <w:rPr>
            <w:noProof/>
            <w:webHidden/>
          </w:rPr>
          <w:tab/>
        </w:r>
        <w:r w:rsidR="00807E03">
          <w:rPr>
            <w:noProof/>
            <w:webHidden/>
          </w:rPr>
          <w:fldChar w:fldCharType="begin"/>
        </w:r>
        <w:r w:rsidR="00807E03">
          <w:rPr>
            <w:noProof/>
            <w:webHidden/>
          </w:rPr>
          <w:instrText xml:space="preserve"> PAGEREF _Toc487615160 \h </w:instrText>
        </w:r>
        <w:r w:rsidR="00807E03">
          <w:rPr>
            <w:noProof/>
            <w:webHidden/>
          </w:rPr>
        </w:r>
        <w:r w:rsidR="00807E03">
          <w:rPr>
            <w:noProof/>
            <w:webHidden/>
          </w:rPr>
          <w:fldChar w:fldCharType="separate"/>
        </w:r>
        <w:r w:rsidR="004A03F0">
          <w:rPr>
            <w:noProof/>
            <w:webHidden/>
          </w:rPr>
          <w:t>2</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1" w:history="1">
        <w:r w:rsidR="00807E03" w:rsidRPr="00527A07">
          <w:rPr>
            <w:rStyle w:val="Hipervnculo"/>
            <w:noProof/>
          </w:rPr>
          <w:t>2. Beneficios.</w:t>
        </w:r>
        <w:r w:rsidR="00807E03">
          <w:rPr>
            <w:noProof/>
            <w:webHidden/>
          </w:rPr>
          <w:tab/>
        </w:r>
        <w:r w:rsidR="00807E03">
          <w:rPr>
            <w:noProof/>
            <w:webHidden/>
          </w:rPr>
          <w:fldChar w:fldCharType="begin"/>
        </w:r>
        <w:r w:rsidR="00807E03">
          <w:rPr>
            <w:noProof/>
            <w:webHidden/>
          </w:rPr>
          <w:instrText xml:space="preserve"> PAGEREF _Toc487615161 \h </w:instrText>
        </w:r>
        <w:r w:rsidR="00807E03">
          <w:rPr>
            <w:noProof/>
            <w:webHidden/>
          </w:rPr>
        </w:r>
        <w:r w:rsidR="00807E03">
          <w:rPr>
            <w:noProof/>
            <w:webHidden/>
          </w:rPr>
          <w:fldChar w:fldCharType="separate"/>
        </w:r>
        <w:r w:rsidR="004A03F0">
          <w:rPr>
            <w:noProof/>
            <w:webHidden/>
          </w:rPr>
          <w:t>3</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2" w:history="1">
        <w:r w:rsidR="00807E03" w:rsidRPr="00527A07">
          <w:rPr>
            <w:rStyle w:val="Hipervnculo"/>
            <w:noProof/>
          </w:rPr>
          <w:t>3. Cupos.</w:t>
        </w:r>
        <w:r w:rsidR="00807E03">
          <w:rPr>
            <w:noProof/>
            <w:webHidden/>
          </w:rPr>
          <w:tab/>
        </w:r>
        <w:r w:rsidR="00807E03">
          <w:rPr>
            <w:noProof/>
            <w:webHidden/>
          </w:rPr>
          <w:fldChar w:fldCharType="begin"/>
        </w:r>
        <w:r w:rsidR="00807E03">
          <w:rPr>
            <w:noProof/>
            <w:webHidden/>
          </w:rPr>
          <w:instrText xml:space="preserve"> PAGEREF _Toc487615162 \h </w:instrText>
        </w:r>
        <w:r w:rsidR="00807E03">
          <w:rPr>
            <w:noProof/>
            <w:webHidden/>
          </w:rPr>
        </w:r>
        <w:r w:rsidR="00807E03">
          <w:rPr>
            <w:noProof/>
            <w:webHidden/>
          </w:rPr>
          <w:fldChar w:fldCharType="separate"/>
        </w:r>
        <w:r w:rsidR="004A03F0">
          <w:rPr>
            <w:noProof/>
            <w:webHidden/>
          </w:rPr>
          <w:t>4</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3" w:history="1">
        <w:r w:rsidR="00807E03" w:rsidRPr="00527A07">
          <w:rPr>
            <w:rStyle w:val="Hipervnculo"/>
            <w:noProof/>
          </w:rPr>
          <w:t>4. Postulación y procedimientos generales para acceder a la bonificación adicional.</w:t>
        </w:r>
        <w:r w:rsidR="00807E03">
          <w:rPr>
            <w:noProof/>
            <w:webHidden/>
          </w:rPr>
          <w:tab/>
        </w:r>
        <w:r w:rsidR="00807E03">
          <w:rPr>
            <w:noProof/>
            <w:webHidden/>
          </w:rPr>
          <w:fldChar w:fldCharType="begin"/>
        </w:r>
        <w:r w:rsidR="00807E03">
          <w:rPr>
            <w:noProof/>
            <w:webHidden/>
          </w:rPr>
          <w:instrText xml:space="preserve"> PAGEREF _Toc487615163 \h </w:instrText>
        </w:r>
        <w:r w:rsidR="00807E03">
          <w:rPr>
            <w:noProof/>
            <w:webHidden/>
          </w:rPr>
        </w:r>
        <w:r w:rsidR="00807E03">
          <w:rPr>
            <w:noProof/>
            <w:webHidden/>
          </w:rPr>
          <w:fldChar w:fldCharType="separate"/>
        </w:r>
        <w:r w:rsidR="004A03F0">
          <w:rPr>
            <w:noProof/>
            <w:webHidden/>
          </w:rPr>
          <w:t>4</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4" w:history="1">
        <w:r w:rsidR="00807E03" w:rsidRPr="00527A07">
          <w:rPr>
            <w:rStyle w:val="Hipervnculo"/>
            <w:noProof/>
          </w:rPr>
          <w:t>5. Renuncia.</w:t>
        </w:r>
        <w:r w:rsidR="00807E03">
          <w:rPr>
            <w:noProof/>
            <w:webHidden/>
          </w:rPr>
          <w:tab/>
        </w:r>
        <w:r w:rsidR="00807E03">
          <w:rPr>
            <w:noProof/>
            <w:webHidden/>
          </w:rPr>
          <w:fldChar w:fldCharType="begin"/>
        </w:r>
        <w:r w:rsidR="00807E03">
          <w:rPr>
            <w:noProof/>
            <w:webHidden/>
          </w:rPr>
          <w:instrText xml:space="preserve"> PAGEREF _Toc487615164 \h </w:instrText>
        </w:r>
        <w:r w:rsidR="00807E03">
          <w:rPr>
            <w:noProof/>
            <w:webHidden/>
          </w:rPr>
        </w:r>
        <w:r w:rsidR="00807E03">
          <w:rPr>
            <w:noProof/>
            <w:webHidden/>
          </w:rPr>
          <w:fldChar w:fldCharType="separate"/>
        </w:r>
        <w:r w:rsidR="004A03F0">
          <w:rPr>
            <w:noProof/>
            <w:webHidden/>
          </w:rPr>
          <w:t>5</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5" w:history="1">
        <w:r w:rsidR="00807E03" w:rsidRPr="00527A07">
          <w:rPr>
            <w:rStyle w:val="Hipervnculo"/>
            <w:noProof/>
          </w:rPr>
          <w:t>6. Bono post laboral.</w:t>
        </w:r>
        <w:r w:rsidR="00807E03">
          <w:rPr>
            <w:noProof/>
            <w:webHidden/>
          </w:rPr>
          <w:tab/>
        </w:r>
        <w:r w:rsidR="00807E03">
          <w:rPr>
            <w:noProof/>
            <w:webHidden/>
          </w:rPr>
          <w:fldChar w:fldCharType="begin"/>
        </w:r>
        <w:r w:rsidR="00807E03">
          <w:rPr>
            <w:noProof/>
            <w:webHidden/>
          </w:rPr>
          <w:instrText xml:space="preserve"> PAGEREF _Toc487615165 \h </w:instrText>
        </w:r>
        <w:r w:rsidR="00807E03">
          <w:rPr>
            <w:noProof/>
            <w:webHidden/>
          </w:rPr>
        </w:r>
        <w:r w:rsidR="00807E03">
          <w:rPr>
            <w:noProof/>
            <w:webHidden/>
          </w:rPr>
          <w:fldChar w:fldCharType="separate"/>
        </w:r>
        <w:r w:rsidR="004A03F0">
          <w:rPr>
            <w:noProof/>
            <w:webHidden/>
          </w:rPr>
          <w:t>5</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6" w:history="1">
        <w:r w:rsidR="00807E03" w:rsidRPr="00527A07">
          <w:rPr>
            <w:rStyle w:val="Hipervnculo"/>
            <w:noProof/>
          </w:rPr>
          <w:t>7. Inhabilidades e incompatibilidades.</w:t>
        </w:r>
        <w:r w:rsidR="00807E03">
          <w:rPr>
            <w:noProof/>
            <w:webHidden/>
          </w:rPr>
          <w:tab/>
        </w:r>
        <w:r w:rsidR="00807E03">
          <w:rPr>
            <w:noProof/>
            <w:webHidden/>
          </w:rPr>
          <w:fldChar w:fldCharType="begin"/>
        </w:r>
        <w:r w:rsidR="00807E03">
          <w:rPr>
            <w:noProof/>
            <w:webHidden/>
          </w:rPr>
          <w:instrText xml:space="preserve"> PAGEREF _Toc487615166 \h </w:instrText>
        </w:r>
        <w:r w:rsidR="00807E03">
          <w:rPr>
            <w:noProof/>
            <w:webHidden/>
          </w:rPr>
        </w:r>
        <w:r w:rsidR="00807E03">
          <w:rPr>
            <w:noProof/>
            <w:webHidden/>
          </w:rPr>
          <w:fldChar w:fldCharType="separate"/>
        </w:r>
        <w:r w:rsidR="004A03F0">
          <w:rPr>
            <w:noProof/>
            <w:webHidden/>
          </w:rPr>
          <w:t>5</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7" w:history="1">
        <w:r w:rsidR="00807E03" w:rsidRPr="00527A07">
          <w:rPr>
            <w:rStyle w:val="Hipervnculo"/>
            <w:noProof/>
          </w:rPr>
          <w:t>8. Recontrataciones.</w:t>
        </w:r>
        <w:r w:rsidR="00807E03">
          <w:rPr>
            <w:noProof/>
            <w:webHidden/>
          </w:rPr>
          <w:tab/>
        </w:r>
        <w:r w:rsidR="00807E03">
          <w:rPr>
            <w:noProof/>
            <w:webHidden/>
          </w:rPr>
          <w:fldChar w:fldCharType="begin"/>
        </w:r>
        <w:r w:rsidR="00807E03">
          <w:rPr>
            <w:noProof/>
            <w:webHidden/>
          </w:rPr>
          <w:instrText xml:space="preserve"> PAGEREF _Toc487615167 \h </w:instrText>
        </w:r>
        <w:r w:rsidR="00807E03">
          <w:rPr>
            <w:noProof/>
            <w:webHidden/>
          </w:rPr>
        </w:r>
        <w:r w:rsidR="00807E03">
          <w:rPr>
            <w:noProof/>
            <w:webHidden/>
          </w:rPr>
          <w:fldChar w:fldCharType="separate"/>
        </w:r>
        <w:r w:rsidR="004A03F0">
          <w:rPr>
            <w:noProof/>
            <w:webHidden/>
          </w:rPr>
          <w:t>6</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8" w:history="1">
        <w:r w:rsidR="00807E03" w:rsidRPr="00527A07">
          <w:rPr>
            <w:rStyle w:val="Hipervnculo"/>
            <w:noProof/>
          </w:rPr>
          <w:t>9. Reglamento.</w:t>
        </w:r>
        <w:r w:rsidR="00807E03">
          <w:rPr>
            <w:noProof/>
            <w:webHidden/>
          </w:rPr>
          <w:tab/>
        </w:r>
        <w:r w:rsidR="00807E03">
          <w:rPr>
            <w:noProof/>
            <w:webHidden/>
          </w:rPr>
          <w:fldChar w:fldCharType="begin"/>
        </w:r>
        <w:r w:rsidR="00807E03">
          <w:rPr>
            <w:noProof/>
            <w:webHidden/>
          </w:rPr>
          <w:instrText xml:space="preserve"> PAGEREF _Toc487615168 \h </w:instrText>
        </w:r>
        <w:r w:rsidR="00807E03">
          <w:rPr>
            <w:noProof/>
            <w:webHidden/>
          </w:rPr>
        </w:r>
        <w:r w:rsidR="00807E03">
          <w:rPr>
            <w:noProof/>
            <w:webHidden/>
          </w:rPr>
          <w:fldChar w:fldCharType="separate"/>
        </w:r>
        <w:r w:rsidR="004A03F0">
          <w:rPr>
            <w:noProof/>
            <w:webHidden/>
          </w:rPr>
          <w:t>6</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69" w:history="1">
        <w:r w:rsidR="00807E03" w:rsidRPr="00527A07">
          <w:rPr>
            <w:rStyle w:val="Hipervnculo"/>
            <w:noProof/>
          </w:rPr>
          <w:t>10. Transmisión por causa de muerte.</w:t>
        </w:r>
        <w:r w:rsidR="00807E03">
          <w:rPr>
            <w:noProof/>
            <w:webHidden/>
          </w:rPr>
          <w:tab/>
        </w:r>
        <w:r w:rsidR="00807E03">
          <w:rPr>
            <w:noProof/>
            <w:webHidden/>
          </w:rPr>
          <w:fldChar w:fldCharType="begin"/>
        </w:r>
        <w:r w:rsidR="00807E03">
          <w:rPr>
            <w:noProof/>
            <w:webHidden/>
          </w:rPr>
          <w:instrText xml:space="preserve"> PAGEREF _Toc487615169 \h </w:instrText>
        </w:r>
        <w:r w:rsidR="00807E03">
          <w:rPr>
            <w:noProof/>
            <w:webHidden/>
          </w:rPr>
        </w:r>
        <w:r w:rsidR="00807E03">
          <w:rPr>
            <w:noProof/>
            <w:webHidden/>
          </w:rPr>
          <w:fldChar w:fldCharType="separate"/>
        </w:r>
        <w:r w:rsidR="004A03F0">
          <w:rPr>
            <w:noProof/>
            <w:webHidden/>
          </w:rPr>
          <w:t>6</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70" w:history="1">
        <w:r w:rsidR="00807E03" w:rsidRPr="00527A07">
          <w:rPr>
            <w:rStyle w:val="Hipervnculo"/>
            <w:noProof/>
          </w:rPr>
          <w:t>11. Contratación de empréstitos.</w:t>
        </w:r>
        <w:r w:rsidR="00807E03">
          <w:rPr>
            <w:noProof/>
            <w:webHidden/>
          </w:rPr>
          <w:tab/>
        </w:r>
        <w:r w:rsidR="00807E03">
          <w:rPr>
            <w:noProof/>
            <w:webHidden/>
          </w:rPr>
          <w:fldChar w:fldCharType="begin"/>
        </w:r>
        <w:r w:rsidR="00807E03">
          <w:rPr>
            <w:noProof/>
            <w:webHidden/>
          </w:rPr>
          <w:instrText xml:space="preserve"> PAGEREF _Toc487615170 \h </w:instrText>
        </w:r>
        <w:r w:rsidR="00807E03">
          <w:rPr>
            <w:noProof/>
            <w:webHidden/>
          </w:rPr>
        </w:r>
        <w:r w:rsidR="00807E03">
          <w:rPr>
            <w:noProof/>
            <w:webHidden/>
          </w:rPr>
          <w:fldChar w:fldCharType="separate"/>
        </w:r>
        <w:r w:rsidR="004A03F0">
          <w:rPr>
            <w:noProof/>
            <w:webHidden/>
          </w:rPr>
          <w:t>6</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71" w:history="1">
        <w:r w:rsidR="00807E03" w:rsidRPr="00527A07">
          <w:rPr>
            <w:rStyle w:val="Hipervnculo"/>
            <w:noProof/>
          </w:rPr>
          <w:t>B) Comentario sobre el articulado del proyecto.</w:t>
        </w:r>
        <w:r w:rsidR="00807E03">
          <w:rPr>
            <w:noProof/>
            <w:webHidden/>
          </w:rPr>
          <w:tab/>
        </w:r>
        <w:r w:rsidR="00807E03">
          <w:rPr>
            <w:noProof/>
            <w:webHidden/>
          </w:rPr>
          <w:fldChar w:fldCharType="begin"/>
        </w:r>
        <w:r w:rsidR="00807E03">
          <w:rPr>
            <w:noProof/>
            <w:webHidden/>
          </w:rPr>
          <w:instrText xml:space="preserve"> PAGEREF _Toc487615171 \h </w:instrText>
        </w:r>
        <w:r w:rsidR="00807E03">
          <w:rPr>
            <w:noProof/>
            <w:webHidden/>
          </w:rPr>
        </w:r>
        <w:r w:rsidR="00807E03">
          <w:rPr>
            <w:noProof/>
            <w:webHidden/>
          </w:rPr>
          <w:fldChar w:fldCharType="separate"/>
        </w:r>
        <w:r w:rsidR="004A03F0">
          <w:rPr>
            <w:noProof/>
            <w:webHidden/>
          </w:rPr>
          <w:t>6</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72" w:history="1">
        <w:r w:rsidR="00807E03" w:rsidRPr="00527A07">
          <w:rPr>
            <w:rStyle w:val="Hipervnculo"/>
            <w:noProof/>
          </w:rPr>
          <w:t>C) Informe financiero.</w:t>
        </w:r>
        <w:r w:rsidR="00807E03">
          <w:rPr>
            <w:noProof/>
            <w:webHidden/>
          </w:rPr>
          <w:tab/>
        </w:r>
        <w:r w:rsidR="00807E03">
          <w:rPr>
            <w:noProof/>
            <w:webHidden/>
          </w:rPr>
          <w:fldChar w:fldCharType="begin"/>
        </w:r>
        <w:r w:rsidR="00807E03">
          <w:rPr>
            <w:noProof/>
            <w:webHidden/>
          </w:rPr>
          <w:instrText xml:space="preserve"> PAGEREF _Toc487615172 \h </w:instrText>
        </w:r>
        <w:r w:rsidR="00807E03">
          <w:rPr>
            <w:noProof/>
            <w:webHidden/>
          </w:rPr>
        </w:r>
        <w:r w:rsidR="00807E03">
          <w:rPr>
            <w:noProof/>
            <w:webHidden/>
          </w:rPr>
          <w:fldChar w:fldCharType="separate"/>
        </w:r>
        <w:r w:rsidR="004A03F0">
          <w:rPr>
            <w:noProof/>
            <w:webHidden/>
          </w:rPr>
          <w:t>9</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73" w:history="1">
        <w:r w:rsidR="00807E03" w:rsidRPr="00527A07">
          <w:rPr>
            <w:rStyle w:val="Hipervnculo"/>
            <w:noProof/>
          </w:rPr>
          <w:t>D) Incidencia en la legislación vigente.</w:t>
        </w:r>
        <w:r w:rsidR="00807E03">
          <w:rPr>
            <w:noProof/>
            <w:webHidden/>
          </w:rPr>
          <w:tab/>
        </w:r>
        <w:r w:rsidR="00807E03">
          <w:rPr>
            <w:noProof/>
            <w:webHidden/>
          </w:rPr>
          <w:fldChar w:fldCharType="begin"/>
        </w:r>
        <w:r w:rsidR="00807E03">
          <w:rPr>
            <w:noProof/>
            <w:webHidden/>
          </w:rPr>
          <w:instrText xml:space="preserve"> PAGEREF _Toc487615173 \h </w:instrText>
        </w:r>
        <w:r w:rsidR="00807E03">
          <w:rPr>
            <w:noProof/>
            <w:webHidden/>
          </w:rPr>
        </w:r>
        <w:r w:rsidR="00807E03">
          <w:rPr>
            <w:noProof/>
            <w:webHidden/>
          </w:rPr>
          <w:fldChar w:fldCharType="separate"/>
        </w:r>
        <w:r w:rsidR="004A03F0">
          <w:rPr>
            <w:noProof/>
            <w:webHidden/>
          </w:rPr>
          <w:t>9</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74" w:history="1">
        <w:r w:rsidR="00807E03" w:rsidRPr="00527A07">
          <w:rPr>
            <w:rStyle w:val="Hipervnculo"/>
            <w:noProof/>
          </w:rPr>
          <w:t>1. La ley N° 20.374.</w:t>
        </w:r>
        <w:r w:rsidR="00807E03">
          <w:rPr>
            <w:noProof/>
            <w:webHidden/>
          </w:rPr>
          <w:tab/>
        </w:r>
        <w:r w:rsidR="00807E03">
          <w:rPr>
            <w:noProof/>
            <w:webHidden/>
          </w:rPr>
          <w:fldChar w:fldCharType="begin"/>
        </w:r>
        <w:r w:rsidR="00807E03">
          <w:rPr>
            <w:noProof/>
            <w:webHidden/>
          </w:rPr>
          <w:instrText xml:space="preserve"> PAGEREF _Toc487615174 \h </w:instrText>
        </w:r>
        <w:r w:rsidR="00807E03">
          <w:rPr>
            <w:noProof/>
            <w:webHidden/>
          </w:rPr>
        </w:r>
        <w:r w:rsidR="00807E03">
          <w:rPr>
            <w:noProof/>
            <w:webHidden/>
          </w:rPr>
          <w:fldChar w:fldCharType="separate"/>
        </w:r>
        <w:r w:rsidR="004A03F0">
          <w:rPr>
            <w:noProof/>
            <w:webHidden/>
          </w:rPr>
          <w:t>9</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75" w:history="1">
        <w:r w:rsidR="00807E03" w:rsidRPr="00527A07">
          <w:rPr>
            <w:rStyle w:val="Hipervnculo"/>
            <w:noProof/>
          </w:rPr>
          <w:t>2. La ley N° 20.305.</w:t>
        </w:r>
        <w:r w:rsidR="00807E03">
          <w:rPr>
            <w:noProof/>
            <w:webHidden/>
          </w:rPr>
          <w:tab/>
        </w:r>
        <w:r w:rsidR="00807E03">
          <w:rPr>
            <w:noProof/>
            <w:webHidden/>
          </w:rPr>
          <w:fldChar w:fldCharType="begin"/>
        </w:r>
        <w:r w:rsidR="00807E03">
          <w:rPr>
            <w:noProof/>
            <w:webHidden/>
          </w:rPr>
          <w:instrText xml:space="preserve"> PAGEREF _Toc487615175 \h </w:instrText>
        </w:r>
        <w:r w:rsidR="00807E03">
          <w:rPr>
            <w:noProof/>
            <w:webHidden/>
          </w:rPr>
        </w:r>
        <w:r w:rsidR="00807E03">
          <w:rPr>
            <w:noProof/>
            <w:webHidden/>
          </w:rPr>
          <w:fldChar w:fldCharType="separate"/>
        </w:r>
        <w:r w:rsidR="004A03F0">
          <w:rPr>
            <w:noProof/>
            <w:webHidden/>
          </w:rPr>
          <w:t>9</w:t>
        </w:r>
        <w:r w:rsidR="00807E03">
          <w:rPr>
            <w:noProof/>
            <w:webHidden/>
          </w:rPr>
          <w:fldChar w:fldCharType="end"/>
        </w:r>
      </w:hyperlink>
    </w:p>
    <w:p w:rsidR="00807E03" w:rsidRDefault="00D63326">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87615176" w:history="1">
        <w:r w:rsidR="00807E03" w:rsidRPr="00527A07">
          <w:rPr>
            <w:rStyle w:val="Hipervnculo"/>
            <w:noProof/>
          </w:rPr>
          <w:t>3. El decreto ley N° 3.500, de 1980.</w:t>
        </w:r>
        <w:r w:rsidR="00807E03">
          <w:rPr>
            <w:noProof/>
            <w:webHidden/>
          </w:rPr>
          <w:tab/>
        </w:r>
        <w:r w:rsidR="00807E03">
          <w:rPr>
            <w:noProof/>
            <w:webHidden/>
          </w:rPr>
          <w:fldChar w:fldCharType="begin"/>
        </w:r>
        <w:r w:rsidR="00807E03">
          <w:rPr>
            <w:noProof/>
            <w:webHidden/>
          </w:rPr>
          <w:instrText xml:space="preserve"> PAGEREF _Toc487615176 \h </w:instrText>
        </w:r>
        <w:r w:rsidR="00807E03">
          <w:rPr>
            <w:noProof/>
            <w:webHidden/>
          </w:rPr>
        </w:r>
        <w:r w:rsidR="00807E03">
          <w:rPr>
            <w:noProof/>
            <w:webHidden/>
          </w:rPr>
          <w:fldChar w:fldCharType="separate"/>
        </w:r>
        <w:r w:rsidR="004A03F0">
          <w:rPr>
            <w:noProof/>
            <w:webHidden/>
          </w:rPr>
          <w:t>9</w:t>
        </w:r>
        <w:r w:rsidR="00807E03">
          <w:rPr>
            <w:noProof/>
            <w:webHidden/>
          </w:rPr>
          <w:fldChar w:fldCharType="end"/>
        </w:r>
      </w:hyperlink>
    </w:p>
    <w:p w:rsidR="00807E03" w:rsidRDefault="00D63326">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87615177" w:history="1">
        <w:r w:rsidR="00807E03" w:rsidRPr="00527A07">
          <w:rPr>
            <w:rStyle w:val="Hipervnculo"/>
            <w:rFonts w:cs="Arial"/>
            <w:noProof/>
          </w:rPr>
          <w:t>III. DISCUSIÓN Y VOTACIÓN DEL PROYECTO.</w:t>
        </w:r>
        <w:r w:rsidR="00807E03">
          <w:rPr>
            <w:noProof/>
            <w:webHidden/>
          </w:rPr>
          <w:tab/>
        </w:r>
        <w:r w:rsidR="00807E03">
          <w:rPr>
            <w:noProof/>
            <w:webHidden/>
          </w:rPr>
          <w:fldChar w:fldCharType="begin"/>
        </w:r>
        <w:r w:rsidR="00807E03">
          <w:rPr>
            <w:noProof/>
            <w:webHidden/>
          </w:rPr>
          <w:instrText xml:space="preserve"> PAGEREF _Toc487615177 \h </w:instrText>
        </w:r>
        <w:r w:rsidR="00807E03">
          <w:rPr>
            <w:noProof/>
            <w:webHidden/>
          </w:rPr>
        </w:r>
        <w:r w:rsidR="00807E03">
          <w:rPr>
            <w:noProof/>
            <w:webHidden/>
          </w:rPr>
          <w:fldChar w:fldCharType="separate"/>
        </w:r>
        <w:r w:rsidR="004A03F0">
          <w:rPr>
            <w:noProof/>
            <w:webHidden/>
          </w:rPr>
          <w:t>10</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78" w:history="1">
        <w:r w:rsidR="00807E03" w:rsidRPr="00527A07">
          <w:rPr>
            <w:rStyle w:val="Hipervnculo"/>
            <w:noProof/>
          </w:rPr>
          <w:t>A) En general.</w:t>
        </w:r>
        <w:r w:rsidR="00807E03">
          <w:rPr>
            <w:noProof/>
            <w:webHidden/>
          </w:rPr>
          <w:tab/>
        </w:r>
        <w:r w:rsidR="00807E03">
          <w:rPr>
            <w:noProof/>
            <w:webHidden/>
          </w:rPr>
          <w:fldChar w:fldCharType="begin"/>
        </w:r>
        <w:r w:rsidR="00807E03">
          <w:rPr>
            <w:noProof/>
            <w:webHidden/>
          </w:rPr>
          <w:instrText xml:space="preserve"> PAGEREF _Toc487615178 \h </w:instrText>
        </w:r>
        <w:r w:rsidR="00807E03">
          <w:rPr>
            <w:noProof/>
            <w:webHidden/>
          </w:rPr>
        </w:r>
        <w:r w:rsidR="00807E03">
          <w:rPr>
            <w:noProof/>
            <w:webHidden/>
          </w:rPr>
          <w:fldChar w:fldCharType="separate"/>
        </w:r>
        <w:r w:rsidR="004A03F0">
          <w:rPr>
            <w:noProof/>
            <w:webHidden/>
          </w:rPr>
          <w:t>10</w:t>
        </w:r>
        <w:r w:rsidR="00807E03">
          <w:rPr>
            <w:noProof/>
            <w:webHidden/>
          </w:rPr>
          <w:fldChar w:fldCharType="end"/>
        </w:r>
      </w:hyperlink>
    </w:p>
    <w:p w:rsidR="00807E03" w:rsidRDefault="00D63326">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87615179" w:history="1">
        <w:r w:rsidR="00807E03" w:rsidRPr="00527A07">
          <w:rPr>
            <w:rStyle w:val="Hipervnculo"/>
            <w:noProof/>
          </w:rPr>
          <w:t>B) En particular.</w:t>
        </w:r>
        <w:r w:rsidR="00807E03">
          <w:rPr>
            <w:noProof/>
            <w:webHidden/>
          </w:rPr>
          <w:tab/>
        </w:r>
        <w:r w:rsidR="00807E03">
          <w:rPr>
            <w:noProof/>
            <w:webHidden/>
          </w:rPr>
          <w:fldChar w:fldCharType="begin"/>
        </w:r>
        <w:r w:rsidR="00807E03">
          <w:rPr>
            <w:noProof/>
            <w:webHidden/>
          </w:rPr>
          <w:instrText xml:space="preserve"> PAGEREF _Toc487615179 \h </w:instrText>
        </w:r>
        <w:r w:rsidR="00807E03">
          <w:rPr>
            <w:noProof/>
            <w:webHidden/>
          </w:rPr>
        </w:r>
        <w:r w:rsidR="00807E03">
          <w:rPr>
            <w:noProof/>
            <w:webHidden/>
          </w:rPr>
          <w:fldChar w:fldCharType="separate"/>
        </w:r>
        <w:r w:rsidR="004A03F0">
          <w:rPr>
            <w:noProof/>
            <w:webHidden/>
          </w:rPr>
          <w:t>19</w:t>
        </w:r>
        <w:r w:rsidR="00807E03">
          <w:rPr>
            <w:noProof/>
            <w:webHidden/>
          </w:rPr>
          <w:fldChar w:fldCharType="end"/>
        </w:r>
      </w:hyperlink>
    </w:p>
    <w:p w:rsidR="00807E03" w:rsidRDefault="00D63326">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87615180" w:history="1">
        <w:r w:rsidR="00807E03" w:rsidRPr="00527A07">
          <w:rPr>
            <w:rStyle w:val="Hipervnculo"/>
            <w:noProof/>
          </w:rPr>
          <w:t>IV. Indicaciones rechazadas.</w:t>
        </w:r>
        <w:r w:rsidR="00807E03">
          <w:rPr>
            <w:noProof/>
            <w:webHidden/>
          </w:rPr>
          <w:tab/>
        </w:r>
        <w:r w:rsidR="00807E03">
          <w:rPr>
            <w:noProof/>
            <w:webHidden/>
          </w:rPr>
          <w:fldChar w:fldCharType="begin"/>
        </w:r>
        <w:r w:rsidR="00807E03">
          <w:rPr>
            <w:noProof/>
            <w:webHidden/>
          </w:rPr>
          <w:instrText xml:space="preserve"> PAGEREF _Toc487615180 \h </w:instrText>
        </w:r>
        <w:r w:rsidR="00807E03">
          <w:rPr>
            <w:noProof/>
            <w:webHidden/>
          </w:rPr>
        </w:r>
        <w:r w:rsidR="00807E03">
          <w:rPr>
            <w:noProof/>
            <w:webHidden/>
          </w:rPr>
          <w:fldChar w:fldCharType="separate"/>
        </w:r>
        <w:r w:rsidR="004A03F0">
          <w:rPr>
            <w:noProof/>
            <w:webHidden/>
          </w:rPr>
          <w:t>20</w:t>
        </w:r>
        <w:r w:rsidR="00807E03">
          <w:rPr>
            <w:noProof/>
            <w:webHidden/>
          </w:rPr>
          <w:fldChar w:fldCharType="end"/>
        </w:r>
      </w:hyperlink>
    </w:p>
    <w:p w:rsidR="00807E03" w:rsidRDefault="00D63326">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87615181" w:history="1">
        <w:r w:rsidR="00807E03" w:rsidRPr="00527A07">
          <w:rPr>
            <w:rStyle w:val="Hipervnculo"/>
            <w:noProof/>
          </w:rPr>
          <w:t>V. Indicaciones declaradas inadmisibles.</w:t>
        </w:r>
        <w:r w:rsidR="00807E03">
          <w:rPr>
            <w:noProof/>
            <w:webHidden/>
          </w:rPr>
          <w:tab/>
        </w:r>
        <w:r w:rsidR="00807E03">
          <w:rPr>
            <w:noProof/>
            <w:webHidden/>
          </w:rPr>
          <w:fldChar w:fldCharType="begin"/>
        </w:r>
        <w:r w:rsidR="00807E03">
          <w:rPr>
            <w:noProof/>
            <w:webHidden/>
          </w:rPr>
          <w:instrText xml:space="preserve"> PAGEREF _Toc487615181 \h </w:instrText>
        </w:r>
        <w:r w:rsidR="00807E03">
          <w:rPr>
            <w:noProof/>
            <w:webHidden/>
          </w:rPr>
        </w:r>
        <w:r w:rsidR="00807E03">
          <w:rPr>
            <w:noProof/>
            <w:webHidden/>
          </w:rPr>
          <w:fldChar w:fldCharType="separate"/>
        </w:r>
        <w:r w:rsidR="004A03F0">
          <w:rPr>
            <w:noProof/>
            <w:webHidden/>
          </w:rPr>
          <w:t>21</w:t>
        </w:r>
        <w:r w:rsidR="00807E03">
          <w:rPr>
            <w:noProof/>
            <w:webHidden/>
          </w:rPr>
          <w:fldChar w:fldCharType="end"/>
        </w:r>
      </w:hyperlink>
    </w:p>
    <w:p w:rsidR="00807E03" w:rsidRDefault="00D63326">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87615182" w:history="1">
        <w:r w:rsidR="00807E03" w:rsidRPr="00527A07">
          <w:rPr>
            <w:rStyle w:val="Hipervnculo"/>
            <w:noProof/>
          </w:rPr>
          <w:t>VI. TEXTO DEL PROYECTO DE LEY APROBADO POR LA COMISIÓN.</w:t>
        </w:r>
        <w:r w:rsidR="00807E03">
          <w:rPr>
            <w:noProof/>
            <w:webHidden/>
          </w:rPr>
          <w:tab/>
        </w:r>
        <w:r w:rsidR="00807E03">
          <w:rPr>
            <w:noProof/>
            <w:webHidden/>
          </w:rPr>
          <w:fldChar w:fldCharType="begin"/>
        </w:r>
        <w:r w:rsidR="00807E03">
          <w:rPr>
            <w:noProof/>
            <w:webHidden/>
          </w:rPr>
          <w:instrText xml:space="preserve"> PAGEREF _Toc487615182 \h </w:instrText>
        </w:r>
        <w:r w:rsidR="00807E03">
          <w:rPr>
            <w:noProof/>
            <w:webHidden/>
          </w:rPr>
        </w:r>
        <w:r w:rsidR="00807E03">
          <w:rPr>
            <w:noProof/>
            <w:webHidden/>
          </w:rPr>
          <w:fldChar w:fldCharType="separate"/>
        </w:r>
        <w:r w:rsidR="004A03F0">
          <w:rPr>
            <w:noProof/>
            <w:webHidden/>
          </w:rPr>
          <w:t>21</w:t>
        </w:r>
        <w:r w:rsidR="00807E03">
          <w:rPr>
            <w:noProof/>
            <w:webHidden/>
          </w:rPr>
          <w:fldChar w:fldCharType="end"/>
        </w:r>
      </w:hyperlink>
    </w:p>
    <w:p w:rsidR="00426034" w:rsidRDefault="00426034" w:rsidP="00C91BEC">
      <w:r>
        <w:rPr>
          <w:b/>
          <w:bCs/>
        </w:rPr>
        <w:fldChar w:fldCharType="end"/>
      </w:r>
    </w:p>
    <w:p w:rsidR="00426034" w:rsidRDefault="00426034" w:rsidP="00C91BEC">
      <w:pPr>
        <w:tabs>
          <w:tab w:val="left" w:pos="709"/>
        </w:tabs>
        <w:jc w:val="center"/>
        <w:rPr>
          <w:rFonts w:ascii="Arial" w:hAnsi="Arial" w:cs="Arial"/>
          <w:b/>
          <w:sz w:val="24"/>
        </w:rPr>
      </w:pPr>
    </w:p>
    <w:sectPr w:rsidR="00426034" w:rsidSect="004F2DAA">
      <w:headerReference w:type="even" r:id="rId15"/>
      <w:headerReference w:type="default" r:id="rId16"/>
      <w:pgSz w:w="12242" w:h="20163" w:code="5"/>
      <w:pgMar w:top="2835" w:right="1701" w:bottom="3402" w:left="2268" w:header="1134" w:footer="141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D7" w:rsidRDefault="00AD7AD7">
      <w:r>
        <w:separator/>
      </w:r>
    </w:p>
  </w:endnote>
  <w:endnote w:type="continuationSeparator" w:id="0">
    <w:p w:rsidR="00AD7AD7" w:rsidRDefault="00AD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D7" w:rsidRDefault="00AD7AD7">
      <w:r>
        <w:separator/>
      </w:r>
    </w:p>
  </w:footnote>
  <w:footnote w:type="continuationSeparator" w:id="0">
    <w:p w:rsidR="00AD7AD7" w:rsidRDefault="00AD7AD7">
      <w:r>
        <w:continuationSeparator/>
      </w:r>
    </w:p>
  </w:footnote>
  <w:footnote w:id="1">
    <w:p w:rsidR="006B53C6" w:rsidRPr="00347329" w:rsidRDefault="006B53C6" w:rsidP="00347329">
      <w:pPr>
        <w:pStyle w:val="Textonotapie"/>
        <w:jc w:val="both"/>
        <w:rPr>
          <w:lang w:val="es-CL"/>
        </w:rPr>
      </w:pPr>
      <w:r>
        <w:rPr>
          <w:rStyle w:val="Refdenotaalpie"/>
        </w:rPr>
        <w:footnoteRef/>
      </w:r>
      <w:r>
        <w:t xml:space="preserve"> El </w:t>
      </w:r>
      <w:r w:rsidRPr="00347329">
        <w:rPr>
          <w:lang w:val="es-CL"/>
        </w:rPr>
        <w:t xml:space="preserve">inciso cuarto del artículo 1 señala </w:t>
      </w:r>
      <w:r>
        <w:rPr>
          <w:lang w:val="es-CL"/>
        </w:rPr>
        <w:t xml:space="preserve">lo siguiente: </w:t>
      </w:r>
      <w:r w:rsidRPr="00347329">
        <w:rPr>
          <w:lang w:val="es-CL"/>
        </w:rPr>
        <w:t>“El reconocimiento de años de servicios discontinuos en las universidades del Estado para efectos del inciso anterior, sólo procederá cuando dicho personal tenga, a lo menos, cinco años continuos de servicios inmediatamente anteriores a la fecha de inicio del respectivo período de postulación a la bonificación adicional, en cargos de planta o a contrata en las mencionadas universidades</w:t>
      </w:r>
      <w:r>
        <w:rPr>
          <w:lang w:val="es-CL"/>
        </w:rPr>
        <w:t>.</w:t>
      </w:r>
      <w:r w:rsidRPr="00347329">
        <w:rPr>
          <w:lang w:val="es-CL"/>
        </w:rPr>
        <w:t>”</w:t>
      </w:r>
      <w:r>
        <w:rPr>
          <w:lang w:val="es-C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C6" w:rsidRDefault="006B53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53C6" w:rsidRDefault="006B53C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C6" w:rsidRDefault="006B53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3326">
      <w:rPr>
        <w:rStyle w:val="Nmerodepgina"/>
        <w:noProof/>
      </w:rPr>
      <w:t>34</w:t>
    </w:r>
    <w:r>
      <w:rPr>
        <w:rStyle w:val="Nmerodepgina"/>
      </w:rPr>
      <w:fldChar w:fldCharType="end"/>
    </w:r>
  </w:p>
  <w:p w:rsidR="006B53C6" w:rsidRDefault="006B53C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864"/>
    <w:rsid w:val="00001C65"/>
    <w:rsid w:val="0000234F"/>
    <w:rsid w:val="00002D0D"/>
    <w:rsid w:val="00006A2A"/>
    <w:rsid w:val="00006F6A"/>
    <w:rsid w:val="000117EB"/>
    <w:rsid w:val="00013348"/>
    <w:rsid w:val="0001519B"/>
    <w:rsid w:val="000172F0"/>
    <w:rsid w:val="00020407"/>
    <w:rsid w:val="00021D6F"/>
    <w:rsid w:val="000239CD"/>
    <w:rsid w:val="000248C5"/>
    <w:rsid w:val="0002539C"/>
    <w:rsid w:val="00025C9E"/>
    <w:rsid w:val="000323B7"/>
    <w:rsid w:val="00032F54"/>
    <w:rsid w:val="000334D5"/>
    <w:rsid w:val="00033FA5"/>
    <w:rsid w:val="000377F6"/>
    <w:rsid w:val="00041206"/>
    <w:rsid w:val="000419CD"/>
    <w:rsid w:val="000420E9"/>
    <w:rsid w:val="00042249"/>
    <w:rsid w:val="00046FA3"/>
    <w:rsid w:val="0004706F"/>
    <w:rsid w:val="00047798"/>
    <w:rsid w:val="0005109F"/>
    <w:rsid w:val="00051771"/>
    <w:rsid w:val="000529E5"/>
    <w:rsid w:val="000540BD"/>
    <w:rsid w:val="000551CB"/>
    <w:rsid w:val="000555AB"/>
    <w:rsid w:val="0005580B"/>
    <w:rsid w:val="000572C7"/>
    <w:rsid w:val="000633F4"/>
    <w:rsid w:val="00063F73"/>
    <w:rsid w:val="000648CE"/>
    <w:rsid w:val="00066254"/>
    <w:rsid w:val="00066BEF"/>
    <w:rsid w:val="000671BF"/>
    <w:rsid w:val="00070B24"/>
    <w:rsid w:val="000728C4"/>
    <w:rsid w:val="00072BF8"/>
    <w:rsid w:val="00073C0B"/>
    <w:rsid w:val="000801C9"/>
    <w:rsid w:val="00082EBF"/>
    <w:rsid w:val="00084824"/>
    <w:rsid w:val="00086724"/>
    <w:rsid w:val="00087A26"/>
    <w:rsid w:val="000904FD"/>
    <w:rsid w:val="0009122C"/>
    <w:rsid w:val="00095753"/>
    <w:rsid w:val="00095A52"/>
    <w:rsid w:val="000964D2"/>
    <w:rsid w:val="000A5429"/>
    <w:rsid w:val="000B0488"/>
    <w:rsid w:val="000B0901"/>
    <w:rsid w:val="000B0BDB"/>
    <w:rsid w:val="000B12B0"/>
    <w:rsid w:val="000B15EB"/>
    <w:rsid w:val="000B1AEF"/>
    <w:rsid w:val="000B1FC4"/>
    <w:rsid w:val="000C0C30"/>
    <w:rsid w:val="000C18B3"/>
    <w:rsid w:val="000C3C16"/>
    <w:rsid w:val="000C3C9A"/>
    <w:rsid w:val="000C5B3D"/>
    <w:rsid w:val="000D064D"/>
    <w:rsid w:val="000D219C"/>
    <w:rsid w:val="000D586D"/>
    <w:rsid w:val="000D621C"/>
    <w:rsid w:val="000E4B48"/>
    <w:rsid w:val="000E570A"/>
    <w:rsid w:val="000E720E"/>
    <w:rsid w:val="000E727B"/>
    <w:rsid w:val="000E7393"/>
    <w:rsid w:val="0010063D"/>
    <w:rsid w:val="001027B7"/>
    <w:rsid w:val="00103D7E"/>
    <w:rsid w:val="00107514"/>
    <w:rsid w:val="00110F6A"/>
    <w:rsid w:val="00111833"/>
    <w:rsid w:val="00111E36"/>
    <w:rsid w:val="00111E93"/>
    <w:rsid w:val="00112B2D"/>
    <w:rsid w:val="0011687C"/>
    <w:rsid w:val="00116E15"/>
    <w:rsid w:val="001176B1"/>
    <w:rsid w:val="00120FFD"/>
    <w:rsid w:val="00124D5F"/>
    <w:rsid w:val="0013002E"/>
    <w:rsid w:val="0013064E"/>
    <w:rsid w:val="00130663"/>
    <w:rsid w:val="001312FE"/>
    <w:rsid w:val="0014104A"/>
    <w:rsid w:val="001410D4"/>
    <w:rsid w:val="00142A15"/>
    <w:rsid w:val="00145555"/>
    <w:rsid w:val="00145ED0"/>
    <w:rsid w:val="001462CB"/>
    <w:rsid w:val="00147419"/>
    <w:rsid w:val="00150319"/>
    <w:rsid w:val="001516B2"/>
    <w:rsid w:val="001537AA"/>
    <w:rsid w:val="00155F0E"/>
    <w:rsid w:val="001644DF"/>
    <w:rsid w:val="001650C2"/>
    <w:rsid w:val="00165C73"/>
    <w:rsid w:val="00170A8A"/>
    <w:rsid w:val="001729F4"/>
    <w:rsid w:val="0017527B"/>
    <w:rsid w:val="00175AAC"/>
    <w:rsid w:val="0018241B"/>
    <w:rsid w:val="00182D6D"/>
    <w:rsid w:val="00183E01"/>
    <w:rsid w:val="001852D2"/>
    <w:rsid w:val="001924CE"/>
    <w:rsid w:val="00193B5E"/>
    <w:rsid w:val="001947CA"/>
    <w:rsid w:val="001974B5"/>
    <w:rsid w:val="00197F89"/>
    <w:rsid w:val="001A04DA"/>
    <w:rsid w:val="001A2CEC"/>
    <w:rsid w:val="001A3C42"/>
    <w:rsid w:val="001A3DB1"/>
    <w:rsid w:val="001A4ECC"/>
    <w:rsid w:val="001A5DD1"/>
    <w:rsid w:val="001A7786"/>
    <w:rsid w:val="001B0882"/>
    <w:rsid w:val="001B1EA8"/>
    <w:rsid w:val="001B282B"/>
    <w:rsid w:val="001B3233"/>
    <w:rsid w:val="001B6737"/>
    <w:rsid w:val="001B6B96"/>
    <w:rsid w:val="001B7318"/>
    <w:rsid w:val="001B7DF4"/>
    <w:rsid w:val="001C0641"/>
    <w:rsid w:val="001C0B17"/>
    <w:rsid w:val="001C0F53"/>
    <w:rsid w:val="001C2256"/>
    <w:rsid w:val="001C49A6"/>
    <w:rsid w:val="001C56A1"/>
    <w:rsid w:val="001C5EA0"/>
    <w:rsid w:val="001C7FF7"/>
    <w:rsid w:val="001D0AC5"/>
    <w:rsid w:val="001D3BCD"/>
    <w:rsid w:val="001D4890"/>
    <w:rsid w:val="001D4FBF"/>
    <w:rsid w:val="001E1F00"/>
    <w:rsid w:val="001E1FA4"/>
    <w:rsid w:val="001F0A65"/>
    <w:rsid w:val="001F470A"/>
    <w:rsid w:val="001F4CD1"/>
    <w:rsid w:val="001F74AA"/>
    <w:rsid w:val="002021B4"/>
    <w:rsid w:val="00203610"/>
    <w:rsid w:val="00205BFE"/>
    <w:rsid w:val="00205CEB"/>
    <w:rsid w:val="00211093"/>
    <w:rsid w:val="00211B45"/>
    <w:rsid w:val="0021246A"/>
    <w:rsid w:val="00212FEC"/>
    <w:rsid w:val="00214566"/>
    <w:rsid w:val="002149A0"/>
    <w:rsid w:val="00216B3A"/>
    <w:rsid w:val="00220C45"/>
    <w:rsid w:val="002235DC"/>
    <w:rsid w:val="00224AD0"/>
    <w:rsid w:val="00225DD4"/>
    <w:rsid w:val="00226E41"/>
    <w:rsid w:val="002301D1"/>
    <w:rsid w:val="0023182C"/>
    <w:rsid w:val="00232E6B"/>
    <w:rsid w:val="002336E0"/>
    <w:rsid w:val="002367A7"/>
    <w:rsid w:val="00243A26"/>
    <w:rsid w:val="00247239"/>
    <w:rsid w:val="00250C4A"/>
    <w:rsid w:val="002536A6"/>
    <w:rsid w:val="00254775"/>
    <w:rsid w:val="00254DF7"/>
    <w:rsid w:val="002552C8"/>
    <w:rsid w:val="00255D04"/>
    <w:rsid w:val="00256FA2"/>
    <w:rsid w:val="002572EC"/>
    <w:rsid w:val="00261C8A"/>
    <w:rsid w:val="0026353A"/>
    <w:rsid w:val="00264300"/>
    <w:rsid w:val="00264723"/>
    <w:rsid w:val="002651D6"/>
    <w:rsid w:val="00265E4B"/>
    <w:rsid w:val="00266933"/>
    <w:rsid w:val="00267212"/>
    <w:rsid w:val="002673D4"/>
    <w:rsid w:val="00267A1E"/>
    <w:rsid w:val="00273C4B"/>
    <w:rsid w:val="002751BB"/>
    <w:rsid w:val="00275C93"/>
    <w:rsid w:val="00276AB7"/>
    <w:rsid w:val="00277A3E"/>
    <w:rsid w:val="00285F9C"/>
    <w:rsid w:val="00287BD2"/>
    <w:rsid w:val="002952BE"/>
    <w:rsid w:val="0029542C"/>
    <w:rsid w:val="00296933"/>
    <w:rsid w:val="002A1064"/>
    <w:rsid w:val="002A1822"/>
    <w:rsid w:val="002A4ADF"/>
    <w:rsid w:val="002A4CBA"/>
    <w:rsid w:val="002A6533"/>
    <w:rsid w:val="002B192B"/>
    <w:rsid w:val="002B2221"/>
    <w:rsid w:val="002B5372"/>
    <w:rsid w:val="002B582C"/>
    <w:rsid w:val="002B6216"/>
    <w:rsid w:val="002B6907"/>
    <w:rsid w:val="002B7923"/>
    <w:rsid w:val="002C0DC3"/>
    <w:rsid w:val="002C17A4"/>
    <w:rsid w:val="002C2771"/>
    <w:rsid w:val="002C4351"/>
    <w:rsid w:val="002C50F5"/>
    <w:rsid w:val="002C5C2B"/>
    <w:rsid w:val="002C60D0"/>
    <w:rsid w:val="002C6344"/>
    <w:rsid w:val="002D1C10"/>
    <w:rsid w:val="002D2B6D"/>
    <w:rsid w:val="002D3E51"/>
    <w:rsid w:val="002D4983"/>
    <w:rsid w:val="002D58AF"/>
    <w:rsid w:val="002D5909"/>
    <w:rsid w:val="002D6F8B"/>
    <w:rsid w:val="002E055E"/>
    <w:rsid w:val="002E4F1B"/>
    <w:rsid w:val="002E6151"/>
    <w:rsid w:val="002E7AFA"/>
    <w:rsid w:val="002F0E9B"/>
    <w:rsid w:val="002F32C7"/>
    <w:rsid w:val="002F3F4F"/>
    <w:rsid w:val="002F546F"/>
    <w:rsid w:val="002F5FDC"/>
    <w:rsid w:val="003008D0"/>
    <w:rsid w:val="00300CAE"/>
    <w:rsid w:val="00303637"/>
    <w:rsid w:val="00304183"/>
    <w:rsid w:val="00312214"/>
    <w:rsid w:val="003156B0"/>
    <w:rsid w:val="00315F87"/>
    <w:rsid w:val="00316B46"/>
    <w:rsid w:val="003177E1"/>
    <w:rsid w:val="003200F6"/>
    <w:rsid w:val="00321716"/>
    <w:rsid w:val="00324F0C"/>
    <w:rsid w:val="0033004C"/>
    <w:rsid w:val="00330A65"/>
    <w:rsid w:val="003311F3"/>
    <w:rsid w:val="0033209F"/>
    <w:rsid w:val="00332BBE"/>
    <w:rsid w:val="00337507"/>
    <w:rsid w:val="003377C6"/>
    <w:rsid w:val="00341A65"/>
    <w:rsid w:val="00342006"/>
    <w:rsid w:val="00343BE5"/>
    <w:rsid w:val="00344230"/>
    <w:rsid w:val="00345BFB"/>
    <w:rsid w:val="00345EFB"/>
    <w:rsid w:val="00347329"/>
    <w:rsid w:val="00350102"/>
    <w:rsid w:val="00352257"/>
    <w:rsid w:val="00352736"/>
    <w:rsid w:val="00354ABB"/>
    <w:rsid w:val="0035677E"/>
    <w:rsid w:val="0035691B"/>
    <w:rsid w:val="00356B39"/>
    <w:rsid w:val="00356C9B"/>
    <w:rsid w:val="00357ACA"/>
    <w:rsid w:val="003607DF"/>
    <w:rsid w:val="00360FD1"/>
    <w:rsid w:val="0036155B"/>
    <w:rsid w:val="00361EDB"/>
    <w:rsid w:val="00362375"/>
    <w:rsid w:val="00363302"/>
    <w:rsid w:val="00363A1F"/>
    <w:rsid w:val="00363E79"/>
    <w:rsid w:val="00371993"/>
    <w:rsid w:val="003768F4"/>
    <w:rsid w:val="003808C8"/>
    <w:rsid w:val="00380E50"/>
    <w:rsid w:val="00382B25"/>
    <w:rsid w:val="00382FAE"/>
    <w:rsid w:val="00385B98"/>
    <w:rsid w:val="00387AD0"/>
    <w:rsid w:val="00387B0D"/>
    <w:rsid w:val="003930E1"/>
    <w:rsid w:val="0039328A"/>
    <w:rsid w:val="0039372A"/>
    <w:rsid w:val="00396BFC"/>
    <w:rsid w:val="00397C5E"/>
    <w:rsid w:val="003A0F75"/>
    <w:rsid w:val="003A1B80"/>
    <w:rsid w:val="003A4977"/>
    <w:rsid w:val="003A5441"/>
    <w:rsid w:val="003A6820"/>
    <w:rsid w:val="003A77D9"/>
    <w:rsid w:val="003A793A"/>
    <w:rsid w:val="003B1126"/>
    <w:rsid w:val="003B391D"/>
    <w:rsid w:val="003B3CF2"/>
    <w:rsid w:val="003B6F7B"/>
    <w:rsid w:val="003B7632"/>
    <w:rsid w:val="003C05AA"/>
    <w:rsid w:val="003C0DAA"/>
    <w:rsid w:val="003C0EDD"/>
    <w:rsid w:val="003C1ADE"/>
    <w:rsid w:val="003C23B8"/>
    <w:rsid w:val="003C6A49"/>
    <w:rsid w:val="003C6B89"/>
    <w:rsid w:val="003C7656"/>
    <w:rsid w:val="003D0C9B"/>
    <w:rsid w:val="003D13C7"/>
    <w:rsid w:val="003D6FA5"/>
    <w:rsid w:val="003D71D0"/>
    <w:rsid w:val="003D761B"/>
    <w:rsid w:val="003D78F1"/>
    <w:rsid w:val="003D79D4"/>
    <w:rsid w:val="003E3F6E"/>
    <w:rsid w:val="003E5801"/>
    <w:rsid w:val="003E7B46"/>
    <w:rsid w:val="003F4FB0"/>
    <w:rsid w:val="003F63DF"/>
    <w:rsid w:val="003F6E1C"/>
    <w:rsid w:val="0040087C"/>
    <w:rsid w:val="004039FD"/>
    <w:rsid w:val="00404976"/>
    <w:rsid w:val="00405B1E"/>
    <w:rsid w:val="004068B8"/>
    <w:rsid w:val="00406E8E"/>
    <w:rsid w:val="004102CF"/>
    <w:rsid w:val="00412E46"/>
    <w:rsid w:val="00416C9F"/>
    <w:rsid w:val="00417A35"/>
    <w:rsid w:val="00422352"/>
    <w:rsid w:val="00425605"/>
    <w:rsid w:val="00426034"/>
    <w:rsid w:val="004267DF"/>
    <w:rsid w:val="00427E5E"/>
    <w:rsid w:val="00430B70"/>
    <w:rsid w:val="00431423"/>
    <w:rsid w:val="00434457"/>
    <w:rsid w:val="00436216"/>
    <w:rsid w:val="00440436"/>
    <w:rsid w:val="00441E76"/>
    <w:rsid w:val="0044319C"/>
    <w:rsid w:val="00445A09"/>
    <w:rsid w:val="0045017E"/>
    <w:rsid w:val="00451795"/>
    <w:rsid w:val="00451841"/>
    <w:rsid w:val="0045297D"/>
    <w:rsid w:val="00453947"/>
    <w:rsid w:val="00455140"/>
    <w:rsid w:val="004567CF"/>
    <w:rsid w:val="00457525"/>
    <w:rsid w:val="004576DF"/>
    <w:rsid w:val="00462CF7"/>
    <w:rsid w:val="004679CD"/>
    <w:rsid w:val="00470426"/>
    <w:rsid w:val="00470A07"/>
    <w:rsid w:val="00474B81"/>
    <w:rsid w:val="00475B11"/>
    <w:rsid w:val="0047760C"/>
    <w:rsid w:val="004778BC"/>
    <w:rsid w:val="00482310"/>
    <w:rsid w:val="004829DF"/>
    <w:rsid w:val="004838D9"/>
    <w:rsid w:val="004859DA"/>
    <w:rsid w:val="00490446"/>
    <w:rsid w:val="004906C0"/>
    <w:rsid w:val="00491360"/>
    <w:rsid w:val="00496DCD"/>
    <w:rsid w:val="00497C38"/>
    <w:rsid w:val="00497FDD"/>
    <w:rsid w:val="004A00B7"/>
    <w:rsid w:val="004A03F0"/>
    <w:rsid w:val="004A73D0"/>
    <w:rsid w:val="004A7D2D"/>
    <w:rsid w:val="004B1265"/>
    <w:rsid w:val="004B144F"/>
    <w:rsid w:val="004B1E65"/>
    <w:rsid w:val="004B235A"/>
    <w:rsid w:val="004B2991"/>
    <w:rsid w:val="004B2D9D"/>
    <w:rsid w:val="004B3B14"/>
    <w:rsid w:val="004B42D7"/>
    <w:rsid w:val="004B4D9F"/>
    <w:rsid w:val="004B5CE6"/>
    <w:rsid w:val="004B64BD"/>
    <w:rsid w:val="004B6A4A"/>
    <w:rsid w:val="004C01EB"/>
    <w:rsid w:val="004C1525"/>
    <w:rsid w:val="004C2466"/>
    <w:rsid w:val="004C501C"/>
    <w:rsid w:val="004C5C1B"/>
    <w:rsid w:val="004D0E71"/>
    <w:rsid w:val="004D2346"/>
    <w:rsid w:val="004D3208"/>
    <w:rsid w:val="004D3AD8"/>
    <w:rsid w:val="004D4710"/>
    <w:rsid w:val="004D6E5D"/>
    <w:rsid w:val="004D7DBC"/>
    <w:rsid w:val="004E0047"/>
    <w:rsid w:val="004E3335"/>
    <w:rsid w:val="004E37F3"/>
    <w:rsid w:val="004E40BF"/>
    <w:rsid w:val="004F111B"/>
    <w:rsid w:val="004F1DDC"/>
    <w:rsid w:val="004F2DAA"/>
    <w:rsid w:val="004F2DBB"/>
    <w:rsid w:val="004F2ED1"/>
    <w:rsid w:val="004F48B0"/>
    <w:rsid w:val="004F5B12"/>
    <w:rsid w:val="004F6A0C"/>
    <w:rsid w:val="004F71CF"/>
    <w:rsid w:val="004F7688"/>
    <w:rsid w:val="004F7B12"/>
    <w:rsid w:val="00500C63"/>
    <w:rsid w:val="0050228B"/>
    <w:rsid w:val="0050345E"/>
    <w:rsid w:val="005042B7"/>
    <w:rsid w:val="0050557B"/>
    <w:rsid w:val="00505878"/>
    <w:rsid w:val="005064BF"/>
    <w:rsid w:val="005110DC"/>
    <w:rsid w:val="0051531B"/>
    <w:rsid w:val="00515A5A"/>
    <w:rsid w:val="00515B9A"/>
    <w:rsid w:val="00516A72"/>
    <w:rsid w:val="00521842"/>
    <w:rsid w:val="005222F5"/>
    <w:rsid w:val="0052447D"/>
    <w:rsid w:val="00525020"/>
    <w:rsid w:val="005263E2"/>
    <w:rsid w:val="00527714"/>
    <w:rsid w:val="0052782F"/>
    <w:rsid w:val="00527A3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663"/>
    <w:rsid w:val="00546001"/>
    <w:rsid w:val="00546A74"/>
    <w:rsid w:val="005475EE"/>
    <w:rsid w:val="00551A85"/>
    <w:rsid w:val="00551F0C"/>
    <w:rsid w:val="0055243F"/>
    <w:rsid w:val="005530A2"/>
    <w:rsid w:val="00553C55"/>
    <w:rsid w:val="00554C62"/>
    <w:rsid w:val="0055520C"/>
    <w:rsid w:val="005568CF"/>
    <w:rsid w:val="00557E03"/>
    <w:rsid w:val="00561304"/>
    <w:rsid w:val="005615E5"/>
    <w:rsid w:val="0056314B"/>
    <w:rsid w:val="00565ED2"/>
    <w:rsid w:val="0056680E"/>
    <w:rsid w:val="00567B4A"/>
    <w:rsid w:val="00567C56"/>
    <w:rsid w:val="00570134"/>
    <w:rsid w:val="005706DF"/>
    <w:rsid w:val="00571F56"/>
    <w:rsid w:val="00574B78"/>
    <w:rsid w:val="00574C35"/>
    <w:rsid w:val="00576D99"/>
    <w:rsid w:val="0057709F"/>
    <w:rsid w:val="0058089B"/>
    <w:rsid w:val="0058225C"/>
    <w:rsid w:val="00582DE6"/>
    <w:rsid w:val="005837AA"/>
    <w:rsid w:val="0058582C"/>
    <w:rsid w:val="005861F1"/>
    <w:rsid w:val="00587BAA"/>
    <w:rsid w:val="0059234F"/>
    <w:rsid w:val="00592B0B"/>
    <w:rsid w:val="00593F09"/>
    <w:rsid w:val="00594066"/>
    <w:rsid w:val="0059444B"/>
    <w:rsid w:val="005948AC"/>
    <w:rsid w:val="00595384"/>
    <w:rsid w:val="00595E73"/>
    <w:rsid w:val="00596673"/>
    <w:rsid w:val="00597320"/>
    <w:rsid w:val="005A329E"/>
    <w:rsid w:val="005A34D9"/>
    <w:rsid w:val="005A3CD2"/>
    <w:rsid w:val="005A4CB2"/>
    <w:rsid w:val="005A7DEA"/>
    <w:rsid w:val="005B0557"/>
    <w:rsid w:val="005B14EB"/>
    <w:rsid w:val="005B3CEB"/>
    <w:rsid w:val="005B4E9B"/>
    <w:rsid w:val="005B6254"/>
    <w:rsid w:val="005B68D2"/>
    <w:rsid w:val="005B7833"/>
    <w:rsid w:val="005B789D"/>
    <w:rsid w:val="005C1C2C"/>
    <w:rsid w:val="005C24D8"/>
    <w:rsid w:val="005C5FE6"/>
    <w:rsid w:val="005D362D"/>
    <w:rsid w:val="005D485E"/>
    <w:rsid w:val="005D5E17"/>
    <w:rsid w:val="005D5F5B"/>
    <w:rsid w:val="005D6AD4"/>
    <w:rsid w:val="005D6C7B"/>
    <w:rsid w:val="005E1AAD"/>
    <w:rsid w:val="005E26D1"/>
    <w:rsid w:val="005E2AD9"/>
    <w:rsid w:val="005E2BE4"/>
    <w:rsid w:val="005E329C"/>
    <w:rsid w:val="005E61C0"/>
    <w:rsid w:val="005E6887"/>
    <w:rsid w:val="005F0268"/>
    <w:rsid w:val="005F6993"/>
    <w:rsid w:val="005F70CF"/>
    <w:rsid w:val="0060110F"/>
    <w:rsid w:val="006014FD"/>
    <w:rsid w:val="00601549"/>
    <w:rsid w:val="00603651"/>
    <w:rsid w:val="00605523"/>
    <w:rsid w:val="00607530"/>
    <w:rsid w:val="006076E7"/>
    <w:rsid w:val="006078A3"/>
    <w:rsid w:val="00607CCD"/>
    <w:rsid w:val="00610ED0"/>
    <w:rsid w:val="00614A18"/>
    <w:rsid w:val="00616D9B"/>
    <w:rsid w:val="00621018"/>
    <w:rsid w:val="0062132D"/>
    <w:rsid w:val="006236B8"/>
    <w:rsid w:val="006260F1"/>
    <w:rsid w:val="00630D50"/>
    <w:rsid w:val="00632BEC"/>
    <w:rsid w:val="00632E8F"/>
    <w:rsid w:val="0063538B"/>
    <w:rsid w:val="006365DB"/>
    <w:rsid w:val="00636C53"/>
    <w:rsid w:val="00636E81"/>
    <w:rsid w:val="00637E39"/>
    <w:rsid w:val="00640894"/>
    <w:rsid w:val="00641AF0"/>
    <w:rsid w:val="00642632"/>
    <w:rsid w:val="0064306E"/>
    <w:rsid w:val="006433A0"/>
    <w:rsid w:val="00643F46"/>
    <w:rsid w:val="006446BC"/>
    <w:rsid w:val="00645943"/>
    <w:rsid w:val="00647667"/>
    <w:rsid w:val="00650735"/>
    <w:rsid w:val="006507BC"/>
    <w:rsid w:val="00651426"/>
    <w:rsid w:val="006523A9"/>
    <w:rsid w:val="00654040"/>
    <w:rsid w:val="00655D55"/>
    <w:rsid w:val="00657B62"/>
    <w:rsid w:val="00660690"/>
    <w:rsid w:val="006612CC"/>
    <w:rsid w:val="006638E2"/>
    <w:rsid w:val="006662A2"/>
    <w:rsid w:val="0066762B"/>
    <w:rsid w:val="00670464"/>
    <w:rsid w:val="006729F6"/>
    <w:rsid w:val="00675351"/>
    <w:rsid w:val="00675B6D"/>
    <w:rsid w:val="006765FA"/>
    <w:rsid w:val="006766B0"/>
    <w:rsid w:val="00677B51"/>
    <w:rsid w:val="00682564"/>
    <w:rsid w:val="00683B08"/>
    <w:rsid w:val="00683C55"/>
    <w:rsid w:val="00683CBD"/>
    <w:rsid w:val="006862FF"/>
    <w:rsid w:val="00694F2D"/>
    <w:rsid w:val="00695B8E"/>
    <w:rsid w:val="00695D98"/>
    <w:rsid w:val="00696282"/>
    <w:rsid w:val="006A16A3"/>
    <w:rsid w:val="006A22C0"/>
    <w:rsid w:val="006A338D"/>
    <w:rsid w:val="006A3682"/>
    <w:rsid w:val="006A3B69"/>
    <w:rsid w:val="006A3F3D"/>
    <w:rsid w:val="006A482F"/>
    <w:rsid w:val="006A4B9B"/>
    <w:rsid w:val="006A6121"/>
    <w:rsid w:val="006A76F3"/>
    <w:rsid w:val="006B22EC"/>
    <w:rsid w:val="006B26B3"/>
    <w:rsid w:val="006B2AF1"/>
    <w:rsid w:val="006B3597"/>
    <w:rsid w:val="006B390D"/>
    <w:rsid w:val="006B3C47"/>
    <w:rsid w:val="006B53C6"/>
    <w:rsid w:val="006B78EA"/>
    <w:rsid w:val="006B79EE"/>
    <w:rsid w:val="006C132B"/>
    <w:rsid w:val="006C7307"/>
    <w:rsid w:val="006C7542"/>
    <w:rsid w:val="006C7687"/>
    <w:rsid w:val="006D340B"/>
    <w:rsid w:val="006D65B3"/>
    <w:rsid w:val="006D77C4"/>
    <w:rsid w:val="006D7D59"/>
    <w:rsid w:val="006E25EA"/>
    <w:rsid w:val="006E4A29"/>
    <w:rsid w:val="006F0B79"/>
    <w:rsid w:val="006F1BDF"/>
    <w:rsid w:val="006F224C"/>
    <w:rsid w:val="006F7A58"/>
    <w:rsid w:val="007028D2"/>
    <w:rsid w:val="00702F83"/>
    <w:rsid w:val="0070321A"/>
    <w:rsid w:val="00704A12"/>
    <w:rsid w:val="00704B60"/>
    <w:rsid w:val="0070614A"/>
    <w:rsid w:val="00710B21"/>
    <w:rsid w:val="0071310C"/>
    <w:rsid w:val="00714CA4"/>
    <w:rsid w:val="00714CAA"/>
    <w:rsid w:val="007152BE"/>
    <w:rsid w:val="0071586E"/>
    <w:rsid w:val="00715D8A"/>
    <w:rsid w:val="007167B6"/>
    <w:rsid w:val="0072085A"/>
    <w:rsid w:val="00721215"/>
    <w:rsid w:val="00721BAE"/>
    <w:rsid w:val="00723428"/>
    <w:rsid w:val="00727BB7"/>
    <w:rsid w:val="00730C3C"/>
    <w:rsid w:val="007310D0"/>
    <w:rsid w:val="007316BF"/>
    <w:rsid w:val="0073197D"/>
    <w:rsid w:val="0073595B"/>
    <w:rsid w:val="00736496"/>
    <w:rsid w:val="007404EF"/>
    <w:rsid w:val="00741DEC"/>
    <w:rsid w:val="007428FC"/>
    <w:rsid w:val="00742F35"/>
    <w:rsid w:val="00742FF4"/>
    <w:rsid w:val="00744A8C"/>
    <w:rsid w:val="0074524B"/>
    <w:rsid w:val="00745D9B"/>
    <w:rsid w:val="00745E51"/>
    <w:rsid w:val="007464C3"/>
    <w:rsid w:val="007467CA"/>
    <w:rsid w:val="0075253C"/>
    <w:rsid w:val="00753949"/>
    <w:rsid w:val="00753EFF"/>
    <w:rsid w:val="00754B3D"/>
    <w:rsid w:val="007555B6"/>
    <w:rsid w:val="00760005"/>
    <w:rsid w:val="00760324"/>
    <w:rsid w:val="007615B8"/>
    <w:rsid w:val="00761D3B"/>
    <w:rsid w:val="00761DE2"/>
    <w:rsid w:val="00761F5B"/>
    <w:rsid w:val="00763043"/>
    <w:rsid w:val="007659A7"/>
    <w:rsid w:val="007663D5"/>
    <w:rsid w:val="00767662"/>
    <w:rsid w:val="00774BE9"/>
    <w:rsid w:val="00782C8C"/>
    <w:rsid w:val="00783C05"/>
    <w:rsid w:val="0078640C"/>
    <w:rsid w:val="00791394"/>
    <w:rsid w:val="007923B0"/>
    <w:rsid w:val="00794947"/>
    <w:rsid w:val="00795B68"/>
    <w:rsid w:val="00795F88"/>
    <w:rsid w:val="007960EA"/>
    <w:rsid w:val="00796FCC"/>
    <w:rsid w:val="007977DA"/>
    <w:rsid w:val="00797EE1"/>
    <w:rsid w:val="007A073F"/>
    <w:rsid w:val="007A1808"/>
    <w:rsid w:val="007A371C"/>
    <w:rsid w:val="007A5646"/>
    <w:rsid w:val="007B39C5"/>
    <w:rsid w:val="007B44C4"/>
    <w:rsid w:val="007B47B4"/>
    <w:rsid w:val="007B4E89"/>
    <w:rsid w:val="007B5A34"/>
    <w:rsid w:val="007C044B"/>
    <w:rsid w:val="007C2E17"/>
    <w:rsid w:val="007C3601"/>
    <w:rsid w:val="007C5D95"/>
    <w:rsid w:val="007C62E2"/>
    <w:rsid w:val="007D1D77"/>
    <w:rsid w:val="007D206C"/>
    <w:rsid w:val="007D5A40"/>
    <w:rsid w:val="007D6984"/>
    <w:rsid w:val="007D788F"/>
    <w:rsid w:val="007E10A2"/>
    <w:rsid w:val="007E168A"/>
    <w:rsid w:val="007E3086"/>
    <w:rsid w:val="007E56E8"/>
    <w:rsid w:val="007E7AC2"/>
    <w:rsid w:val="007F1A2C"/>
    <w:rsid w:val="007F2C47"/>
    <w:rsid w:val="007F2F7F"/>
    <w:rsid w:val="007F341B"/>
    <w:rsid w:val="007F42CB"/>
    <w:rsid w:val="007F4C16"/>
    <w:rsid w:val="008044FE"/>
    <w:rsid w:val="008057A5"/>
    <w:rsid w:val="00807E03"/>
    <w:rsid w:val="00810B28"/>
    <w:rsid w:val="00810E42"/>
    <w:rsid w:val="008122D3"/>
    <w:rsid w:val="00812A4C"/>
    <w:rsid w:val="00813CFE"/>
    <w:rsid w:val="00817485"/>
    <w:rsid w:val="00823382"/>
    <w:rsid w:val="008238E8"/>
    <w:rsid w:val="0082427D"/>
    <w:rsid w:val="00824545"/>
    <w:rsid w:val="00824B28"/>
    <w:rsid w:val="00827044"/>
    <w:rsid w:val="008276E4"/>
    <w:rsid w:val="00827AE4"/>
    <w:rsid w:val="00832018"/>
    <w:rsid w:val="00832299"/>
    <w:rsid w:val="00832698"/>
    <w:rsid w:val="008329D9"/>
    <w:rsid w:val="00837DEF"/>
    <w:rsid w:val="00840B98"/>
    <w:rsid w:val="008423DC"/>
    <w:rsid w:val="00843ACB"/>
    <w:rsid w:val="00843B66"/>
    <w:rsid w:val="00843C7C"/>
    <w:rsid w:val="00844D0D"/>
    <w:rsid w:val="00846C75"/>
    <w:rsid w:val="008472A0"/>
    <w:rsid w:val="008508FA"/>
    <w:rsid w:val="00864102"/>
    <w:rsid w:val="008645A7"/>
    <w:rsid w:val="00865B1D"/>
    <w:rsid w:val="00866199"/>
    <w:rsid w:val="00870429"/>
    <w:rsid w:val="00871EB2"/>
    <w:rsid w:val="0087279C"/>
    <w:rsid w:val="008745E3"/>
    <w:rsid w:val="00876F1B"/>
    <w:rsid w:val="00877E77"/>
    <w:rsid w:val="008807BC"/>
    <w:rsid w:val="008817AA"/>
    <w:rsid w:val="008842CB"/>
    <w:rsid w:val="00886031"/>
    <w:rsid w:val="0088610F"/>
    <w:rsid w:val="008871CD"/>
    <w:rsid w:val="0089075D"/>
    <w:rsid w:val="008922F8"/>
    <w:rsid w:val="0089377C"/>
    <w:rsid w:val="0089728C"/>
    <w:rsid w:val="008A00BB"/>
    <w:rsid w:val="008A0822"/>
    <w:rsid w:val="008A19E5"/>
    <w:rsid w:val="008A2040"/>
    <w:rsid w:val="008A2243"/>
    <w:rsid w:val="008A4CF2"/>
    <w:rsid w:val="008A53B2"/>
    <w:rsid w:val="008A5E1D"/>
    <w:rsid w:val="008A7058"/>
    <w:rsid w:val="008B0960"/>
    <w:rsid w:val="008B0ADA"/>
    <w:rsid w:val="008B1F59"/>
    <w:rsid w:val="008B21C9"/>
    <w:rsid w:val="008B506C"/>
    <w:rsid w:val="008C1D36"/>
    <w:rsid w:val="008C3723"/>
    <w:rsid w:val="008C4B90"/>
    <w:rsid w:val="008C69F5"/>
    <w:rsid w:val="008C7CDF"/>
    <w:rsid w:val="008D0DD3"/>
    <w:rsid w:val="008D2991"/>
    <w:rsid w:val="008D2F98"/>
    <w:rsid w:val="008D392C"/>
    <w:rsid w:val="008D3DE8"/>
    <w:rsid w:val="008D5E15"/>
    <w:rsid w:val="008D65A7"/>
    <w:rsid w:val="008E2C50"/>
    <w:rsid w:val="008E3358"/>
    <w:rsid w:val="008E4FAC"/>
    <w:rsid w:val="008E5177"/>
    <w:rsid w:val="008E6C86"/>
    <w:rsid w:val="008F49D1"/>
    <w:rsid w:val="008F4AA5"/>
    <w:rsid w:val="008F55D4"/>
    <w:rsid w:val="008F5737"/>
    <w:rsid w:val="009014D5"/>
    <w:rsid w:val="00901F3C"/>
    <w:rsid w:val="00903C86"/>
    <w:rsid w:val="00907312"/>
    <w:rsid w:val="0091365F"/>
    <w:rsid w:val="0092095E"/>
    <w:rsid w:val="00923ADF"/>
    <w:rsid w:val="00923E6F"/>
    <w:rsid w:val="0092561E"/>
    <w:rsid w:val="00926A4D"/>
    <w:rsid w:val="00926CB2"/>
    <w:rsid w:val="00926E64"/>
    <w:rsid w:val="00931111"/>
    <w:rsid w:val="0093512F"/>
    <w:rsid w:val="00935BA5"/>
    <w:rsid w:val="0093618C"/>
    <w:rsid w:val="00936CEF"/>
    <w:rsid w:val="009370F5"/>
    <w:rsid w:val="0093730A"/>
    <w:rsid w:val="009402FD"/>
    <w:rsid w:val="00944376"/>
    <w:rsid w:val="00944748"/>
    <w:rsid w:val="009448A9"/>
    <w:rsid w:val="009455AE"/>
    <w:rsid w:val="009455BE"/>
    <w:rsid w:val="00945C0E"/>
    <w:rsid w:val="00947E0C"/>
    <w:rsid w:val="0095188A"/>
    <w:rsid w:val="00951E0B"/>
    <w:rsid w:val="00951EDA"/>
    <w:rsid w:val="00952A7B"/>
    <w:rsid w:val="00953586"/>
    <w:rsid w:val="0095791D"/>
    <w:rsid w:val="00957ECD"/>
    <w:rsid w:val="00960861"/>
    <w:rsid w:val="00964EB9"/>
    <w:rsid w:val="009705E3"/>
    <w:rsid w:val="00970AB0"/>
    <w:rsid w:val="00971E6B"/>
    <w:rsid w:val="009744F3"/>
    <w:rsid w:val="009760F0"/>
    <w:rsid w:val="009763EB"/>
    <w:rsid w:val="00977974"/>
    <w:rsid w:val="009810BA"/>
    <w:rsid w:val="009818F1"/>
    <w:rsid w:val="00982796"/>
    <w:rsid w:val="00984594"/>
    <w:rsid w:val="00985ABC"/>
    <w:rsid w:val="00985D14"/>
    <w:rsid w:val="00986191"/>
    <w:rsid w:val="0098718C"/>
    <w:rsid w:val="0099026C"/>
    <w:rsid w:val="00991873"/>
    <w:rsid w:val="0099294D"/>
    <w:rsid w:val="00993FA2"/>
    <w:rsid w:val="00995CD7"/>
    <w:rsid w:val="009A19FC"/>
    <w:rsid w:val="009A27D6"/>
    <w:rsid w:val="009A6F84"/>
    <w:rsid w:val="009A7793"/>
    <w:rsid w:val="009B233C"/>
    <w:rsid w:val="009B5CB0"/>
    <w:rsid w:val="009C0A14"/>
    <w:rsid w:val="009C0D8B"/>
    <w:rsid w:val="009C11CD"/>
    <w:rsid w:val="009C1574"/>
    <w:rsid w:val="009C24CB"/>
    <w:rsid w:val="009C2CF8"/>
    <w:rsid w:val="009C3449"/>
    <w:rsid w:val="009C5648"/>
    <w:rsid w:val="009C5F5F"/>
    <w:rsid w:val="009C6B71"/>
    <w:rsid w:val="009C7233"/>
    <w:rsid w:val="009D05C7"/>
    <w:rsid w:val="009D17FE"/>
    <w:rsid w:val="009D2473"/>
    <w:rsid w:val="009D2E6D"/>
    <w:rsid w:val="009D32D6"/>
    <w:rsid w:val="009D4CF8"/>
    <w:rsid w:val="009D519B"/>
    <w:rsid w:val="009D5777"/>
    <w:rsid w:val="009D5A8C"/>
    <w:rsid w:val="009D6A15"/>
    <w:rsid w:val="009E05BF"/>
    <w:rsid w:val="009E1359"/>
    <w:rsid w:val="009E2BB9"/>
    <w:rsid w:val="009E2BE1"/>
    <w:rsid w:val="009E6467"/>
    <w:rsid w:val="009F06C0"/>
    <w:rsid w:val="009F1789"/>
    <w:rsid w:val="009F25AD"/>
    <w:rsid w:val="009F3AFD"/>
    <w:rsid w:val="009F53C7"/>
    <w:rsid w:val="009F7B2E"/>
    <w:rsid w:val="00A0339B"/>
    <w:rsid w:val="00A03BDE"/>
    <w:rsid w:val="00A03BE8"/>
    <w:rsid w:val="00A03F97"/>
    <w:rsid w:val="00A0659B"/>
    <w:rsid w:val="00A07638"/>
    <w:rsid w:val="00A10CF6"/>
    <w:rsid w:val="00A10E54"/>
    <w:rsid w:val="00A14D06"/>
    <w:rsid w:val="00A20407"/>
    <w:rsid w:val="00A22C19"/>
    <w:rsid w:val="00A23345"/>
    <w:rsid w:val="00A243C5"/>
    <w:rsid w:val="00A2461B"/>
    <w:rsid w:val="00A254A6"/>
    <w:rsid w:val="00A25EE7"/>
    <w:rsid w:val="00A34011"/>
    <w:rsid w:val="00A36638"/>
    <w:rsid w:val="00A40573"/>
    <w:rsid w:val="00A40D0B"/>
    <w:rsid w:val="00A42161"/>
    <w:rsid w:val="00A43C68"/>
    <w:rsid w:val="00A4636C"/>
    <w:rsid w:val="00A47968"/>
    <w:rsid w:val="00A512C4"/>
    <w:rsid w:val="00A53C32"/>
    <w:rsid w:val="00A56B73"/>
    <w:rsid w:val="00A57079"/>
    <w:rsid w:val="00A627F9"/>
    <w:rsid w:val="00A66D52"/>
    <w:rsid w:val="00A66E49"/>
    <w:rsid w:val="00A717DF"/>
    <w:rsid w:val="00A7406C"/>
    <w:rsid w:val="00A75781"/>
    <w:rsid w:val="00A764E4"/>
    <w:rsid w:val="00A77006"/>
    <w:rsid w:val="00A77340"/>
    <w:rsid w:val="00A77CC1"/>
    <w:rsid w:val="00A80A35"/>
    <w:rsid w:val="00A80D42"/>
    <w:rsid w:val="00A825AC"/>
    <w:rsid w:val="00A829E9"/>
    <w:rsid w:val="00A84E70"/>
    <w:rsid w:val="00A85461"/>
    <w:rsid w:val="00A85E57"/>
    <w:rsid w:val="00A87682"/>
    <w:rsid w:val="00A905E2"/>
    <w:rsid w:val="00A955A4"/>
    <w:rsid w:val="00A96F28"/>
    <w:rsid w:val="00A973F6"/>
    <w:rsid w:val="00AA0926"/>
    <w:rsid w:val="00AA2A58"/>
    <w:rsid w:val="00AA3064"/>
    <w:rsid w:val="00AA435A"/>
    <w:rsid w:val="00AA5C4C"/>
    <w:rsid w:val="00AA7E30"/>
    <w:rsid w:val="00AB0F14"/>
    <w:rsid w:val="00AB666D"/>
    <w:rsid w:val="00AB7702"/>
    <w:rsid w:val="00AB798A"/>
    <w:rsid w:val="00AC03E0"/>
    <w:rsid w:val="00AC1D9B"/>
    <w:rsid w:val="00AC3F64"/>
    <w:rsid w:val="00AC6292"/>
    <w:rsid w:val="00AD3084"/>
    <w:rsid w:val="00AD3D22"/>
    <w:rsid w:val="00AD3EEE"/>
    <w:rsid w:val="00AD5A9A"/>
    <w:rsid w:val="00AD6279"/>
    <w:rsid w:val="00AD7A02"/>
    <w:rsid w:val="00AD7AD7"/>
    <w:rsid w:val="00AD7DB3"/>
    <w:rsid w:val="00AD7F33"/>
    <w:rsid w:val="00AE1D2E"/>
    <w:rsid w:val="00AE2D05"/>
    <w:rsid w:val="00AE404A"/>
    <w:rsid w:val="00AE5050"/>
    <w:rsid w:val="00AE7DDE"/>
    <w:rsid w:val="00AF18A4"/>
    <w:rsid w:val="00AF1912"/>
    <w:rsid w:val="00AF21BA"/>
    <w:rsid w:val="00AF35A2"/>
    <w:rsid w:val="00AF4186"/>
    <w:rsid w:val="00AF43A8"/>
    <w:rsid w:val="00AF43B5"/>
    <w:rsid w:val="00AF688E"/>
    <w:rsid w:val="00AF6C09"/>
    <w:rsid w:val="00AF6D16"/>
    <w:rsid w:val="00B00236"/>
    <w:rsid w:val="00B033E1"/>
    <w:rsid w:val="00B03C03"/>
    <w:rsid w:val="00B0644A"/>
    <w:rsid w:val="00B102C5"/>
    <w:rsid w:val="00B10F66"/>
    <w:rsid w:val="00B11058"/>
    <w:rsid w:val="00B11652"/>
    <w:rsid w:val="00B12A42"/>
    <w:rsid w:val="00B12EB1"/>
    <w:rsid w:val="00B1547F"/>
    <w:rsid w:val="00B20E5A"/>
    <w:rsid w:val="00B2120D"/>
    <w:rsid w:val="00B23F79"/>
    <w:rsid w:val="00B262FC"/>
    <w:rsid w:val="00B26442"/>
    <w:rsid w:val="00B27F08"/>
    <w:rsid w:val="00B31046"/>
    <w:rsid w:val="00B317A6"/>
    <w:rsid w:val="00B323A2"/>
    <w:rsid w:val="00B32815"/>
    <w:rsid w:val="00B335BF"/>
    <w:rsid w:val="00B34820"/>
    <w:rsid w:val="00B34EAF"/>
    <w:rsid w:val="00B352AC"/>
    <w:rsid w:val="00B37211"/>
    <w:rsid w:val="00B4134E"/>
    <w:rsid w:val="00B416D2"/>
    <w:rsid w:val="00B419FA"/>
    <w:rsid w:val="00B4227B"/>
    <w:rsid w:val="00B45911"/>
    <w:rsid w:val="00B50C22"/>
    <w:rsid w:val="00B51803"/>
    <w:rsid w:val="00B51BC4"/>
    <w:rsid w:val="00B52CED"/>
    <w:rsid w:val="00B53E99"/>
    <w:rsid w:val="00B5554F"/>
    <w:rsid w:val="00B567CF"/>
    <w:rsid w:val="00B57A6B"/>
    <w:rsid w:val="00B6054E"/>
    <w:rsid w:val="00B63032"/>
    <w:rsid w:val="00B6393E"/>
    <w:rsid w:val="00B63AF7"/>
    <w:rsid w:val="00B66CD0"/>
    <w:rsid w:val="00B74F7A"/>
    <w:rsid w:val="00B77516"/>
    <w:rsid w:val="00B80C86"/>
    <w:rsid w:val="00B81526"/>
    <w:rsid w:val="00B829E5"/>
    <w:rsid w:val="00B82E30"/>
    <w:rsid w:val="00B83010"/>
    <w:rsid w:val="00B83561"/>
    <w:rsid w:val="00B85655"/>
    <w:rsid w:val="00B86330"/>
    <w:rsid w:val="00B917CF"/>
    <w:rsid w:val="00B94A11"/>
    <w:rsid w:val="00B9515E"/>
    <w:rsid w:val="00B9627B"/>
    <w:rsid w:val="00B972AF"/>
    <w:rsid w:val="00BA1253"/>
    <w:rsid w:val="00BA1370"/>
    <w:rsid w:val="00BA46A3"/>
    <w:rsid w:val="00BA52CA"/>
    <w:rsid w:val="00BA7229"/>
    <w:rsid w:val="00BB1337"/>
    <w:rsid w:val="00BB5C81"/>
    <w:rsid w:val="00BC2552"/>
    <w:rsid w:val="00BC2BFD"/>
    <w:rsid w:val="00BC4134"/>
    <w:rsid w:val="00BC4A36"/>
    <w:rsid w:val="00BC6CC6"/>
    <w:rsid w:val="00BC7798"/>
    <w:rsid w:val="00BD048B"/>
    <w:rsid w:val="00BD1A98"/>
    <w:rsid w:val="00BD22FA"/>
    <w:rsid w:val="00BD377D"/>
    <w:rsid w:val="00BD599D"/>
    <w:rsid w:val="00BE1FE1"/>
    <w:rsid w:val="00BE608D"/>
    <w:rsid w:val="00BE69F5"/>
    <w:rsid w:val="00BE7831"/>
    <w:rsid w:val="00BF1BF7"/>
    <w:rsid w:val="00BF6174"/>
    <w:rsid w:val="00C01747"/>
    <w:rsid w:val="00C044FE"/>
    <w:rsid w:val="00C049D7"/>
    <w:rsid w:val="00C05750"/>
    <w:rsid w:val="00C076BC"/>
    <w:rsid w:val="00C10142"/>
    <w:rsid w:val="00C107A9"/>
    <w:rsid w:val="00C107F2"/>
    <w:rsid w:val="00C15630"/>
    <w:rsid w:val="00C16261"/>
    <w:rsid w:val="00C16CB4"/>
    <w:rsid w:val="00C172E6"/>
    <w:rsid w:val="00C21ADC"/>
    <w:rsid w:val="00C25959"/>
    <w:rsid w:val="00C25FD4"/>
    <w:rsid w:val="00C26D09"/>
    <w:rsid w:val="00C2710D"/>
    <w:rsid w:val="00C30E47"/>
    <w:rsid w:val="00C32D5F"/>
    <w:rsid w:val="00C33663"/>
    <w:rsid w:val="00C33BA3"/>
    <w:rsid w:val="00C34E2D"/>
    <w:rsid w:val="00C35507"/>
    <w:rsid w:val="00C362EE"/>
    <w:rsid w:val="00C3725C"/>
    <w:rsid w:val="00C37D4B"/>
    <w:rsid w:val="00C40341"/>
    <w:rsid w:val="00C46425"/>
    <w:rsid w:val="00C50D01"/>
    <w:rsid w:val="00C526DC"/>
    <w:rsid w:val="00C53E3F"/>
    <w:rsid w:val="00C54CC2"/>
    <w:rsid w:val="00C56A72"/>
    <w:rsid w:val="00C60763"/>
    <w:rsid w:val="00C63208"/>
    <w:rsid w:val="00C643C7"/>
    <w:rsid w:val="00C664D5"/>
    <w:rsid w:val="00C67E83"/>
    <w:rsid w:val="00C741D7"/>
    <w:rsid w:val="00C743CE"/>
    <w:rsid w:val="00C75DC8"/>
    <w:rsid w:val="00C769C9"/>
    <w:rsid w:val="00C76E98"/>
    <w:rsid w:val="00C804D1"/>
    <w:rsid w:val="00C80CDA"/>
    <w:rsid w:val="00C826BB"/>
    <w:rsid w:val="00C82704"/>
    <w:rsid w:val="00C84DA9"/>
    <w:rsid w:val="00C86C31"/>
    <w:rsid w:val="00C91B62"/>
    <w:rsid w:val="00C91BEC"/>
    <w:rsid w:val="00C926E3"/>
    <w:rsid w:val="00C95863"/>
    <w:rsid w:val="00CA230F"/>
    <w:rsid w:val="00CA2733"/>
    <w:rsid w:val="00CA3755"/>
    <w:rsid w:val="00CA3B42"/>
    <w:rsid w:val="00CA451D"/>
    <w:rsid w:val="00CA5B53"/>
    <w:rsid w:val="00CA62A9"/>
    <w:rsid w:val="00CB058E"/>
    <w:rsid w:val="00CB07B5"/>
    <w:rsid w:val="00CB25D0"/>
    <w:rsid w:val="00CB2E1D"/>
    <w:rsid w:val="00CB30DF"/>
    <w:rsid w:val="00CB43DB"/>
    <w:rsid w:val="00CC532B"/>
    <w:rsid w:val="00CC78B6"/>
    <w:rsid w:val="00CD0809"/>
    <w:rsid w:val="00CD0A68"/>
    <w:rsid w:val="00CD3F49"/>
    <w:rsid w:val="00CD43ED"/>
    <w:rsid w:val="00CD4B0A"/>
    <w:rsid w:val="00CD7E6B"/>
    <w:rsid w:val="00CE0312"/>
    <w:rsid w:val="00CE2848"/>
    <w:rsid w:val="00CE338A"/>
    <w:rsid w:val="00CE427A"/>
    <w:rsid w:val="00CE72EE"/>
    <w:rsid w:val="00CE7A77"/>
    <w:rsid w:val="00CE7B40"/>
    <w:rsid w:val="00CF0A23"/>
    <w:rsid w:val="00CF0B98"/>
    <w:rsid w:val="00CF1198"/>
    <w:rsid w:val="00CF3123"/>
    <w:rsid w:val="00CF382F"/>
    <w:rsid w:val="00CF5859"/>
    <w:rsid w:val="00CF7241"/>
    <w:rsid w:val="00D0235C"/>
    <w:rsid w:val="00D0304A"/>
    <w:rsid w:val="00D04067"/>
    <w:rsid w:val="00D10846"/>
    <w:rsid w:val="00D10E20"/>
    <w:rsid w:val="00D11D07"/>
    <w:rsid w:val="00D146F3"/>
    <w:rsid w:val="00D148A0"/>
    <w:rsid w:val="00D14F44"/>
    <w:rsid w:val="00D1570A"/>
    <w:rsid w:val="00D15BBA"/>
    <w:rsid w:val="00D21F9E"/>
    <w:rsid w:val="00D26185"/>
    <w:rsid w:val="00D27C05"/>
    <w:rsid w:val="00D31C90"/>
    <w:rsid w:val="00D31DA4"/>
    <w:rsid w:val="00D33C48"/>
    <w:rsid w:val="00D34DC3"/>
    <w:rsid w:val="00D35DCD"/>
    <w:rsid w:val="00D3751B"/>
    <w:rsid w:val="00D41BBE"/>
    <w:rsid w:val="00D4347E"/>
    <w:rsid w:val="00D4571C"/>
    <w:rsid w:val="00D4667B"/>
    <w:rsid w:val="00D51638"/>
    <w:rsid w:val="00D52180"/>
    <w:rsid w:val="00D542BD"/>
    <w:rsid w:val="00D55700"/>
    <w:rsid w:val="00D57657"/>
    <w:rsid w:val="00D57A1A"/>
    <w:rsid w:val="00D57D24"/>
    <w:rsid w:val="00D60825"/>
    <w:rsid w:val="00D60A55"/>
    <w:rsid w:val="00D63326"/>
    <w:rsid w:val="00D65249"/>
    <w:rsid w:val="00D70924"/>
    <w:rsid w:val="00D718EF"/>
    <w:rsid w:val="00D75BE3"/>
    <w:rsid w:val="00D82FB1"/>
    <w:rsid w:val="00D83471"/>
    <w:rsid w:val="00D83EFE"/>
    <w:rsid w:val="00D848F5"/>
    <w:rsid w:val="00D85278"/>
    <w:rsid w:val="00D87E17"/>
    <w:rsid w:val="00D94AB0"/>
    <w:rsid w:val="00D94C1A"/>
    <w:rsid w:val="00D96E69"/>
    <w:rsid w:val="00DA0616"/>
    <w:rsid w:val="00DA0792"/>
    <w:rsid w:val="00DA2E67"/>
    <w:rsid w:val="00DB0DB9"/>
    <w:rsid w:val="00DB178C"/>
    <w:rsid w:val="00DB1A07"/>
    <w:rsid w:val="00DB7C1F"/>
    <w:rsid w:val="00DC5304"/>
    <w:rsid w:val="00DC6449"/>
    <w:rsid w:val="00DC6780"/>
    <w:rsid w:val="00DC6B81"/>
    <w:rsid w:val="00DD1B0F"/>
    <w:rsid w:val="00DD2287"/>
    <w:rsid w:val="00DD27C8"/>
    <w:rsid w:val="00DD5B67"/>
    <w:rsid w:val="00DD7114"/>
    <w:rsid w:val="00DE1304"/>
    <w:rsid w:val="00DE2C57"/>
    <w:rsid w:val="00DE3392"/>
    <w:rsid w:val="00DE65E3"/>
    <w:rsid w:val="00DF0341"/>
    <w:rsid w:val="00DF3FE0"/>
    <w:rsid w:val="00DF5D7A"/>
    <w:rsid w:val="00DF5E81"/>
    <w:rsid w:val="00DF7211"/>
    <w:rsid w:val="00E00B5A"/>
    <w:rsid w:val="00E019D9"/>
    <w:rsid w:val="00E03FB3"/>
    <w:rsid w:val="00E07046"/>
    <w:rsid w:val="00E0707F"/>
    <w:rsid w:val="00E07A07"/>
    <w:rsid w:val="00E12AC9"/>
    <w:rsid w:val="00E13029"/>
    <w:rsid w:val="00E1379F"/>
    <w:rsid w:val="00E2082C"/>
    <w:rsid w:val="00E20F4F"/>
    <w:rsid w:val="00E22438"/>
    <w:rsid w:val="00E24835"/>
    <w:rsid w:val="00E26382"/>
    <w:rsid w:val="00E26D81"/>
    <w:rsid w:val="00E31FAF"/>
    <w:rsid w:val="00E32D0E"/>
    <w:rsid w:val="00E33774"/>
    <w:rsid w:val="00E33F34"/>
    <w:rsid w:val="00E34654"/>
    <w:rsid w:val="00E40D58"/>
    <w:rsid w:val="00E43233"/>
    <w:rsid w:val="00E436C8"/>
    <w:rsid w:val="00E51B8F"/>
    <w:rsid w:val="00E5506B"/>
    <w:rsid w:val="00E556B2"/>
    <w:rsid w:val="00E560E6"/>
    <w:rsid w:val="00E56E3D"/>
    <w:rsid w:val="00E57AE1"/>
    <w:rsid w:val="00E61317"/>
    <w:rsid w:val="00E627FE"/>
    <w:rsid w:val="00E62A67"/>
    <w:rsid w:val="00E6323B"/>
    <w:rsid w:val="00E6472F"/>
    <w:rsid w:val="00E64CC2"/>
    <w:rsid w:val="00E667D3"/>
    <w:rsid w:val="00E66A63"/>
    <w:rsid w:val="00E712BC"/>
    <w:rsid w:val="00E7268D"/>
    <w:rsid w:val="00E732C3"/>
    <w:rsid w:val="00E73D3F"/>
    <w:rsid w:val="00E747FE"/>
    <w:rsid w:val="00E75955"/>
    <w:rsid w:val="00E77EDD"/>
    <w:rsid w:val="00E82FCB"/>
    <w:rsid w:val="00E91202"/>
    <w:rsid w:val="00E937F9"/>
    <w:rsid w:val="00E94715"/>
    <w:rsid w:val="00E951E0"/>
    <w:rsid w:val="00E9777A"/>
    <w:rsid w:val="00EA02B0"/>
    <w:rsid w:val="00EA0BBC"/>
    <w:rsid w:val="00EA0F95"/>
    <w:rsid w:val="00EA1CF8"/>
    <w:rsid w:val="00EA3D70"/>
    <w:rsid w:val="00EA3EA7"/>
    <w:rsid w:val="00EA6805"/>
    <w:rsid w:val="00EA6B59"/>
    <w:rsid w:val="00EA6EF3"/>
    <w:rsid w:val="00EA7D7A"/>
    <w:rsid w:val="00EB0C12"/>
    <w:rsid w:val="00EB221A"/>
    <w:rsid w:val="00EB3EAF"/>
    <w:rsid w:val="00EB4003"/>
    <w:rsid w:val="00EB48CA"/>
    <w:rsid w:val="00EB7564"/>
    <w:rsid w:val="00EC5B3D"/>
    <w:rsid w:val="00EC614F"/>
    <w:rsid w:val="00EC6723"/>
    <w:rsid w:val="00ED023A"/>
    <w:rsid w:val="00ED04EB"/>
    <w:rsid w:val="00ED168D"/>
    <w:rsid w:val="00ED44BD"/>
    <w:rsid w:val="00ED4527"/>
    <w:rsid w:val="00ED67E2"/>
    <w:rsid w:val="00EE08CB"/>
    <w:rsid w:val="00EE0B5D"/>
    <w:rsid w:val="00EE2526"/>
    <w:rsid w:val="00EE3632"/>
    <w:rsid w:val="00EE4566"/>
    <w:rsid w:val="00EE6370"/>
    <w:rsid w:val="00EE6F00"/>
    <w:rsid w:val="00EE77EF"/>
    <w:rsid w:val="00EF0645"/>
    <w:rsid w:val="00EF1D0F"/>
    <w:rsid w:val="00EF20E1"/>
    <w:rsid w:val="00EF4C64"/>
    <w:rsid w:val="00EF4E1A"/>
    <w:rsid w:val="00EF5662"/>
    <w:rsid w:val="00EF6772"/>
    <w:rsid w:val="00EF6BE8"/>
    <w:rsid w:val="00EF7315"/>
    <w:rsid w:val="00F00CF0"/>
    <w:rsid w:val="00F02B6B"/>
    <w:rsid w:val="00F034AD"/>
    <w:rsid w:val="00F0480F"/>
    <w:rsid w:val="00F052AE"/>
    <w:rsid w:val="00F11E2C"/>
    <w:rsid w:val="00F12B61"/>
    <w:rsid w:val="00F1373C"/>
    <w:rsid w:val="00F14BCA"/>
    <w:rsid w:val="00F2050F"/>
    <w:rsid w:val="00F211F6"/>
    <w:rsid w:val="00F24A2A"/>
    <w:rsid w:val="00F32127"/>
    <w:rsid w:val="00F32599"/>
    <w:rsid w:val="00F32D50"/>
    <w:rsid w:val="00F3391E"/>
    <w:rsid w:val="00F346D6"/>
    <w:rsid w:val="00F420D2"/>
    <w:rsid w:val="00F42ADF"/>
    <w:rsid w:val="00F45093"/>
    <w:rsid w:val="00F4678E"/>
    <w:rsid w:val="00F54674"/>
    <w:rsid w:val="00F54893"/>
    <w:rsid w:val="00F5514D"/>
    <w:rsid w:val="00F55734"/>
    <w:rsid w:val="00F55FBC"/>
    <w:rsid w:val="00F56736"/>
    <w:rsid w:val="00F56C8C"/>
    <w:rsid w:val="00F61578"/>
    <w:rsid w:val="00F62528"/>
    <w:rsid w:val="00F63386"/>
    <w:rsid w:val="00F70704"/>
    <w:rsid w:val="00F716DA"/>
    <w:rsid w:val="00F74C76"/>
    <w:rsid w:val="00F753E3"/>
    <w:rsid w:val="00F75416"/>
    <w:rsid w:val="00F7552D"/>
    <w:rsid w:val="00F75537"/>
    <w:rsid w:val="00F77359"/>
    <w:rsid w:val="00F80577"/>
    <w:rsid w:val="00F81B6B"/>
    <w:rsid w:val="00F8204D"/>
    <w:rsid w:val="00F830F5"/>
    <w:rsid w:val="00F83E37"/>
    <w:rsid w:val="00F84575"/>
    <w:rsid w:val="00F84FF4"/>
    <w:rsid w:val="00F8589B"/>
    <w:rsid w:val="00F86121"/>
    <w:rsid w:val="00F8779F"/>
    <w:rsid w:val="00F92BDE"/>
    <w:rsid w:val="00F93636"/>
    <w:rsid w:val="00F955C0"/>
    <w:rsid w:val="00FA03B5"/>
    <w:rsid w:val="00FA1F24"/>
    <w:rsid w:val="00FA2BA4"/>
    <w:rsid w:val="00FA43D4"/>
    <w:rsid w:val="00FA48C7"/>
    <w:rsid w:val="00FA622D"/>
    <w:rsid w:val="00FA6D78"/>
    <w:rsid w:val="00FB1C3B"/>
    <w:rsid w:val="00FB3AE8"/>
    <w:rsid w:val="00FB6EB8"/>
    <w:rsid w:val="00FC743C"/>
    <w:rsid w:val="00FD4079"/>
    <w:rsid w:val="00FD42E3"/>
    <w:rsid w:val="00FE1E29"/>
    <w:rsid w:val="00FE1F9E"/>
    <w:rsid w:val="00FE25C4"/>
    <w:rsid w:val="00FE368A"/>
    <w:rsid w:val="00FE3B8E"/>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6E72D-CAD9-4DD1-BB73-11AF31AF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D9"/>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uiPriority w:val="9"/>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uiPriority w:val="9"/>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15336945">
      <w:bodyDiv w:val="1"/>
      <w:marLeft w:val="0"/>
      <w:marRight w:val="0"/>
      <w:marTop w:val="0"/>
      <w:marBottom w:val="0"/>
      <w:divBdr>
        <w:top w:val="none" w:sz="0" w:space="0" w:color="auto"/>
        <w:left w:val="none" w:sz="0" w:space="0" w:color="auto"/>
        <w:bottom w:val="none" w:sz="0" w:space="0" w:color="auto"/>
        <w:right w:val="none" w:sz="0" w:space="0" w:color="auto"/>
      </w:divBdr>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pdf.aspx?prmID=108126&amp;prmTIPO=DOCUMENTOCOM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pdf.aspx?prmID=108008&amp;prmTIPO=DOCUMENTOCOM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pdf.aspx?prmID=40953&amp;prmTIPO=ACTACOMI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6F2B-15FC-4B2C-914A-CF88C9501E17}">
  <ds:schemaRefs>
    <ds:schemaRef ds:uri="http://schemas.microsoft.com/sharepoint/v3/contenttype/forms"/>
  </ds:schemaRefs>
</ds:datastoreItem>
</file>

<file path=customXml/itemProps2.xml><?xml version="1.0" encoding="utf-8"?>
<ds:datastoreItem xmlns:ds="http://schemas.openxmlformats.org/officeDocument/2006/customXml" ds:itemID="{FBC29A25-B55A-4097-B929-6E948A636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1AAFCD-ED04-410F-AE2F-309903B66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165722-EAA5-40F4-B80C-774C6143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15103</Words>
  <Characters>83068</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97976</CharactersWithSpaces>
  <SharedDoc>false</SharedDoc>
  <HLinks>
    <vt:vector size="216" baseType="variant">
      <vt:variant>
        <vt:i4>1572914</vt:i4>
      </vt:variant>
      <vt:variant>
        <vt:i4>209</vt:i4>
      </vt:variant>
      <vt:variant>
        <vt:i4>0</vt:i4>
      </vt:variant>
      <vt:variant>
        <vt:i4>5</vt:i4>
      </vt:variant>
      <vt:variant>
        <vt:lpwstr/>
      </vt:variant>
      <vt:variant>
        <vt:lpwstr>_Toc487443500</vt:lpwstr>
      </vt:variant>
      <vt:variant>
        <vt:i4>1114163</vt:i4>
      </vt:variant>
      <vt:variant>
        <vt:i4>203</vt:i4>
      </vt:variant>
      <vt:variant>
        <vt:i4>0</vt:i4>
      </vt:variant>
      <vt:variant>
        <vt:i4>5</vt:i4>
      </vt:variant>
      <vt:variant>
        <vt:lpwstr/>
      </vt:variant>
      <vt:variant>
        <vt:lpwstr>_Toc487443499</vt:lpwstr>
      </vt:variant>
      <vt:variant>
        <vt:i4>1114163</vt:i4>
      </vt:variant>
      <vt:variant>
        <vt:i4>197</vt:i4>
      </vt:variant>
      <vt:variant>
        <vt:i4>0</vt:i4>
      </vt:variant>
      <vt:variant>
        <vt:i4>5</vt:i4>
      </vt:variant>
      <vt:variant>
        <vt:lpwstr/>
      </vt:variant>
      <vt:variant>
        <vt:lpwstr>_Toc487443498</vt:lpwstr>
      </vt:variant>
      <vt:variant>
        <vt:i4>1114163</vt:i4>
      </vt:variant>
      <vt:variant>
        <vt:i4>191</vt:i4>
      </vt:variant>
      <vt:variant>
        <vt:i4>0</vt:i4>
      </vt:variant>
      <vt:variant>
        <vt:i4>5</vt:i4>
      </vt:variant>
      <vt:variant>
        <vt:lpwstr/>
      </vt:variant>
      <vt:variant>
        <vt:lpwstr>_Toc487443497</vt:lpwstr>
      </vt:variant>
      <vt:variant>
        <vt:i4>1114163</vt:i4>
      </vt:variant>
      <vt:variant>
        <vt:i4>185</vt:i4>
      </vt:variant>
      <vt:variant>
        <vt:i4>0</vt:i4>
      </vt:variant>
      <vt:variant>
        <vt:i4>5</vt:i4>
      </vt:variant>
      <vt:variant>
        <vt:lpwstr/>
      </vt:variant>
      <vt:variant>
        <vt:lpwstr>_Toc487443496</vt:lpwstr>
      </vt:variant>
      <vt:variant>
        <vt:i4>1114163</vt:i4>
      </vt:variant>
      <vt:variant>
        <vt:i4>179</vt:i4>
      </vt:variant>
      <vt:variant>
        <vt:i4>0</vt:i4>
      </vt:variant>
      <vt:variant>
        <vt:i4>5</vt:i4>
      </vt:variant>
      <vt:variant>
        <vt:lpwstr/>
      </vt:variant>
      <vt:variant>
        <vt:lpwstr>_Toc487443495</vt:lpwstr>
      </vt:variant>
      <vt:variant>
        <vt:i4>1114163</vt:i4>
      </vt:variant>
      <vt:variant>
        <vt:i4>173</vt:i4>
      </vt:variant>
      <vt:variant>
        <vt:i4>0</vt:i4>
      </vt:variant>
      <vt:variant>
        <vt:i4>5</vt:i4>
      </vt:variant>
      <vt:variant>
        <vt:lpwstr/>
      </vt:variant>
      <vt:variant>
        <vt:lpwstr>_Toc487443494</vt:lpwstr>
      </vt:variant>
      <vt:variant>
        <vt:i4>1114163</vt:i4>
      </vt:variant>
      <vt:variant>
        <vt:i4>167</vt:i4>
      </vt:variant>
      <vt:variant>
        <vt:i4>0</vt:i4>
      </vt:variant>
      <vt:variant>
        <vt:i4>5</vt:i4>
      </vt:variant>
      <vt:variant>
        <vt:lpwstr/>
      </vt:variant>
      <vt:variant>
        <vt:lpwstr>_Toc487443493</vt:lpwstr>
      </vt:variant>
      <vt:variant>
        <vt:i4>1114163</vt:i4>
      </vt:variant>
      <vt:variant>
        <vt:i4>161</vt:i4>
      </vt:variant>
      <vt:variant>
        <vt:i4>0</vt:i4>
      </vt:variant>
      <vt:variant>
        <vt:i4>5</vt:i4>
      </vt:variant>
      <vt:variant>
        <vt:lpwstr/>
      </vt:variant>
      <vt:variant>
        <vt:lpwstr>_Toc487443492</vt:lpwstr>
      </vt:variant>
      <vt:variant>
        <vt:i4>1114163</vt:i4>
      </vt:variant>
      <vt:variant>
        <vt:i4>155</vt:i4>
      </vt:variant>
      <vt:variant>
        <vt:i4>0</vt:i4>
      </vt:variant>
      <vt:variant>
        <vt:i4>5</vt:i4>
      </vt:variant>
      <vt:variant>
        <vt:lpwstr/>
      </vt:variant>
      <vt:variant>
        <vt:lpwstr>_Toc487443491</vt:lpwstr>
      </vt:variant>
      <vt:variant>
        <vt:i4>1114163</vt:i4>
      </vt:variant>
      <vt:variant>
        <vt:i4>149</vt:i4>
      </vt:variant>
      <vt:variant>
        <vt:i4>0</vt:i4>
      </vt:variant>
      <vt:variant>
        <vt:i4>5</vt:i4>
      </vt:variant>
      <vt:variant>
        <vt:lpwstr/>
      </vt:variant>
      <vt:variant>
        <vt:lpwstr>_Toc487443490</vt:lpwstr>
      </vt:variant>
      <vt:variant>
        <vt:i4>1048627</vt:i4>
      </vt:variant>
      <vt:variant>
        <vt:i4>143</vt:i4>
      </vt:variant>
      <vt:variant>
        <vt:i4>0</vt:i4>
      </vt:variant>
      <vt:variant>
        <vt:i4>5</vt:i4>
      </vt:variant>
      <vt:variant>
        <vt:lpwstr/>
      </vt:variant>
      <vt:variant>
        <vt:lpwstr>_Toc487443489</vt:lpwstr>
      </vt:variant>
      <vt:variant>
        <vt:i4>1048627</vt:i4>
      </vt:variant>
      <vt:variant>
        <vt:i4>137</vt:i4>
      </vt:variant>
      <vt:variant>
        <vt:i4>0</vt:i4>
      </vt:variant>
      <vt:variant>
        <vt:i4>5</vt:i4>
      </vt:variant>
      <vt:variant>
        <vt:lpwstr/>
      </vt:variant>
      <vt:variant>
        <vt:lpwstr>_Toc487443488</vt:lpwstr>
      </vt:variant>
      <vt:variant>
        <vt:i4>1048627</vt:i4>
      </vt:variant>
      <vt:variant>
        <vt:i4>131</vt:i4>
      </vt:variant>
      <vt:variant>
        <vt:i4>0</vt:i4>
      </vt:variant>
      <vt:variant>
        <vt:i4>5</vt:i4>
      </vt:variant>
      <vt:variant>
        <vt:lpwstr/>
      </vt:variant>
      <vt:variant>
        <vt:lpwstr>_Toc487443487</vt:lpwstr>
      </vt:variant>
      <vt:variant>
        <vt:i4>1048627</vt:i4>
      </vt:variant>
      <vt:variant>
        <vt:i4>125</vt:i4>
      </vt:variant>
      <vt:variant>
        <vt:i4>0</vt:i4>
      </vt:variant>
      <vt:variant>
        <vt:i4>5</vt:i4>
      </vt:variant>
      <vt:variant>
        <vt:lpwstr/>
      </vt:variant>
      <vt:variant>
        <vt:lpwstr>_Toc487443486</vt:lpwstr>
      </vt:variant>
      <vt:variant>
        <vt:i4>1048627</vt:i4>
      </vt:variant>
      <vt:variant>
        <vt:i4>119</vt:i4>
      </vt:variant>
      <vt:variant>
        <vt:i4>0</vt:i4>
      </vt:variant>
      <vt:variant>
        <vt:i4>5</vt:i4>
      </vt:variant>
      <vt:variant>
        <vt:lpwstr/>
      </vt:variant>
      <vt:variant>
        <vt:lpwstr>_Toc487443485</vt:lpwstr>
      </vt:variant>
      <vt:variant>
        <vt:i4>1048627</vt:i4>
      </vt:variant>
      <vt:variant>
        <vt:i4>113</vt:i4>
      </vt:variant>
      <vt:variant>
        <vt:i4>0</vt:i4>
      </vt:variant>
      <vt:variant>
        <vt:i4>5</vt:i4>
      </vt:variant>
      <vt:variant>
        <vt:lpwstr/>
      </vt:variant>
      <vt:variant>
        <vt:lpwstr>_Toc487443484</vt:lpwstr>
      </vt:variant>
      <vt:variant>
        <vt:i4>1048627</vt:i4>
      </vt:variant>
      <vt:variant>
        <vt:i4>107</vt:i4>
      </vt:variant>
      <vt:variant>
        <vt:i4>0</vt:i4>
      </vt:variant>
      <vt:variant>
        <vt:i4>5</vt:i4>
      </vt:variant>
      <vt:variant>
        <vt:lpwstr/>
      </vt:variant>
      <vt:variant>
        <vt:lpwstr>_Toc487443483</vt:lpwstr>
      </vt:variant>
      <vt:variant>
        <vt:i4>1048627</vt:i4>
      </vt:variant>
      <vt:variant>
        <vt:i4>101</vt:i4>
      </vt:variant>
      <vt:variant>
        <vt:i4>0</vt:i4>
      </vt:variant>
      <vt:variant>
        <vt:i4>5</vt:i4>
      </vt:variant>
      <vt:variant>
        <vt:lpwstr/>
      </vt:variant>
      <vt:variant>
        <vt:lpwstr>_Toc487443482</vt:lpwstr>
      </vt:variant>
      <vt:variant>
        <vt:i4>1048627</vt:i4>
      </vt:variant>
      <vt:variant>
        <vt:i4>95</vt:i4>
      </vt:variant>
      <vt:variant>
        <vt:i4>0</vt:i4>
      </vt:variant>
      <vt:variant>
        <vt:i4>5</vt:i4>
      </vt:variant>
      <vt:variant>
        <vt:lpwstr/>
      </vt:variant>
      <vt:variant>
        <vt:lpwstr>_Toc487443481</vt:lpwstr>
      </vt:variant>
      <vt:variant>
        <vt:i4>1048627</vt:i4>
      </vt:variant>
      <vt:variant>
        <vt:i4>89</vt:i4>
      </vt:variant>
      <vt:variant>
        <vt:i4>0</vt:i4>
      </vt:variant>
      <vt:variant>
        <vt:i4>5</vt:i4>
      </vt:variant>
      <vt:variant>
        <vt:lpwstr/>
      </vt:variant>
      <vt:variant>
        <vt:lpwstr>_Toc487443480</vt:lpwstr>
      </vt:variant>
      <vt:variant>
        <vt:i4>2031667</vt:i4>
      </vt:variant>
      <vt:variant>
        <vt:i4>83</vt:i4>
      </vt:variant>
      <vt:variant>
        <vt:i4>0</vt:i4>
      </vt:variant>
      <vt:variant>
        <vt:i4>5</vt:i4>
      </vt:variant>
      <vt:variant>
        <vt:lpwstr/>
      </vt:variant>
      <vt:variant>
        <vt:lpwstr>_Toc487443479</vt:lpwstr>
      </vt:variant>
      <vt:variant>
        <vt:i4>2031667</vt:i4>
      </vt:variant>
      <vt:variant>
        <vt:i4>77</vt:i4>
      </vt:variant>
      <vt:variant>
        <vt:i4>0</vt:i4>
      </vt:variant>
      <vt:variant>
        <vt:i4>5</vt:i4>
      </vt:variant>
      <vt:variant>
        <vt:lpwstr/>
      </vt:variant>
      <vt:variant>
        <vt:lpwstr>_Toc487443478</vt:lpwstr>
      </vt:variant>
      <vt:variant>
        <vt:i4>2031667</vt:i4>
      </vt:variant>
      <vt:variant>
        <vt:i4>71</vt:i4>
      </vt:variant>
      <vt:variant>
        <vt:i4>0</vt:i4>
      </vt:variant>
      <vt:variant>
        <vt:i4>5</vt:i4>
      </vt:variant>
      <vt:variant>
        <vt:lpwstr/>
      </vt:variant>
      <vt:variant>
        <vt:lpwstr>_Toc487443477</vt:lpwstr>
      </vt:variant>
      <vt:variant>
        <vt:i4>2031667</vt:i4>
      </vt:variant>
      <vt:variant>
        <vt:i4>65</vt:i4>
      </vt:variant>
      <vt:variant>
        <vt:i4>0</vt:i4>
      </vt:variant>
      <vt:variant>
        <vt:i4>5</vt:i4>
      </vt:variant>
      <vt:variant>
        <vt:lpwstr/>
      </vt:variant>
      <vt:variant>
        <vt:lpwstr>_Toc487443476</vt:lpwstr>
      </vt:variant>
      <vt:variant>
        <vt:i4>2031667</vt:i4>
      </vt:variant>
      <vt:variant>
        <vt:i4>59</vt:i4>
      </vt:variant>
      <vt:variant>
        <vt:i4>0</vt:i4>
      </vt:variant>
      <vt:variant>
        <vt:i4>5</vt:i4>
      </vt:variant>
      <vt:variant>
        <vt:lpwstr/>
      </vt:variant>
      <vt:variant>
        <vt:lpwstr>_Toc487443475</vt:lpwstr>
      </vt:variant>
      <vt:variant>
        <vt:i4>2031667</vt:i4>
      </vt:variant>
      <vt:variant>
        <vt:i4>53</vt:i4>
      </vt:variant>
      <vt:variant>
        <vt:i4>0</vt:i4>
      </vt:variant>
      <vt:variant>
        <vt:i4>5</vt:i4>
      </vt:variant>
      <vt:variant>
        <vt:lpwstr/>
      </vt:variant>
      <vt:variant>
        <vt:lpwstr>_Toc487443474</vt:lpwstr>
      </vt:variant>
      <vt:variant>
        <vt:i4>2031667</vt:i4>
      </vt:variant>
      <vt:variant>
        <vt:i4>47</vt:i4>
      </vt:variant>
      <vt:variant>
        <vt:i4>0</vt:i4>
      </vt:variant>
      <vt:variant>
        <vt:i4>5</vt:i4>
      </vt:variant>
      <vt:variant>
        <vt:lpwstr/>
      </vt:variant>
      <vt:variant>
        <vt:lpwstr>_Toc487443473</vt:lpwstr>
      </vt:variant>
      <vt:variant>
        <vt:i4>2031667</vt:i4>
      </vt:variant>
      <vt:variant>
        <vt:i4>41</vt:i4>
      </vt:variant>
      <vt:variant>
        <vt:i4>0</vt:i4>
      </vt:variant>
      <vt:variant>
        <vt:i4>5</vt:i4>
      </vt:variant>
      <vt:variant>
        <vt:lpwstr/>
      </vt:variant>
      <vt:variant>
        <vt:lpwstr>_Toc487443472</vt:lpwstr>
      </vt:variant>
      <vt:variant>
        <vt:i4>2031667</vt:i4>
      </vt:variant>
      <vt:variant>
        <vt:i4>35</vt:i4>
      </vt:variant>
      <vt:variant>
        <vt:i4>0</vt:i4>
      </vt:variant>
      <vt:variant>
        <vt:i4>5</vt:i4>
      </vt:variant>
      <vt:variant>
        <vt:lpwstr/>
      </vt:variant>
      <vt:variant>
        <vt:lpwstr>_Toc487443471</vt:lpwstr>
      </vt:variant>
      <vt:variant>
        <vt:i4>2031667</vt:i4>
      </vt:variant>
      <vt:variant>
        <vt:i4>29</vt:i4>
      </vt:variant>
      <vt:variant>
        <vt:i4>0</vt:i4>
      </vt:variant>
      <vt:variant>
        <vt:i4>5</vt:i4>
      </vt:variant>
      <vt:variant>
        <vt:lpwstr/>
      </vt:variant>
      <vt:variant>
        <vt:lpwstr>_Toc487443470</vt:lpwstr>
      </vt:variant>
      <vt:variant>
        <vt:i4>1966131</vt:i4>
      </vt:variant>
      <vt:variant>
        <vt:i4>23</vt:i4>
      </vt:variant>
      <vt:variant>
        <vt:i4>0</vt:i4>
      </vt:variant>
      <vt:variant>
        <vt:i4>5</vt:i4>
      </vt:variant>
      <vt:variant>
        <vt:lpwstr/>
      </vt:variant>
      <vt:variant>
        <vt:lpwstr>_Toc487443469</vt:lpwstr>
      </vt:variant>
      <vt:variant>
        <vt:i4>1966131</vt:i4>
      </vt:variant>
      <vt:variant>
        <vt:i4>17</vt:i4>
      </vt:variant>
      <vt:variant>
        <vt:i4>0</vt:i4>
      </vt:variant>
      <vt:variant>
        <vt:i4>5</vt:i4>
      </vt:variant>
      <vt:variant>
        <vt:lpwstr/>
      </vt:variant>
      <vt:variant>
        <vt:lpwstr>_Toc487443468</vt:lpwstr>
      </vt:variant>
      <vt:variant>
        <vt:i4>1966131</vt:i4>
      </vt:variant>
      <vt:variant>
        <vt:i4>11</vt:i4>
      </vt:variant>
      <vt:variant>
        <vt:i4>0</vt:i4>
      </vt:variant>
      <vt:variant>
        <vt:i4>5</vt:i4>
      </vt:variant>
      <vt:variant>
        <vt:lpwstr/>
      </vt:variant>
      <vt:variant>
        <vt:lpwstr>_Toc487443467</vt:lpwstr>
      </vt:variant>
      <vt:variant>
        <vt:i4>1966131</vt:i4>
      </vt:variant>
      <vt:variant>
        <vt:i4>5</vt:i4>
      </vt:variant>
      <vt:variant>
        <vt:i4>0</vt:i4>
      </vt:variant>
      <vt:variant>
        <vt:i4>5</vt:i4>
      </vt:variant>
      <vt:variant>
        <vt:lpwstr/>
      </vt:variant>
      <vt:variant>
        <vt:lpwstr>_Toc487443466</vt:lpwstr>
      </vt:variant>
      <vt:variant>
        <vt:i4>1769543</vt:i4>
      </vt:variant>
      <vt:variant>
        <vt:i4>0</vt:i4>
      </vt:variant>
      <vt:variant>
        <vt:i4>0</vt:i4>
      </vt:variant>
      <vt:variant>
        <vt:i4>5</vt:i4>
      </vt:variant>
      <vt:variant>
        <vt:lpwstr>https://www.camara.cl/pdf.aspx?prmID=101921&amp;prmTIPO=DOCUMENTOCOMISION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4</cp:revision>
  <cp:lastPrinted>2017-07-13T20:10:00Z</cp:lastPrinted>
  <dcterms:created xsi:type="dcterms:W3CDTF">2017-07-13T19:52:00Z</dcterms:created>
  <dcterms:modified xsi:type="dcterms:W3CDTF">2017-07-13T20:54:00Z</dcterms:modified>
</cp:coreProperties>
</file>