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C56" w:rsidRPr="009B2C56" w:rsidRDefault="009B2C56" w:rsidP="009B2C56">
      <w:pPr>
        <w:tabs>
          <w:tab w:val="left" w:pos="2835"/>
        </w:tabs>
        <w:jc w:val="center"/>
        <w:rPr>
          <w:rFonts w:eastAsia="Times New Roman" w:cs="Arial"/>
          <w:b/>
          <w:szCs w:val="24"/>
          <w:u w:val="single"/>
          <w:lang w:val="es-ES" w:eastAsia="es-ES"/>
        </w:rPr>
      </w:pPr>
      <w:r w:rsidRPr="009B2C56">
        <w:rPr>
          <w:rFonts w:eastAsia="Times New Roman" w:cs="Arial"/>
          <w:b/>
          <w:szCs w:val="24"/>
          <w:u w:val="single"/>
          <w:lang w:val="es-ES" w:eastAsia="es-ES"/>
        </w:rPr>
        <w:t>CERTIFICADO</w:t>
      </w:r>
    </w:p>
    <w:p w:rsidR="009B2C56" w:rsidRPr="009B2C56" w:rsidRDefault="009B2C56" w:rsidP="009B2C56">
      <w:pPr>
        <w:tabs>
          <w:tab w:val="left" w:pos="2835"/>
        </w:tabs>
        <w:jc w:val="both"/>
        <w:rPr>
          <w:rFonts w:eastAsia="Times New Roman" w:cs="Arial"/>
          <w:b/>
          <w:szCs w:val="24"/>
          <w:u w:val="single"/>
          <w:lang w:val="es-ES" w:eastAsia="es-ES"/>
        </w:rPr>
      </w:pPr>
    </w:p>
    <w:p w:rsidR="009B2C56" w:rsidRPr="009B2C56" w:rsidRDefault="009B2C56" w:rsidP="009B2C56">
      <w:pPr>
        <w:tabs>
          <w:tab w:val="left" w:pos="2835"/>
        </w:tabs>
        <w:ind w:firstLine="2835"/>
        <w:jc w:val="both"/>
        <w:rPr>
          <w:rFonts w:eastAsia="Times New Roman" w:cs="Arial"/>
          <w:szCs w:val="24"/>
          <w:lang w:val="es-ES" w:eastAsia="es-ES"/>
        </w:rPr>
      </w:pPr>
      <w:r w:rsidRPr="009B2C56">
        <w:rPr>
          <w:rFonts w:eastAsia="Times New Roman" w:cs="Arial"/>
          <w:szCs w:val="24"/>
          <w:lang w:val="es-ES" w:eastAsia="es-ES"/>
        </w:rPr>
        <w:t xml:space="preserve">Certifico que </w:t>
      </w:r>
      <w:r w:rsidR="006F6D08">
        <w:rPr>
          <w:rFonts w:eastAsia="Times New Roman" w:cs="Arial"/>
          <w:szCs w:val="24"/>
          <w:lang w:val="es-ES" w:eastAsia="es-ES"/>
        </w:rPr>
        <w:t xml:space="preserve">los </w:t>
      </w:r>
      <w:r w:rsidRPr="009B2C56">
        <w:rPr>
          <w:rFonts w:eastAsia="Times New Roman" w:cs="Arial"/>
          <w:szCs w:val="24"/>
          <w:lang w:val="es-ES" w:eastAsia="es-ES"/>
        </w:rPr>
        <w:t>día</w:t>
      </w:r>
      <w:r w:rsidR="006F6D08">
        <w:rPr>
          <w:rFonts w:eastAsia="Times New Roman" w:cs="Arial"/>
          <w:szCs w:val="24"/>
          <w:lang w:val="es-ES" w:eastAsia="es-ES"/>
        </w:rPr>
        <w:t>s 17 y</w:t>
      </w:r>
      <w:r w:rsidRPr="009B2C56">
        <w:rPr>
          <w:rFonts w:eastAsia="Times New Roman" w:cs="Arial"/>
          <w:szCs w:val="24"/>
          <w:lang w:val="es-ES" w:eastAsia="es-ES"/>
        </w:rPr>
        <w:t xml:space="preserve"> </w:t>
      </w:r>
      <w:r>
        <w:rPr>
          <w:rFonts w:eastAsia="Times New Roman" w:cs="Arial"/>
          <w:szCs w:val="24"/>
          <w:lang w:val="es-ES" w:eastAsia="es-ES"/>
        </w:rPr>
        <w:t>18</w:t>
      </w:r>
      <w:r w:rsidRPr="009B2C56">
        <w:rPr>
          <w:rFonts w:eastAsia="Times New Roman" w:cs="Arial"/>
          <w:szCs w:val="24"/>
          <w:lang w:val="es-ES" w:eastAsia="es-ES"/>
        </w:rPr>
        <w:t xml:space="preserve"> de </w:t>
      </w:r>
      <w:r>
        <w:rPr>
          <w:rFonts w:eastAsia="Times New Roman" w:cs="Arial"/>
          <w:szCs w:val="24"/>
          <w:lang w:val="es-ES" w:eastAsia="es-ES"/>
        </w:rPr>
        <w:t xml:space="preserve">julio </w:t>
      </w:r>
      <w:r w:rsidRPr="009B2C56">
        <w:rPr>
          <w:rFonts w:eastAsia="Times New Roman" w:cs="Arial"/>
          <w:szCs w:val="24"/>
          <w:lang w:val="es-ES" w:eastAsia="es-ES"/>
        </w:rPr>
        <w:t>de 2018, la Comisi</w:t>
      </w:r>
      <w:r>
        <w:rPr>
          <w:rFonts w:eastAsia="Times New Roman" w:cs="Arial"/>
          <w:szCs w:val="24"/>
          <w:lang w:val="es-ES" w:eastAsia="es-ES"/>
        </w:rPr>
        <w:t>ón</w:t>
      </w:r>
      <w:r w:rsidRPr="009B2C56">
        <w:rPr>
          <w:rFonts w:eastAsia="Times New Roman" w:cs="Arial"/>
          <w:szCs w:val="24"/>
          <w:lang w:val="es-ES" w:eastAsia="es-ES"/>
        </w:rPr>
        <w:t xml:space="preserve"> de Hacienda sesion</w:t>
      </w:r>
      <w:r>
        <w:rPr>
          <w:rFonts w:eastAsia="Times New Roman" w:cs="Arial"/>
          <w:szCs w:val="24"/>
          <w:lang w:val="es-ES" w:eastAsia="es-ES"/>
        </w:rPr>
        <w:t>ó</w:t>
      </w:r>
      <w:r w:rsidRPr="009B2C56">
        <w:rPr>
          <w:rFonts w:eastAsia="Times New Roman" w:cs="Arial"/>
          <w:szCs w:val="24"/>
          <w:lang w:val="es-ES" w:eastAsia="es-ES"/>
        </w:rPr>
        <w:t xml:space="preserve"> para tratar el proyecto de ley iniciado en Mensaje de Su Excelencia la Presidenta de la República, en segundo trámite constitucional, que </w:t>
      </w:r>
      <w:r w:rsidRPr="009B2C56">
        <w:rPr>
          <w:rFonts w:eastAsia="Times New Roman" w:cs="Arial"/>
          <w:color w:val="000000"/>
          <w:szCs w:val="24"/>
          <w:shd w:val="clear" w:color="auto" w:fill="FFFFFF"/>
          <w:lang w:val="es-ES" w:eastAsia="es-ES"/>
        </w:rPr>
        <w:t>crea una sociedad anónima del Estado denominada “Intermediación Financiera S. A.”</w:t>
      </w:r>
      <w:r w:rsidRPr="009B2C56">
        <w:rPr>
          <w:rFonts w:eastAsia="Times New Roman" w:cs="Arial"/>
          <w:szCs w:val="24"/>
          <w:lang w:val="es-ES" w:eastAsia="es-ES"/>
        </w:rPr>
        <w:t xml:space="preserve"> </w:t>
      </w:r>
      <w:r w:rsidRPr="009B2C56">
        <w:rPr>
          <w:rFonts w:eastAsia="Times New Roman" w:cs="Arial"/>
          <w:b/>
          <w:szCs w:val="24"/>
          <w:lang w:val="es-ES" w:eastAsia="es-ES"/>
        </w:rPr>
        <w:t xml:space="preserve">(Boletín </w:t>
      </w:r>
      <w:bookmarkStart w:id="0" w:name="Boletin"/>
      <w:r w:rsidRPr="009B2C56">
        <w:rPr>
          <w:rFonts w:eastAsia="Times New Roman" w:cs="Arial"/>
          <w:b/>
          <w:szCs w:val="24"/>
          <w:lang w:val="es-ES" w:eastAsia="es-ES"/>
        </w:rPr>
        <w:t>Nº 11.5</w:t>
      </w:r>
      <w:r>
        <w:rPr>
          <w:rFonts w:eastAsia="Times New Roman" w:cs="Arial"/>
          <w:b/>
          <w:szCs w:val="24"/>
          <w:lang w:val="es-ES" w:eastAsia="es-ES"/>
        </w:rPr>
        <w:t>54</w:t>
      </w:r>
      <w:r w:rsidRPr="009B2C56">
        <w:rPr>
          <w:rFonts w:eastAsia="Times New Roman" w:cs="Arial"/>
          <w:b/>
          <w:szCs w:val="24"/>
          <w:lang w:val="es-ES" w:eastAsia="es-ES"/>
        </w:rPr>
        <w:t>-0</w:t>
      </w:r>
      <w:bookmarkEnd w:id="0"/>
      <w:r>
        <w:rPr>
          <w:rFonts w:eastAsia="Times New Roman" w:cs="Arial"/>
          <w:b/>
          <w:szCs w:val="24"/>
          <w:lang w:val="es-ES" w:eastAsia="es-ES"/>
        </w:rPr>
        <w:t>5</w:t>
      </w:r>
      <w:r w:rsidRPr="009B2C56">
        <w:rPr>
          <w:rFonts w:eastAsia="Times New Roman" w:cs="Arial"/>
          <w:b/>
          <w:szCs w:val="24"/>
          <w:lang w:val="es-ES" w:eastAsia="es-ES"/>
        </w:rPr>
        <w:t>)</w:t>
      </w:r>
      <w:r w:rsidR="0098272E">
        <w:rPr>
          <w:rFonts w:eastAsia="Times New Roman" w:cs="Arial"/>
          <w:szCs w:val="24"/>
          <w:lang w:val="es-ES" w:eastAsia="es-ES"/>
        </w:rPr>
        <w:t xml:space="preserve">, </w:t>
      </w:r>
      <w:r w:rsidR="0098272E" w:rsidRPr="00874A0F">
        <w:rPr>
          <w:rFonts w:eastAsia="Times New Roman" w:cs="Arial"/>
          <w:szCs w:val="24"/>
          <w:lang w:val="es-ES" w:eastAsia="es-ES"/>
        </w:rPr>
        <w:t>con urgencia calificada de “simple”</w:t>
      </w:r>
      <w:r w:rsidRPr="00874A0F">
        <w:rPr>
          <w:rFonts w:eastAsia="Times New Roman" w:cs="Arial"/>
          <w:szCs w:val="24"/>
          <w:lang w:val="es-ES" w:eastAsia="es-ES"/>
        </w:rPr>
        <w:t>.</w:t>
      </w:r>
    </w:p>
    <w:p w:rsidR="009B2C56" w:rsidRPr="009B2C56" w:rsidRDefault="009B2C56" w:rsidP="009B2C56">
      <w:pPr>
        <w:tabs>
          <w:tab w:val="left" w:pos="2835"/>
        </w:tabs>
        <w:ind w:firstLine="2835"/>
        <w:jc w:val="both"/>
        <w:rPr>
          <w:rFonts w:eastAsia="Times New Roman" w:cs="Arial"/>
          <w:szCs w:val="24"/>
          <w:lang w:val="es-ES" w:eastAsia="es-ES"/>
        </w:rPr>
      </w:pPr>
    </w:p>
    <w:p w:rsidR="006F6D08" w:rsidRDefault="009B2C56" w:rsidP="009B2C56">
      <w:pPr>
        <w:tabs>
          <w:tab w:val="left" w:pos="2835"/>
        </w:tabs>
        <w:ind w:firstLine="2835"/>
        <w:jc w:val="both"/>
        <w:rPr>
          <w:rFonts w:eastAsia="Times New Roman" w:cs="Arial"/>
          <w:szCs w:val="24"/>
          <w:lang w:val="es-ES" w:eastAsia="es-ES"/>
        </w:rPr>
      </w:pPr>
      <w:r w:rsidRPr="009B2C56">
        <w:rPr>
          <w:rFonts w:eastAsia="Times New Roman" w:cs="Arial"/>
          <w:szCs w:val="24"/>
          <w:lang w:val="es-ES" w:eastAsia="es-ES"/>
        </w:rPr>
        <w:t xml:space="preserve">A </w:t>
      </w:r>
      <w:r w:rsidR="006F6D08">
        <w:rPr>
          <w:rFonts w:eastAsia="Times New Roman" w:cs="Arial"/>
          <w:szCs w:val="24"/>
          <w:lang w:val="es-ES" w:eastAsia="es-ES"/>
        </w:rPr>
        <w:t xml:space="preserve">una o más de las sesiones en que la Comisión trató esta iniciativa de ley, </w:t>
      </w:r>
      <w:r w:rsidRPr="009B2C56">
        <w:rPr>
          <w:rFonts w:eastAsia="Times New Roman" w:cs="Arial"/>
          <w:szCs w:val="24"/>
          <w:lang w:val="es-ES" w:eastAsia="es-ES"/>
        </w:rPr>
        <w:t>asisti</w:t>
      </w:r>
      <w:r w:rsidR="006F6D08">
        <w:rPr>
          <w:rFonts w:eastAsia="Times New Roman" w:cs="Arial"/>
          <w:szCs w:val="24"/>
          <w:lang w:val="es-ES" w:eastAsia="es-ES"/>
        </w:rPr>
        <w:t>eron</w:t>
      </w:r>
      <w:r w:rsidRPr="009B2C56">
        <w:rPr>
          <w:rFonts w:eastAsia="Times New Roman" w:cs="Arial"/>
          <w:szCs w:val="24"/>
          <w:lang w:val="es-ES" w:eastAsia="es-ES"/>
        </w:rPr>
        <w:t xml:space="preserve"> </w:t>
      </w:r>
      <w:r w:rsidR="006F6D08">
        <w:rPr>
          <w:rFonts w:eastAsia="Times New Roman" w:cs="Arial"/>
          <w:szCs w:val="24"/>
          <w:lang w:val="es-ES" w:eastAsia="es-ES"/>
        </w:rPr>
        <w:t>los Honorables Senadores señores Juan Pablo Letelier Morel (Presidente) (Álvaro Elizalde Soto), Ricardo Lagos Weber (Presidente Accidental), José García Ruminot, Víctor Pérez Varela y Jorge Pizarro Soto.</w:t>
      </w:r>
    </w:p>
    <w:p w:rsidR="006F6D08" w:rsidRDefault="006F6D08" w:rsidP="009B2C56">
      <w:pPr>
        <w:tabs>
          <w:tab w:val="left" w:pos="2835"/>
        </w:tabs>
        <w:ind w:firstLine="2835"/>
        <w:jc w:val="both"/>
        <w:rPr>
          <w:rFonts w:eastAsia="Times New Roman" w:cs="Arial"/>
          <w:szCs w:val="24"/>
          <w:lang w:val="es-ES" w:eastAsia="es-ES"/>
        </w:rPr>
      </w:pPr>
    </w:p>
    <w:p w:rsidR="009B2C56" w:rsidRPr="009B2C56" w:rsidRDefault="006F6D08" w:rsidP="009B2C56">
      <w:pPr>
        <w:tabs>
          <w:tab w:val="left" w:pos="2835"/>
        </w:tabs>
        <w:ind w:firstLine="2835"/>
        <w:jc w:val="both"/>
        <w:rPr>
          <w:rFonts w:eastAsia="Times New Roman" w:cs="Arial"/>
          <w:szCs w:val="24"/>
          <w:lang w:val="es-ES" w:eastAsia="es-ES"/>
        </w:rPr>
      </w:pPr>
      <w:r>
        <w:rPr>
          <w:rFonts w:eastAsia="Times New Roman" w:cs="Arial"/>
          <w:szCs w:val="24"/>
          <w:lang w:val="es-ES" w:eastAsia="es-ES"/>
        </w:rPr>
        <w:t xml:space="preserve">Además, concurrieron </w:t>
      </w:r>
      <w:r w:rsidR="009B2C56" w:rsidRPr="009B2C56">
        <w:rPr>
          <w:rFonts w:eastAsia="Times New Roman" w:cs="Arial"/>
          <w:szCs w:val="24"/>
          <w:lang w:val="es-ES" w:eastAsia="es-ES"/>
        </w:rPr>
        <w:t>las siguientes personas:</w:t>
      </w:r>
    </w:p>
    <w:p w:rsidR="009B2C56" w:rsidRDefault="009B2C56" w:rsidP="009B2C56">
      <w:pPr>
        <w:tabs>
          <w:tab w:val="left" w:pos="2835"/>
        </w:tabs>
        <w:ind w:firstLine="2835"/>
        <w:jc w:val="both"/>
        <w:rPr>
          <w:rFonts w:eastAsia="Times New Roman" w:cs="Arial"/>
          <w:szCs w:val="24"/>
          <w:lang w:val="es-ES" w:eastAsia="es-ES"/>
        </w:rPr>
      </w:pPr>
    </w:p>
    <w:p w:rsidR="009B2C56" w:rsidRPr="009B2C56" w:rsidRDefault="009B2C56" w:rsidP="009B2C56">
      <w:pPr>
        <w:ind w:firstLine="2835"/>
        <w:jc w:val="both"/>
        <w:rPr>
          <w:rFonts w:eastAsia="Calibri" w:cs="Arial"/>
          <w:szCs w:val="24"/>
        </w:rPr>
      </w:pPr>
      <w:r w:rsidRPr="009B2C56">
        <w:rPr>
          <w:rFonts w:eastAsia="Calibri" w:cs="Arial"/>
          <w:szCs w:val="24"/>
        </w:rPr>
        <w:t>Del Ministerio de Hacienda, el Subsecretario, señor Francisco Moreno, y el Coordinador Legislativo, señor José Riquelme.</w:t>
      </w:r>
    </w:p>
    <w:p w:rsidR="009B2C56" w:rsidRPr="009B2C56" w:rsidRDefault="009B2C56" w:rsidP="009B2C56">
      <w:pPr>
        <w:ind w:firstLine="2835"/>
        <w:jc w:val="both"/>
        <w:rPr>
          <w:rFonts w:eastAsia="Calibri" w:cs="Arial"/>
          <w:szCs w:val="24"/>
        </w:rPr>
      </w:pPr>
    </w:p>
    <w:p w:rsidR="009B2C56" w:rsidRPr="009B2C56" w:rsidRDefault="009B2C56" w:rsidP="009B2C56">
      <w:pPr>
        <w:ind w:firstLine="2835"/>
        <w:jc w:val="both"/>
        <w:rPr>
          <w:rFonts w:eastAsia="Calibri" w:cs="Arial"/>
          <w:szCs w:val="24"/>
        </w:rPr>
      </w:pPr>
      <w:r w:rsidRPr="009B2C56">
        <w:rPr>
          <w:rFonts w:eastAsia="Calibri" w:cs="Arial"/>
          <w:szCs w:val="24"/>
        </w:rPr>
        <w:t>De la Dirección de Presupuestos, el Subdirector de Racionalización, señor Matías Acevedo, y el Coordinador Legislativo, señor Gabriel Jiménez.</w:t>
      </w:r>
    </w:p>
    <w:p w:rsidR="009B2C56" w:rsidRPr="009B2C56" w:rsidRDefault="009B2C56" w:rsidP="009B2C56">
      <w:pPr>
        <w:ind w:firstLine="2835"/>
        <w:jc w:val="both"/>
        <w:rPr>
          <w:rFonts w:eastAsia="Calibri" w:cs="Arial"/>
          <w:szCs w:val="24"/>
        </w:rPr>
      </w:pPr>
    </w:p>
    <w:p w:rsidR="009B2C56" w:rsidRPr="009B2C56" w:rsidRDefault="009B2C56" w:rsidP="009B2C56">
      <w:pPr>
        <w:ind w:firstLine="2835"/>
        <w:jc w:val="both"/>
        <w:rPr>
          <w:rFonts w:eastAsia="Calibri" w:cs="Arial"/>
          <w:szCs w:val="24"/>
        </w:rPr>
      </w:pPr>
      <w:r w:rsidRPr="009B2C56">
        <w:rPr>
          <w:rFonts w:eastAsia="Calibri" w:cs="Arial"/>
          <w:szCs w:val="24"/>
        </w:rPr>
        <w:t>Del Ministerio Secretaría General de la Presidencia, el asesor legislativo, señor Marcelo Estrella, y los asesores, señora Fernanda Nitsche y señor Fredy Vásquez.</w:t>
      </w:r>
    </w:p>
    <w:p w:rsidR="009B2C56" w:rsidRPr="009B2C56" w:rsidRDefault="009B2C56" w:rsidP="009B2C56">
      <w:pPr>
        <w:ind w:firstLine="2835"/>
        <w:jc w:val="both"/>
        <w:rPr>
          <w:rFonts w:eastAsia="Calibri" w:cs="Arial"/>
          <w:szCs w:val="24"/>
        </w:rPr>
      </w:pPr>
    </w:p>
    <w:p w:rsidR="009B2C56" w:rsidRPr="009B2C56" w:rsidRDefault="009B2C56" w:rsidP="009B2C56">
      <w:pPr>
        <w:ind w:firstLine="2835"/>
        <w:jc w:val="both"/>
        <w:rPr>
          <w:rFonts w:eastAsia="Calibri" w:cs="Arial"/>
          <w:szCs w:val="24"/>
        </w:rPr>
      </w:pPr>
      <w:r w:rsidRPr="009B2C56">
        <w:rPr>
          <w:rFonts w:eastAsia="Calibri" w:cs="Arial"/>
          <w:szCs w:val="24"/>
        </w:rPr>
        <w:t>La asesora del Honorable Senador Elizalde, señora Lorena Díaz.</w:t>
      </w:r>
      <w:r w:rsidR="00B125E0">
        <w:rPr>
          <w:rFonts w:eastAsia="Calibri" w:cs="Arial"/>
          <w:szCs w:val="24"/>
        </w:rPr>
        <w:t xml:space="preserve"> </w:t>
      </w:r>
      <w:r w:rsidRPr="009B2C56">
        <w:rPr>
          <w:rFonts w:eastAsia="Calibri" w:cs="Arial"/>
          <w:szCs w:val="24"/>
        </w:rPr>
        <w:t xml:space="preserve">De la Oficina del Honorable Senador García, la asesora, señora Valentina Becerra, y la </w:t>
      </w:r>
      <w:r>
        <w:rPr>
          <w:rFonts w:eastAsia="Calibri" w:cs="Arial"/>
          <w:szCs w:val="24"/>
        </w:rPr>
        <w:t>p</w:t>
      </w:r>
      <w:r w:rsidRPr="009B2C56">
        <w:rPr>
          <w:rFonts w:eastAsia="Calibri" w:cs="Arial"/>
          <w:szCs w:val="24"/>
        </w:rPr>
        <w:t>eriodista, señora Andrea González.</w:t>
      </w:r>
      <w:r w:rsidR="00B125E0">
        <w:rPr>
          <w:rFonts w:eastAsia="Calibri" w:cs="Arial"/>
          <w:szCs w:val="24"/>
        </w:rPr>
        <w:t xml:space="preserve"> </w:t>
      </w:r>
      <w:r w:rsidRPr="009B2C56">
        <w:rPr>
          <w:rFonts w:eastAsia="Calibri" w:cs="Arial"/>
          <w:szCs w:val="24"/>
        </w:rPr>
        <w:t>La asesora del Honorable Senador Lagos, señora Leslie Sánchez.</w:t>
      </w:r>
      <w:r w:rsidR="00B125E0">
        <w:rPr>
          <w:rFonts w:eastAsia="Calibri" w:cs="Arial"/>
          <w:szCs w:val="24"/>
        </w:rPr>
        <w:t xml:space="preserve"> </w:t>
      </w:r>
      <w:r w:rsidRPr="009B2C56">
        <w:rPr>
          <w:rFonts w:eastAsia="Calibri" w:cs="Arial"/>
          <w:szCs w:val="24"/>
        </w:rPr>
        <w:t>De la Oficina del Honorable Senador Pizarro, la Jefa de Gabinete, señora Kareen Herrera; la asesora de prensa, señora Andrea del Pilar Gómez, y la asesora, señora Joanna Valenzuela.</w:t>
      </w:r>
      <w:r w:rsidR="00B125E0">
        <w:rPr>
          <w:rFonts w:eastAsia="Calibri" w:cs="Arial"/>
          <w:szCs w:val="24"/>
        </w:rPr>
        <w:t xml:space="preserve"> </w:t>
      </w:r>
      <w:r w:rsidRPr="009B2C56">
        <w:rPr>
          <w:rFonts w:eastAsia="Calibri" w:cs="Arial"/>
          <w:szCs w:val="24"/>
        </w:rPr>
        <w:t>El asesor de la Honorable Senadora Provoste, señor Rodrigo Vega.</w:t>
      </w:r>
      <w:r w:rsidR="00B125E0">
        <w:rPr>
          <w:rFonts w:eastAsia="Calibri" w:cs="Arial"/>
          <w:szCs w:val="24"/>
        </w:rPr>
        <w:t xml:space="preserve"> </w:t>
      </w:r>
      <w:r w:rsidRPr="009B2C56">
        <w:rPr>
          <w:rFonts w:eastAsia="Calibri" w:cs="Arial"/>
          <w:szCs w:val="24"/>
        </w:rPr>
        <w:t>Del Comité Demócrata Cristiano, la asesora, señora Constanza González.</w:t>
      </w:r>
      <w:r w:rsidR="00B125E0">
        <w:rPr>
          <w:rFonts w:eastAsia="Calibri" w:cs="Arial"/>
          <w:szCs w:val="24"/>
        </w:rPr>
        <w:t xml:space="preserve"> </w:t>
      </w:r>
      <w:r w:rsidRPr="009B2C56">
        <w:rPr>
          <w:rFonts w:eastAsia="Calibri" w:cs="Arial"/>
          <w:szCs w:val="24"/>
        </w:rPr>
        <w:t xml:space="preserve">Del Comité Partido Por la Democracia, la asesora, señora María Jesús Mella, y el </w:t>
      </w:r>
      <w:r>
        <w:rPr>
          <w:rFonts w:eastAsia="Calibri" w:cs="Arial"/>
          <w:szCs w:val="24"/>
        </w:rPr>
        <w:t>p</w:t>
      </w:r>
      <w:r w:rsidRPr="009B2C56">
        <w:rPr>
          <w:rFonts w:eastAsia="Calibri" w:cs="Arial"/>
          <w:szCs w:val="24"/>
        </w:rPr>
        <w:t>eriodista, señor Gabriel Muñoz.</w:t>
      </w:r>
      <w:r w:rsidR="00B125E0">
        <w:rPr>
          <w:rFonts w:eastAsia="Calibri" w:cs="Arial"/>
          <w:szCs w:val="24"/>
        </w:rPr>
        <w:t xml:space="preserve"> </w:t>
      </w:r>
      <w:r w:rsidRPr="009B2C56">
        <w:rPr>
          <w:rFonts w:eastAsia="Calibri" w:cs="Arial"/>
          <w:szCs w:val="24"/>
        </w:rPr>
        <w:t xml:space="preserve">Del Comité Partido Socialista, el </w:t>
      </w:r>
      <w:r>
        <w:rPr>
          <w:rFonts w:eastAsia="Calibri" w:cs="Arial"/>
          <w:szCs w:val="24"/>
        </w:rPr>
        <w:t>a</w:t>
      </w:r>
      <w:r w:rsidRPr="009B2C56">
        <w:rPr>
          <w:rFonts w:eastAsia="Calibri" w:cs="Arial"/>
          <w:szCs w:val="24"/>
        </w:rPr>
        <w:t xml:space="preserve">bogado </w:t>
      </w:r>
      <w:r>
        <w:rPr>
          <w:rFonts w:eastAsia="Calibri" w:cs="Arial"/>
          <w:szCs w:val="24"/>
        </w:rPr>
        <w:t>c</w:t>
      </w:r>
      <w:r w:rsidRPr="009B2C56">
        <w:rPr>
          <w:rFonts w:eastAsia="Calibri" w:cs="Arial"/>
          <w:szCs w:val="24"/>
        </w:rPr>
        <w:t>oordinador, señor Héctor Valladares, y el asesor, señor José Fuentes.</w:t>
      </w:r>
      <w:r w:rsidR="00B125E0">
        <w:rPr>
          <w:rFonts w:eastAsia="Calibri" w:cs="Arial"/>
          <w:szCs w:val="24"/>
        </w:rPr>
        <w:t xml:space="preserve"> </w:t>
      </w:r>
      <w:r w:rsidRPr="009B2C56">
        <w:rPr>
          <w:rFonts w:eastAsia="Calibri" w:cs="Arial"/>
          <w:szCs w:val="24"/>
        </w:rPr>
        <w:t>De la Fundación Jaime Guzmán, el asesor, señor Diego Vicuña.</w:t>
      </w:r>
    </w:p>
    <w:p w:rsidR="009B2C56" w:rsidRPr="009B2C56" w:rsidRDefault="009B2C56" w:rsidP="009B2C56">
      <w:pPr>
        <w:tabs>
          <w:tab w:val="left" w:pos="2835"/>
        </w:tabs>
        <w:ind w:firstLine="2835"/>
        <w:jc w:val="both"/>
        <w:rPr>
          <w:rFonts w:eastAsia="Times New Roman" w:cs="Arial"/>
          <w:szCs w:val="24"/>
          <w:lang w:val="es-ES" w:eastAsia="es-ES"/>
        </w:rPr>
      </w:pPr>
    </w:p>
    <w:p w:rsidR="009B2C56" w:rsidRPr="009B2C56" w:rsidRDefault="009B2C56" w:rsidP="009B2C56">
      <w:pPr>
        <w:tabs>
          <w:tab w:val="left" w:pos="2835"/>
        </w:tabs>
        <w:jc w:val="center"/>
        <w:rPr>
          <w:rFonts w:eastAsia="Times New Roman" w:cs="Arial"/>
          <w:b/>
          <w:szCs w:val="24"/>
          <w:lang w:val="es-ES" w:eastAsia="es-ES"/>
        </w:rPr>
      </w:pPr>
      <w:r w:rsidRPr="009B2C56">
        <w:rPr>
          <w:rFonts w:eastAsia="Times New Roman" w:cs="Arial"/>
          <w:b/>
          <w:szCs w:val="24"/>
          <w:lang w:val="es-ES" w:eastAsia="es-ES"/>
        </w:rPr>
        <w:t>- - -</w:t>
      </w:r>
    </w:p>
    <w:p w:rsidR="009B2C56" w:rsidRPr="009B2C56" w:rsidRDefault="009B2C56" w:rsidP="009B2C56">
      <w:pPr>
        <w:tabs>
          <w:tab w:val="left" w:pos="2835"/>
        </w:tabs>
        <w:jc w:val="both"/>
        <w:rPr>
          <w:rFonts w:eastAsia="Times New Roman" w:cs="Times New Roman"/>
          <w:spacing w:val="6"/>
          <w:szCs w:val="24"/>
          <w:lang w:val="es-ES" w:eastAsia="es-ES"/>
        </w:rPr>
      </w:pPr>
    </w:p>
    <w:p w:rsidR="009B2C56" w:rsidRPr="009B2C56" w:rsidRDefault="009B2C56" w:rsidP="009B2C56">
      <w:pPr>
        <w:widowControl w:val="0"/>
        <w:tabs>
          <w:tab w:val="left" w:pos="2835"/>
        </w:tabs>
        <w:ind w:firstLine="2835"/>
        <w:jc w:val="both"/>
        <w:rPr>
          <w:rFonts w:eastAsia="Times New Roman" w:cs="Times New Roman"/>
          <w:szCs w:val="24"/>
          <w:lang w:val="es-ES" w:eastAsia="es-ES"/>
        </w:rPr>
      </w:pPr>
      <w:r w:rsidRPr="009B2C56">
        <w:rPr>
          <w:rFonts w:eastAsia="Times New Roman" w:cs="Times New Roman"/>
          <w:szCs w:val="24"/>
          <w:lang w:val="es-ES" w:eastAsia="es-ES"/>
        </w:rPr>
        <w:t>Cabe señalar que, conforme a lo dispuesto por el artículo 36 del Reglamento del Senado, la iniciativa de ley fue discutida solamente en general.</w:t>
      </w:r>
    </w:p>
    <w:p w:rsidR="009B2C56" w:rsidRPr="009B2C56" w:rsidRDefault="009B2C56" w:rsidP="009B2C56">
      <w:pPr>
        <w:widowControl w:val="0"/>
        <w:tabs>
          <w:tab w:val="left" w:pos="2835"/>
        </w:tabs>
        <w:jc w:val="center"/>
        <w:rPr>
          <w:rFonts w:eastAsia="Times New Roman" w:cs="Times New Roman"/>
          <w:b/>
          <w:szCs w:val="24"/>
          <w:lang w:val="es-ES" w:eastAsia="es-ES"/>
        </w:rPr>
      </w:pPr>
      <w:r w:rsidRPr="009B2C56">
        <w:rPr>
          <w:rFonts w:eastAsia="Times New Roman" w:cs="Times New Roman"/>
          <w:b/>
          <w:szCs w:val="24"/>
          <w:lang w:val="es-ES" w:eastAsia="es-ES"/>
        </w:rPr>
        <w:t>- - -</w:t>
      </w:r>
    </w:p>
    <w:p w:rsidR="009B2C56" w:rsidRPr="009B2C56" w:rsidRDefault="009B2C56" w:rsidP="009B2C56">
      <w:pPr>
        <w:tabs>
          <w:tab w:val="left" w:pos="2835"/>
        </w:tabs>
        <w:jc w:val="center"/>
        <w:rPr>
          <w:rFonts w:eastAsia="Times New Roman" w:cs="Arial"/>
          <w:b/>
          <w:szCs w:val="24"/>
          <w:lang w:val="es-ES" w:eastAsia="es-ES"/>
        </w:rPr>
      </w:pPr>
    </w:p>
    <w:p w:rsidR="009B2C56" w:rsidRPr="009B2C56" w:rsidRDefault="009B2C56" w:rsidP="009B2C56">
      <w:pPr>
        <w:ind w:firstLine="2835"/>
        <w:jc w:val="both"/>
        <w:rPr>
          <w:rFonts w:eastAsia="Calibri" w:cs="Arial"/>
          <w:szCs w:val="24"/>
        </w:rPr>
      </w:pPr>
      <w:r w:rsidRPr="009B2C56">
        <w:rPr>
          <w:rFonts w:eastAsia="Times New Roman" w:cs="Arial"/>
          <w:b/>
          <w:szCs w:val="24"/>
          <w:lang w:val="es-ES" w:eastAsia="es-ES"/>
        </w:rPr>
        <w:t>NORMAS DE QUÓRUM</w:t>
      </w:r>
    </w:p>
    <w:p w:rsidR="009B2C56" w:rsidRPr="009B2C56" w:rsidRDefault="009B2C56" w:rsidP="009B2C56">
      <w:pPr>
        <w:ind w:firstLine="2835"/>
        <w:jc w:val="both"/>
        <w:rPr>
          <w:rFonts w:eastAsia="Calibri" w:cs="Arial"/>
          <w:szCs w:val="24"/>
        </w:rPr>
      </w:pPr>
    </w:p>
    <w:p w:rsidR="009B2C56" w:rsidRPr="009B2C56" w:rsidRDefault="009B2C56" w:rsidP="009B2C56">
      <w:pPr>
        <w:ind w:firstLine="2835"/>
        <w:jc w:val="both"/>
        <w:rPr>
          <w:rFonts w:eastAsia="Times New Roman" w:cs="Times New Roman"/>
          <w:szCs w:val="24"/>
          <w:lang w:val="es-ES" w:eastAsia="es-ES"/>
        </w:rPr>
      </w:pPr>
      <w:r w:rsidRPr="009B2C56">
        <w:rPr>
          <w:rFonts w:eastAsia="Times New Roman" w:cs="Times New Roman"/>
          <w:szCs w:val="24"/>
          <w:lang w:val="es-ES" w:eastAsia="es-ES"/>
        </w:rPr>
        <w:t>El proyecto es materia de ley de quórum calificado, al tenor de lo que dispone el párrafo segundo del ordinal 21° del artículo 19 de la Constitución Política de la República, por lo que su aprobación en Sala requiere el voto conforme de la mayoría absoluta de los Senadores en ejercicio, según establece el inciso tercero del artículo 66 de la Carta Fundamental.</w:t>
      </w:r>
    </w:p>
    <w:p w:rsidR="009B2C56" w:rsidRPr="009B2C56" w:rsidRDefault="009B2C56" w:rsidP="009B2C56">
      <w:pPr>
        <w:ind w:firstLine="2835"/>
        <w:jc w:val="both"/>
        <w:rPr>
          <w:rFonts w:eastAsia="Times New Roman" w:cs="Times New Roman"/>
          <w:szCs w:val="24"/>
          <w:lang w:val="es-ES" w:eastAsia="es-ES"/>
        </w:rPr>
      </w:pPr>
    </w:p>
    <w:p w:rsidR="009B2C56" w:rsidRPr="009B2C56" w:rsidRDefault="009B2C56" w:rsidP="009B2C56">
      <w:pPr>
        <w:ind w:firstLine="2835"/>
        <w:jc w:val="both"/>
        <w:rPr>
          <w:rFonts w:eastAsia="Times New Roman" w:cs="Arial"/>
          <w:szCs w:val="24"/>
          <w:lang w:val="es-ES_tradnl" w:eastAsia="es-ES"/>
        </w:rPr>
      </w:pPr>
      <w:r w:rsidRPr="009B2C56">
        <w:rPr>
          <w:rFonts w:eastAsia="Times New Roman" w:cs="Times New Roman"/>
          <w:szCs w:val="24"/>
          <w:lang w:val="es-ES" w:eastAsia="es-ES"/>
        </w:rPr>
        <w:t xml:space="preserve">Asimismo, los números 1 y 2 del artículo 16, son de carácter orgánico constitucional, según los artículos 55, 92, 77, 108, 84, 99, 105, 118, 119, 113, 95 y 19, número 15°, de la Constitución Política de la República, en relación con el inciso segundo del artículo 66 de la Carta Fundamental. </w:t>
      </w:r>
      <w:r w:rsidRPr="009B2C56">
        <w:rPr>
          <w:rFonts w:eastAsia="Times New Roman" w:cs="Arial"/>
          <w:szCs w:val="24"/>
          <w:lang w:val="es-ES_tradnl" w:eastAsia="es-ES"/>
        </w:rPr>
        <w:t>Ello, además, en concordancia con lo resuelto por el Tribunal Constitucional en su sentencia rol N° 3312-17.</w:t>
      </w:r>
    </w:p>
    <w:p w:rsidR="009B2C56" w:rsidRPr="009B2C56" w:rsidRDefault="009B2C56" w:rsidP="009B2C56">
      <w:pPr>
        <w:ind w:firstLine="2835"/>
        <w:jc w:val="both"/>
        <w:rPr>
          <w:rFonts w:eastAsia="Times New Roman" w:cs="Times New Roman"/>
          <w:szCs w:val="24"/>
          <w:lang w:val="es-ES" w:eastAsia="es-ES"/>
        </w:rPr>
      </w:pPr>
    </w:p>
    <w:p w:rsidR="009B2C56" w:rsidRPr="009B2C56" w:rsidRDefault="009B2C56" w:rsidP="009B2C56">
      <w:pPr>
        <w:tabs>
          <w:tab w:val="left" w:pos="2835"/>
        </w:tabs>
        <w:jc w:val="center"/>
        <w:rPr>
          <w:rFonts w:eastAsia="Times New Roman" w:cs="Arial"/>
          <w:b/>
          <w:szCs w:val="24"/>
          <w:lang w:val="es-ES" w:eastAsia="es-ES"/>
        </w:rPr>
      </w:pPr>
      <w:r w:rsidRPr="009B2C56">
        <w:rPr>
          <w:rFonts w:eastAsia="Times New Roman" w:cs="Arial"/>
          <w:b/>
          <w:szCs w:val="24"/>
          <w:lang w:val="es-ES" w:eastAsia="es-ES"/>
        </w:rPr>
        <w:t>- - -</w:t>
      </w:r>
    </w:p>
    <w:p w:rsidR="009B2C56" w:rsidRPr="009B2C56" w:rsidRDefault="009B2C56" w:rsidP="009B2C56">
      <w:pPr>
        <w:tabs>
          <w:tab w:val="left" w:pos="2835"/>
        </w:tabs>
        <w:ind w:firstLine="2880"/>
        <w:jc w:val="both"/>
        <w:rPr>
          <w:rFonts w:eastAsia="Times New Roman" w:cs="Times New Roman"/>
          <w:szCs w:val="24"/>
          <w:lang w:eastAsia="es-ES"/>
        </w:rPr>
      </w:pPr>
    </w:p>
    <w:p w:rsidR="009B2C56" w:rsidRPr="009B2C56" w:rsidRDefault="009B2C56" w:rsidP="009B2C56">
      <w:pPr>
        <w:tabs>
          <w:tab w:val="left" w:pos="2835"/>
        </w:tabs>
        <w:jc w:val="center"/>
        <w:rPr>
          <w:rFonts w:eastAsia="Times New Roman" w:cs="Arial"/>
          <w:b/>
          <w:szCs w:val="24"/>
          <w:lang w:val="es-ES" w:eastAsia="es-ES"/>
        </w:rPr>
      </w:pPr>
      <w:r w:rsidRPr="009B2C56">
        <w:rPr>
          <w:rFonts w:eastAsia="Times New Roman" w:cs="Arial"/>
          <w:b/>
          <w:szCs w:val="24"/>
          <w:lang w:val="es-ES" w:eastAsia="es-ES"/>
        </w:rPr>
        <w:t>OBJETIVO DEL PROYECTO</w:t>
      </w:r>
    </w:p>
    <w:p w:rsidR="009B2C56" w:rsidRPr="009B2C56" w:rsidRDefault="009B2C56" w:rsidP="009B2C56">
      <w:pPr>
        <w:tabs>
          <w:tab w:val="left" w:pos="2835"/>
        </w:tabs>
        <w:jc w:val="both"/>
        <w:rPr>
          <w:rFonts w:eastAsia="Times New Roman" w:cs="Arial"/>
          <w:szCs w:val="24"/>
          <w:lang w:val="es-ES" w:eastAsia="es-ES"/>
        </w:rPr>
      </w:pPr>
    </w:p>
    <w:p w:rsidR="009B2C56" w:rsidRPr="009B2C56" w:rsidRDefault="009B2C56" w:rsidP="009B2C56">
      <w:pPr>
        <w:tabs>
          <w:tab w:val="left" w:pos="0"/>
          <w:tab w:val="left" w:pos="2835"/>
        </w:tabs>
        <w:ind w:firstLine="2835"/>
        <w:jc w:val="both"/>
        <w:rPr>
          <w:rFonts w:eastAsia="Times New Roman" w:cs="Arial"/>
          <w:szCs w:val="24"/>
          <w:lang w:val="es-ES" w:eastAsia="es-ES"/>
        </w:rPr>
      </w:pPr>
      <w:r w:rsidRPr="009B2C56">
        <w:rPr>
          <w:rFonts w:eastAsia="Times New Roman" w:cs="Arial"/>
          <w:szCs w:val="24"/>
          <w:lang w:val="es-ES" w:eastAsia="es-ES"/>
        </w:rPr>
        <w:t>Fortalecer la política de financiamiento por medio de la creación de una nueva empresa del Estado, Intermediación Financiera S.A. (INFISA), continuadora legal de la Sociedad Agrícola (SACOR) de CORFO, para, por una parte, proveer, financiar y gestionar programas de cobertura de financiamiento crediticio a través de una sociedad anónima estatal regida por las mismas normas financieras, contables y tributarias que las sociedades anónimas abiertas; y, por la otra, establecer una solución administrativa permanente de los programas de garantía ofrecidos por CORFO, mejorando los estándares de gestión de riesgo, de regulación y supervisión, y de gobierno corporativo.</w:t>
      </w:r>
    </w:p>
    <w:p w:rsidR="009B2C56" w:rsidRPr="009B2C56" w:rsidRDefault="009B2C56" w:rsidP="009B2C56">
      <w:pPr>
        <w:tabs>
          <w:tab w:val="left" w:pos="2835"/>
        </w:tabs>
        <w:jc w:val="both"/>
        <w:rPr>
          <w:rFonts w:eastAsia="Times New Roman" w:cs="Arial"/>
          <w:szCs w:val="24"/>
          <w:lang w:val="es-ES" w:eastAsia="es-ES"/>
        </w:rPr>
      </w:pPr>
    </w:p>
    <w:p w:rsidR="009B2C56" w:rsidRPr="009B2C56" w:rsidRDefault="009B2C56" w:rsidP="009B2C56">
      <w:pPr>
        <w:tabs>
          <w:tab w:val="left" w:pos="2835"/>
        </w:tabs>
        <w:jc w:val="center"/>
        <w:rPr>
          <w:rFonts w:eastAsia="Times New Roman" w:cs="Times New Roman"/>
          <w:b/>
          <w:szCs w:val="24"/>
          <w:lang w:val="es-ES" w:eastAsia="es-ES"/>
        </w:rPr>
      </w:pPr>
      <w:r w:rsidRPr="009B2C56">
        <w:rPr>
          <w:rFonts w:eastAsia="Times New Roman" w:cs="Arial"/>
          <w:b/>
          <w:szCs w:val="24"/>
          <w:lang w:val="es-ES" w:eastAsia="es-ES"/>
        </w:rPr>
        <w:t>- - -</w:t>
      </w:r>
    </w:p>
    <w:p w:rsidR="009B2C56" w:rsidRPr="009B2C56" w:rsidRDefault="009B2C56" w:rsidP="009B2C56">
      <w:pPr>
        <w:tabs>
          <w:tab w:val="left" w:pos="2835"/>
        </w:tabs>
        <w:jc w:val="both"/>
        <w:rPr>
          <w:rFonts w:eastAsia="MS Mincho" w:cs="Arial"/>
          <w:szCs w:val="24"/>
          <w:lang w:val="es-ES_tradnl" w:eastAsia="es-ES"/>
        </w:rPr>
      </w:pPr>
    </w:p>
    <w:p w:rsidR="009B2C56" w:rsidRPr="009B2C56" w:rsidRDefault="009B2C56" w:rsidP="009B2C56">
      <w:pPr>
        <w:tabs>
          <w:tab w:val="left" w:pos="2835"/>
        </w:tabs>
        <w:jc w:val="center"/>
        <w:rPr>
          <w:rFonts w:eastAsia="MS Mincho" w:cs="Arial"/>
          <w:b/>
          <w:szCs w:val="24"/>
          <w:lang w:val="es-ES_tradnl" w:eastAsia="es-ES"/>
        </w:rPr>
      </w:pPr>
      <w:r w:rsidRPr="009B2C56">
        <w:rPr>
          <w:rFonts w:eastAsia="MS Mincho" w:cs="Arial"/>
          <w:b/>
          <w:szCs w:val="24"/>
          <w:lang w:val="es-ES_tradnl" w:eastAsia="es-ES"/>
        </w:rPr>
        <w:t xml:space="preserve">VOTACIÓN GENERAL </w:t>
      </w:r>
    </w:p>
    <w:p w:rsidR="009B2C56" w:rsidRPr="009B2C56" w:rsidRDefault="009B2C56" w:rsidP="009B2C56">
      <w:pPr>
        <w:tabs>
          <w:tab w:val="left" w:pos="2835"/>
        </w:tabs>
        <w:jc w:val="center"/>
        <w:rPr>
          <w:rFonts w:eastAsia="MS Mincho" w:cs="Arial"/>
          <w:b/>
          <w:szCs w:val="24"/>
          <w:lang w:eastAsia="es-ES"/>
        </w:rPr>
      </w:pPr>
    </w:p>
    <w:p w:rsidR="009B2C56" w:rsidRPr="009B2C56" w:rsidRDefault="00874A0F" w:rsidP="009B2C56">
      <w:pPr>
        <w:tabs>
          <w:tab w:val="left" w:pos="2835"/>
        </w:tabs>
        <w:ind w:firstLine="2835"/>
        <w:jc w:val="both"/>
        <w:rPr>
          <w:rFonts w:eastAsia="MS Mincho" w:cs="Arial"/>
          <w:b/>
          <w:szCs w:val="24"/>
          <w:lang w:eastAsia="es-ES"/>
        </w:rPr>
      </w:pPr>
      <w:r>
        <w:rPr>
          <w:rFonts w:eastAsia="MS Mincho" w:cs="Arial"/>
          <w:b/>
          <w:szCs w:val="24"/>
          <w:lang w:eastAsia="es-ES"/>
        </w:rPr>
        <w:t>P</w:t>
      </w:r>
      <w:r w:rsidR="009B2C56" w:rsidRPr="009B2C56">
        <w:rPr>
          <w:rFonts w:eastAsia="MS Mincho" w:cs="Arial"/>
          <w:b/>
          <w:szCs w:val="24"/>
          <w:lang w:eastAsia="es-ES"/>
        </w:rPr>
        <w:t>u</w:t>
      </w:r>
      <w:r>
        <w:rPr>
          <w:rFonts w:eastAsia="MS Mincho" w:cs="Arial"/>
          <w:b/>
          <w:szCs w:val="24"/>
          <w:lang w:eastAsia="es-ES"/>
        </w:rPr>
        <w:t>esto</w:t>
      </w:r>
      <w:r w:rsidR="009B2C56" w:rsidRPr="009B2C56">
        <w:rPr>
          <w:rFonts w:eastAsia="MS Mincho" w:cs="Arial"/>
          <w:b/>
          <w:szCs w:val="24"/>
          <w:lang w:eastAsia="es-ES"/>
        </w:rPr>
        <w:t xml:space="preserve"> en votación el proyecto de ley, en general</w:t>
      </w:r>
      <w:r>
        <w:rPr>
          <w:rFonts w:eastAsia="MS Mincho" w:cs="Arial"/>
          <w:b/>
          <w:szCs w:val="24"/>
          <w:lang w:eastAsia="es-ES"/>
        </w:rPr>
        <w:t>, l</w:t>
      </w:r>
      <w:r w:rsidR="009B2C56" w:rsidRPr="009B2C56">
        <w:rPr>
          <w:rFonts w:eastAsia="MS Mincho" w:cs="Arial"/>
          <w:b/>
          <w:szCs w:val="24"/>
          <w:lang w:eastAsia="es-ES"/>
        </w:rPr>
        <w:t>a iniciativa resultó aprobada por la unanimidad de los miembros de la Comisi</w:t>
      </w:r>
      <w:r w:rsidR="009B2C56">
        <w:rPr>
          <w:rFonts w:eastAsia="MS Mincho" w:cs="Arial"/>
          <w:b/>
          <w:szCs w:val="24"/>
          <w:lang w:eastAsia="es-ES"/>
        </w:rPr>
        <w:t>ón</w:t>
      </w:r>
      <w:r w:rsidR="009B2C56" w:rsidRPr="009B2C56">
        <w:rPr>
          <w:rFonts w:eastAsia="MS Mincho" w:cs="Arial"/>
          <w:b/>
          <w:szCs w:val="24"/>
          <w:lang w:eastAsia="es-ES"/>
        </w:rPr>
        <w:t xml:space="preserve">, Honorables Senadores señores </w:t>
      </w:r>
      <w:r w:rsidR="009B2C56">
        <w:rPr>
          <w:rFonts w:eastAsia="MS Mincho" w:cs="Arial"/>
          <w:b/>
          <w:szCs w:val="24"/>
          <w:lang w:eastAsia="es-ES"/>
        </w:rPr>
        <w:t>Elizalde, García, Lagos,</w:t>
      </w:r>
      <w:r w:rsidR="009B2C56" w:rsidRPr="009B2C56">
        <w:rPr>
          <w:rFonts w:eastAsia="MS Mincho" w:cs="Arial"/>
          <w:b/>
          <w:szCs w:val="24"/>
          <w:lang w:eastAsia="es-ES"/>
        </w:rPr>
        <w:t xml:space="preserve"> </w:t>
      </w:r>
      <w:r w:rsidR="009B2C56">
        <w:rPr>
          <w:rFonts w:eastAsia="MS Mincho" w:cs="Arial"/>
          <w:b/>
          <w:szCs w:val="24"/>
          <w:lang w:eastAsia="es-ES"/>
        </w:rPr>
        <w:t xml:space="preserve">Pérez y </w:t>
      </w:r>
      <w:r w:rsidR="009B2C56" w:rsidRPr="009B2C56">
        <w:rPr>
          <w:rFonts w:eastAsia="MS Mincho" w:cs="Arial"/>
          <w:b/>
          <w:szCs w:val="24"/>
          <w:lang w:eastAsia="es-ES"/>
        </w:rPr>
        <w:t>Pizarro.</w:t>
      </w:r>
    </w:p>
    <w:p w:rsidR="009B2C56" w:rsidRPr="009B2C56" w:rsidRDefault="009B2C56" w:rsidP="009B2C56">
      <w:pPr>
        <w:tabs>
          <w:tab w:val="left" w:pos="2835"/>
        </w:tabs>
        <w:ind w:firstLine="2835"/>
        <w:jc w:val="both"/>
        <w:rPr>
          <w:rFonts w:eastAsia="Times New Roman" w:cs="Arial"/>
          <w:szCs w:val="24"/>
          <w:lang w:val="es-ES" w:eastAsia="es-ES"/>
        </w:rPr>
      </w:pPr>
    </w:p>
    <w:p w:rsidR="009B2C56" w:rsidRPr="009B2C56" w:rsidRDefault="009B2C56" w:rsidP="009B2C56">
      <w:pPr>
        <w:tabs>
          <w:tab w:val="left" w:pos="2835"/>
        </w:tabs>
        <w:jc w:val="center"/>
        <w:rPr>
          <w:rFonts w:eastAsia="MS Mincho" w:cs="Arial"/>
          <w:b/>
          <w:szCs w:val="24"/>
          <w:lang w:val="es-ES_tradnl" w:eastAsia="es-ES"/>
        </w:rPr>
      </w:pPr>
      <w:r w:rsidRPr="009B2C56">
        <w:rPr>
          <w:rFonts w:eastAsia="MS Mincho" w:cs="Arial"/>
          <w:b/>
          <w:szCs w:val="24"/>
          <w:lang w:val="es-ES_tradnl" w:eastAsia="es-ES"/>
        </w:rPr>
        <w:t>- - -</w:t>
      </w:r>
    </w:p>
    <w:p w:rsidR="009B2C56" w:rsidRDefault="009B2C56" w:rsidP="009B2C56">
      <w:pPr>
        <w:tabs>
          <w:tab w:val="left" w:pos="2835"/>
        </w:tabs>
        <w:jc w:val="center"/>
        <w:rPr>
          <w:rFonts w:eastAsia="MS Mincho" w:cs="Arial"/>
          <w:b/>
          <w:szCs w:val="24"/>
          <w:lang w:val="es-ES_tradnl" w:eastAsia="es-ES"/>
        </w:rPr>
      </w:pPr>
    </w:p>
    <w:p w:rsidR="00874A0F" w:rsidRDefault="00874A0F" w:rsidP="009B2C56">
      <w:pPr>
        <w:tabs>
          <w:tab w:val="left" w:pos="2835"/>
        </w:tabs>
        <w:jc w:val="center"/>
        <w:rPr>
          <w:rFonts w:eastAsia="MS Mincho" w:cs="Arial"/>
          <w:b/>
          <w:szCs w:val="24"/>
          <w:lang w:val="es-ES_tradnl" w:eastAsia="es-ES"/>
        </w:rPr>
      </w:pPr>
    </w:p>
    <w:p w:rsidR="00874A0F" w:rsidRPr="009B2C56" w:rsidRDefault="00874A0F" w:rsidP="009B2C56">
      <w:pPr>
        <w:tabs>
          <w:tab w:val="left" w:pos="2835"/>
        </w:tabs>
        <w:jc w:val="center"/>
        <w:rPr>
          <w:rFonts w:eastAsia="MS Mincho" w:cs="Arial"/>
          <w:b/>
          <w:szCs w:val="24"/>
          <w:lang w:val="es-ES_tradnl" w:eastAsia="es-ES"/>
        </w:rPr>
      </w:pPr>
      <w:bookmarkStart w:id="1" w:name="_GoBack"/>
      <w:bookmarkEnd w:id="1"/>
    </w:p>
    <w:p w:rsidR="009B2C56" w:rsidRPr="009B2C56" w:rsidRDefault="009B2C56" w:rsidP="009B2C56">
      <w:pPr>
        <w:jc w:val="center"/>
        <w:rPr>
          <w:rFonts w:eastAsia="MS Mincho" w:cs="Arial"/>
          <w:b/>
          <w:szCs w:val="24"/>
          <w:lang w:val="es-ES_tradnl" w:eastAsia="es-ES"/>
        </w:rPr>
      </w:pPr>
      <w:r w:rsidRPr="009B2C56">
        <w:rPr>
          <w:rFonts w:eastAsia="MS Mincho" w:cs="Arial"/>
          <w:b/>
          <w:szCs w:val="24"/>
          <w:lang w:val="es-ES_tradnl" w:eastAsia="es-ES"/>
        </w:rPr>
        <w:t>INFORME FINANCIERO</w:t>
      </w:r>
    </w:p>
    <w:p w:rsidR="009B2C56" w:rsidRPr="009B2C56" w:rsidRDefault="009B2C56" w:rsidP="009B2C56">
      <w:pPr>
        <w:jc w:val="center"/>
        <w:rPr>
          <w:rFonts w:eastAsia="MS Mincho" w:cs="Arial"/>
          <w:b/>
          <w:szCs w:val="24"/>
          <w:lang w:val="es-ES_tradnl" w:eastAsia="es-ES"/>
        </w:rPr>
      </w:pPr>
    </w:p>
    <w:p w:rsidR="0098272E" w:rsidRPr="0098272E" w:rsidRDefault="0098272E" w:rsidP="0098272E">
      <w:pPr>
        <w:widowControl w:val="0"/>
        <w:tabs>
          <w:tab w:val="left" w:pos="2835"/>
        </w:tabs>
        <w:ind w:firstLine="2835"/>
        <w:jc w:val="both"/>
        <w:rPr>
          <w:rFonts w:eastAsia="Times New Roman" w:cs="Times New Roman"/>
          <w:szCs w:val="24"/>
          <w:lang w:val="es-ES" w:eastAsia="es-ES"/>
        </w:rPr>
      </w:pPr>
      <w:r w:rsidRPr="0098272E">
        <w:rPr>
          <w:rFonts w:eastAsia="Times New Roman" w:cs="Times New Roman"/>
          <w:szCs w:val="24"/>
          <w:lang w:val="es-ES" w:eastAsia="es-ES"/>
        </w:rPr>
        <w:lastRenderedPageBreak/>
        <w:t>La Dirección de Presupuestos del Ministerio de Hacienda elaboró, con fecha 2 de enero de 2018, un Informe Financiero del siguiente tenor:</w:t>
      </w:r>
    </w:p>
    <w:p w:rsidR="0098272E" w:rsidRPr="0098272E" w:rsidRDefault="0098272E" w:rsidP="0098272E">
      <w:pPr>
        <w:widowControl w:val="0"/>
        <w:tabs>
          <w:tab w:val="left" w:pos="2835"/>
        </w:tabs>
        <w:ind w:firstLine="2835"/>
        <w:jc w:val="both"/>
        <w:rPr>
          <w:rFonts w:eastAsia="Times New Roman" w:cs="Times New Roman"/>
          <w:szCs w:val="24"/>
          <w:lang w:val="es-ES" w:eastAsia="es-ES"/>
        </w:rPr>
      </w:pPr>
    </w:p>
    <w:p w:rsidR="0098272E" w:rsidRPr="0098272E" w:rsidRDefault="0098272E" w:rsidP="0098272E">
      <w:pPr>
        <w:widowControl w:val="0"/>
        <w:ind w:firstLine="2835"/>
        <w:jc w:val="both"/>
        <w:rPr>
          <w:rFonts w:eastAsia="Courier New" w:cs="Arial"/>
          <w:b/>
          <w:color w:val="000000"/>
          <w:szCs w:val="24"/>
          <w:lang w:val="es-ES" w:eastAsia="es-ES" w:bidi="es-ES"/>
        </w:rPr>
      </w:pPr>
      <w:bookmarkStart w:id="2" w:name="bookmark2"/>
      <w:r w:rsidRPr="0098272E">
        <w:rPr>
          <w:rFonts w:eastAsia="Courier New" w:cs="Arial"/>
          <w:b/>
          <w:color w:val="000000"/>
          <w:szCs w:val="24"/>
          <w:lang w:val="es-ES" w:eastAsia="es-ES" w:bidi="es-ES"/>
        </w:rPr>
        <w:t>“I. Antecedentes</w:t>
      </w:r>
      <w:bookmarkEnd w:id="2"/>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El presente proyecto de ley crea una Sociedad Anónima del Estado denominada “Intermediación Financiera S.A.” para lo cual dispone, en términos generales, lo siguiente:</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a) Que se autoriza al Estado para desarrollar actividades empresariales de proveer, financiar y gestionar programas de cobertura y financiamiento crediticio, a través de una sociedad anónima que constituirán el Fisco (1%) y la Corporación de Fomento de la Producción (99%) y que se denominará “Intermediación Financiera S.A.”, o INFISA, la que se regirá por las normas de la presente ley y las aplicables a las sociedades anónimas abiertas.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b) En cuanto al Gobierno Corporativo, que la administración de la sociedad la ejercerá un directorio que estará compuesto por cinco miembros, de los cuales dos serán designados por el Presidente de la República, uno a propuesta del Ministro de Economía, Fomento y Turismo y otro por la Corporación de Fomento de la Producción y tres lo serán por el Comité SEP de la Corporación de Fomento de la Producción a partir de una terna propuesta, para cada cargo, por el Consejo de Alta Dirección Pública, los que tendrán la calidad de independientes.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c) Que INFISA estará sujeta a las normas contenidas en el inciso segundo del artículo 3° del decreto ley N° 1.056, de 1975, del Ministerio de Hacienda, que regula los aportes de capital a sociedades o empresas de cualquiera naturaleza; en el artículo 44 del decreto ley N° 1.263, de 1975, del Ministerio de Hacienda, sobre el compromiso del crédito público; en el artículo 11 de la ley N° 18.196 que establece normas complementarias de administración financiera, personal y de incidencia presupuestaria; y en el artículo 24 de la ley N° 18.482, relativa a las iniciativas de estudios y proyectos de inversión.</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Adicionalmente, que la sociedad se regirá por las mismas normas financieras, contables y tributarias que rigen para las sociedades anónimas abiertas. Sus balances y estados de situación financiera deberán ser sometidos a auditorías de entidades auditoras externas, de acuerdo al procedimiento que establezcan las referidas normas.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b/>
          <w:color w:val="000000"/>
          <w:szCs w:val="24"/>
          <w:lang w:val="es-ES" w:eastAsia="es-ES" w:bidi="es-ES"/>
        </w:rPr>
      </w:pPr>
      <w:bookmarkStart w:id="3" w:name="bookmark3"/>
      <w:r w:rsidRPr="0098272E">
        <w:rPr>
          <w:rFonts w:eastAsia="Courier New" w:cs="Arial"/>
          <w:b/>
          <w:color w:val="000000"/>
          <w:szCs w:val="24"/>
          <w:lang w:val="es-ES" w:eastAsia="es-ES" w:bidi="es-ES"/>
        </w:rPr>
        <w:t>II. Efecto del Proyecto sobre el Presupuesto Fiscal</w:t>
      </w:r>
      <w:bookmarkEnd w:id="3"/>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 xml:space="preserve">El proyecto de ley propuesto, no tiene efecto en los </w:t>
      </w:r>
      <w:r w:rsidRPr="0098272E">
        <w:rPr>
          <w:rFonts w:eastAsia="Courier New" w:cs="Arial"/>
          <w:color w:val="000000"/>
          <w:szCs w:val="24"/>
          <w:lang w:val="es-ES" w:eastAsia="es-ES" w:bidi="es-ES"/>
        </w:rPr>
        <w:lastRenderedPageBreak/>
        <w:t>ingresos del sector público para el año 2018.</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Por otro lado, el proyecto de ley no incrementa el gasto del gobierno central, dado que los aportes que se contemplan corresponden a transacciones de activos financieros. Así, por un lado, se autoriza a la Corporación de Fomento y Producción para que suscriba y pague el capital inicial que le corresponde, con cargo a los recursos autorizados a traspasar a SACOR SpA en el Programa de CORFO (Partida 07, Programa 06, Capítulo 01), contenido en la ley N° 21.053, de Presupuestos del Sector Público del año 2018, $168.264.000 miles, y por otro, se autoriza al Fisco a transferir a la nueva sociedad el monto correspondiente al 1% del capital inicial, correspondiente a $1.682.640 miles.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Para los años sucesivos, los efectos tanto en ingresos por utilidades que se produzcan y que los socios decidan retirar, así como en gastos, se incorporarán en las leyes de presupuestos del sector público respectivas.”.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Posteriormente, con fecha 30 de abril del presente, la Dirección de Presupuestos emitió un nuevo informe financiero, que acompañó a la indicación formulada por el Ejecutivo. Su contenido es el siguiente:</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b/>
          <w:color w:val="000000"/>
          <w:szCs w:val="24"/>
          <w:lang w:val="es-ES" w:eastAsia="es-ES" w:bidi="es-ES"/>
        </w:rPr>
      </w:pPr>
      <w:r w:rsidRPr="0098272E">
        <w:rPr>
          <w:rFonts w:eastAsia="Courier New" w:cs="Arial"/>
          <w:b/>
          <w:color w:val="000000"/>
          <w:szCs w:val="24"/>
          <w:lang w:val="es-ES" w:eastAsia="es-ES" w:bidi="es-ES"/>
        </w:rPr>
        <w:t>“I. Antecedentes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La presente indicación dispone la derogación del decreto ley N° 3.472, de 1980, que crea el Fondo de Garantía para Pequeños Empresarios (FOGAPE), a contar del 1 de enero del año siguiente a la fecha en que se encuentre plenamente constituida la Sociedad Anónima del Estado denominada “Intermediación Financiera S.A.” (INFISA). No obstante, las garantías vigentes a dicha fecha continuarán rigiéndose por el citado decreto.</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Además, ordena la transferencia de todos los recursos del mencionado Fondo a INFISA, a contar de igual fecha.</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Así mismo, autoriza al Ministerio de Hacienda para realizar a nombre del Fisco, mediante una o más decretos bajo la fórmula “Por Orden del Presidente de la República”, un aporte de capital especial a INFISA. Dicho aporte se realizará con cargo a la totalidad de los recursos transferidos de FOGAPE a INFISA, más los ajustes patrimoniales correspondientes según estados financieros del Fondo al 31 de diciembre del año anterior al de su derogación.</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b/>
          <w:color w:val="000000"/>
          <w:szCs w:val="24"/>
          <w:lang w:val="es-ES" w:eastAsia="es-ES" w:bidi="es-ES"/>
        </w:rPr>
      </w:pPr>
      <w:r w:rsidRPr="0098272E">
        <w:rPr>
          <w:rFonts w:eastAsia="Courier New" w:cs="Arial"/>
          <w:b/>
          <w:color w:val="000000"/>
          <w:szCs w:val="24"/>
          <w:lang w:val="es-ES" w:eastAsia="es-ES" w:bidi="es-ES"/>
        </w:rPr>
        <w:t>II. Efecto del Proyecto sobre el Presupuesto Fiscal</w:t>
      </w:r>
    </w:p>
    <w:p w:rsidR="0098272E" w:rsidRPr="0098272E" w:rsidRDefault="0098272E" w:rsidP="0098272E">
      <w:pPr>
        <w:widowControl w:val="0"/>
        <w:ind w:firstLine="2835"/>
        <w:jc w:val="both"/>
        <w:rPr>
          <w:rFonts w:eastAsia="Courier New" w:cs="Arial"/>
          <w:b/>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 xml:space="preserve">En atención a que la indicación dispone la </w:t>
      </w:r>
      <w:r w:rsidRPr="0098272E">
        <w:rPr>
          <w:rFonts w:eastAsia="Courier New" w:cs="Arial"/>
          <w:color w:val="000000"/>
          <w:szCs w:val="24"/>
          <w:lang w:val="es-ES" w:eastAsia="es-ES" w:bidi="es-ES"/>
        </w:rPr>
        <w:lastRenderedPageBreak/>
        <w:t>derogación FOGAPE, y autoriza al Fisco a realizar un aporte de capital especial a INFISA, por un monto equivalente al patrimonio de dicho Fondo, es dable concluir que ambas operaciones no incrementarán el gasto del Gobierno Central, por tratarse de transacciones de activos financieros.</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Para el cálculo del patrimonio del FOGAPE, el Banco del Estado de Chile (su administrador legal) deberá realizar un balance al 31 de diciembre del año anterior al de su derogación, con el fin de determinar el monto final del aporte de capital especial que realizará el Fisco a INFISA.</w:t>
      </w:r>
    </w:p>
    <w:p w:rsidR="0098272E" w:rsidRPr="0098272E" w:rsidRDefault="0098272E" w:rsidP="0098272E">
      <w:pPr>
        <w:widowControl w:val="0"/>
        <w:ind w:firstLine="2835"/>
        <w:jc w:val="both"/>
        <w:rPr>
          <w:rFonts w:eastAsia="Courier New" w:cs="Arial"/>
          <w:color w:val="000000"/>
          <w:szCs w:val="24"/>
          <w:lang w:val="es-ES" w:eastAsia="es-ES" w:bidi="es-ES"/>
        </w:rPr>
      </w:pPr>
    </w:p>
    <w:p w:rsidR="0098272E" w:rsidRPr="0098272E" w:rsidRDefault="0098272E" w:rsidP="0098272E">
      <w:pPr>
        <w:widowControl w:val="0"/>
        <w:ind w:firstLine="2835"/>
        <w:jc w:val="both"/>
        <w:rPr>
          <w:rFonts w:eastAsia="Courier New" w:cs="Arial"/>
          <w:color w:val="000000"/>
          <w:szCs w:val="24"/>
          <w:lang w:val="es-ES" w:eastAsia="es-ES" w:bidi="es-ES"/>
        </w:rPr>
      </w:pPr>
      <w:r w:rsidRPr="0098272E">
        <w:rPr>
          <w:rFonts w:eastAsia="Courier New" w:cs="Arial"/>
          <w:color w:val="000000"/>
          <w:szCs w:val="24"/>
          <w:lang w:val="es-ES" w:eastAsia="es-ES" w:bidi="es-ES"/>
        </w:rPr>
        <w:t>Cabe Informar que el último balance disponible del FOGAPE al 31.12.2017, arroja un patrimonio total de MM$ 143.897,3.”.</w:t>
      </w:r>
    </w:p>
    <w:p w:rsidR="009B2C56" w:rsidRPr="009B2C56" w:rsidRDefault="009B2C56" w:rsidP="009B2C56">
      <w:pPr>
        <w:widowControl w:val="0"/>
        <w:tabs>
          <w:tab w:val="left" w:pos="2835"/>
        </w:tabs>
        <w:ind w:firstLine="2835"/>
        <w:jc w:val="both"/>
        <w:rPr>
          <w:rFonts w:eastAsia="Courier New" w:cs="Arial"/>
          <w:color w:val="000000"/>
          <w:szCs w:val="24"/>
          <w:lang w:val="es-ES" w:eastAsia="es-ES" w:bidi="es-ES"/>
        </w:rPr>
      </w:pPr>
    </w:p>
    <w:p w:rsidR="009B2C56" w:rsidRPr="009B2C56" w:rsidRDefault="009B2C56" w:rsidP="009B2C56">
      <w:pPr>
        <w:autoSpaceDE w:val="0"/>
        <w:autoSpaceDN w:val="0"/>
        <w:ind w:firstLine="2835"/>
        <w:jc w:val="both"/>
        <w:rPr>
          <w:rFonts w:eastAsia="Calibri" w:cs="Arial"/>
          <w:szCs w:val="24"/>
          <w:lang w:val="es-ES_tradnl" w:eastAsia="es-ES"/>
        </w:rPr>
      </w:pPr>
      <w:r w:rsidRPr="009B2C56">
        <w:rPr>
          <w:rFonts w:eastAsia="Calibri" w:cs="Arial"/>
          <w:szCs w:val="24"/>
          <w:lang w:val="es-ES_tradnl" w:eastAsia="es-ES"/>
        </w:rPr>
        <w:t>Se deja constancia de los precedentes informes financieros en cumplimiento de lo dispuesto en artículo 17, inciso segundo, de la Ley Orgánica Constitucional del Congreso Nacional.</w:t>
      </w:r>
    </w:p>
    <w:p w:rsidR="009B2C56" w:rsidRPr="009B2C56" w:rsidRDefault="009B2C56" w:rsidP="009B2C56">
      <w:pPr>
        <w:widowControl w:val="0"/>
        <w:tabs>
          <w:tab w:val="left" w:pos="2835"/>
        </w:tabs>
        <w:jc w:val="center"/>
        <w:rPr>
          <w:rFonts w:eastAsia="Times New Roman" w:cs="Arial"/>
          <w:noProof/>
          <w:szCs w:val="24"/>
          <w:lang w:val="es-ES_tradnl" w:eastAsia="es-CL"/>
        </w:rPr>
      </w:pPr>
    </w:p>
    <w:p w:rsidR="009B2C56" w:rsidRPr="009B2C56" w:rsidRDefault="009B2C56" w:rsidP="009B2C56">
      <w:pPr>
        <w:widowControl w:val="0"/>
        <w:tabs>
          <w:tab w:val="left" w:pos="2835"/>
        </w:tabs>
        <w:jc w:val="center"/>
        <w:rPr>
          <w:rFonts w:eastAsia="Times New Roman" w:cs="Times New Roman"/>
          <w:b/>
          <w:szCs w:val="24"/>
          <w:lang w:val="es-ES_tradnl" w:eastAsia="es-ES"/>
        </w:rPr>
      </w:pPr>
      <w:r w:rsidRPr="009B2C56">
        <w:rPr>
          <w:rFonts w:eastAsia="Times New Roman" w:cs="Times New Roman"/>
          <w:b/>
          <w:szCs w:val="24"/>
          <w:lang w:val="es-ES_tradnl" w:eastAsia="es-ES"/>
        </w:rPr>
        <w:t>- - -</w:t>
      </w:r>
    </w:p>
    <w:p w:rsidR="00B125E0" w:rsidRDefault="00B125E0">
      <w:pPr>
        <w:rPr>
          <w:rFonts w:eastAsia="Times New Roman" w:cs="Times New Roman"/>
          <w:b/>
          <w:szCs w:val="24"/>
          <w:lang w:val="es-ES_tradnl" w:eastAsia="es-ES"/>
        </w:rPr>
      </w:pPr>
      <w:r>
        <w:rPr>
          <w:rFonts w:eastAsia="Times New Roman" w:cs="Times New Roman"/>
          <w:b/>
          <w:szCs w:val="24"/>
          <w:lang w:val="es-ES_tradnl" w:eastAsia="es-ES"/>
        </w:rPr>
        <w:br w:type="page"/>
      </w:r>
    </w:p>
    <w:p w:rsidR="009B2C56" w:rsidRPr="009B2C56" w:rsidRDefault="009B2C56" w:rsidP="009B2C56">
      <w:pPr>
        <w:widowControl w:val="0"/>
        <w:tabs>
          <w:tab w:val="left" w:pos="2835"/>
        </w:tabs>
        <w:jc w:val="center"/>
        <w:rPr>
          <w:rFonts w:eastAsia="Times New Roman" w:cs="Times New Roman"/>
          <w:b/>
          <w:szCs w:val="24"/>
          <w:lang w:val="es-ES" w:eastAsia="es-ES"/>
        </w:rPr>
      </w:pPr>
      <w:r w:rsidRPr="009B2C56">
        <w:rPr>
          <w:rFonts w:eastAsia="Times New Roman" w:cs="Times New Roman"/>
          <w:b/>
          <w:szCs w:val="24"/>
          <w:lang w:val="es-ES" w:eastAsia="es-ES"/>
        </w:rPr>
        <w:lastRenderedPageBreak/>
        <w:t>TEXTO DEL PROYECTO</w:t>
      </w:r>
    </w:p>
    <w:p w:rsidR="009B2C56" w:rsidRPr="009B2C56" w:rsidRDefault="009B2C56" w:rsidP="009B2C56">
      <w:pPr>
        <w:widowControl w:val="0"/>
        <w:tabs>
          <w:tab w:val="left" w:pos="2835"/>
        </w:tabs>
        <w:rPr>
          <w:rFonts w:eastAsia="Times New Roman" w:cs="Times New Roman"/>
          <w:b/>
          <w:szCs w:val="24"/>
          <w:lang w:val="es-ES" w:eastAsia="es-ES"/>
        </w:rPr>
      </w:pPr>
    </w:p>
    <w:p w:rsidR="009B2C56" w:rsidRPr="009B2C56" w:rsidRDefault="009B2C56" w:rsidP="009B2C56">
      <w:pPr>
        <w:widowControl w:val="0"/>
        <w:tabs>
          <w:tab w:val="left" w:pos="0"/>
          <w:tab w:val="left" w:pos="2835"/>
        </w:tabs>
        <w:ind w:firstLine="2880"/>
        <w:jc w:val="both"/>
        <w:rPr>
          <w:rFonts w:eastAsia="Times New Roman" w:cs="Arial"/>
          <w:szCs w:val="24"/>
          <w:lang w:val="es-ES" w:eastAsia="es-ES"/>
        </w:rPr>
      </w:pPr>
      <w:r w:rsidRPr="009B2C56">
        <w:rPr>
          <w:rFonts w:eastAsia="Times New Roman" w:cs="Arial"/>
          <w:szCs w:val="24"/>
          <w:lang w:val="es-ES" w:eastAsia="es-ES"/>
        </w:rPr>
        <w:t>En mérito del acuerdo precedentemente expuesto, la</w:t>
      </w:r>
      <w:r w:rsidRPr="009B2C56">
        <w:rPr>
          <w:rFonts w:eastAsia="Times New Roman" w:cs="Times New Roman"/>
          <w:szCs w:val="24"/>
          <w:lang w:val="es-ES" w:eastAsia="es-ES"/>
        </w:rPr>
        <w:t xml:space="preserve"> Comisi</w:t>
      </w:r>
      <w:r w:rsidR="0098272E">
        <w:rPr>
          <w:rFonts w:eastAsia="Times New Roman" w:cs="Times New Roman"/>
          <w:szCs w:val="24"/>
          <w:lang w:val="es-ES" w:eastAsia="es-ES"/>
        </w:rPr>
        <w:t>ón</w:t>
      </w:r>
      <w:r w:rsidRPr="009B2C56">
        <w:rPr>
          <w:rFonts w:eastAsia="Times New Roman" w:cs="Times New Roman"/>
          <w:szCs w:val="24"/>
          <w:lang w:val="es-ES" w:eastAsia="es-ES"/>
        </w:rPr>
        <w:t xml:space="preserve"> de Hacienda</w:t>
      </w:r>
      <w:r w:rsidRPr="009B2C56">
        <w:rPr>
          <w:rFonts w:eastAsia="Times New Roman" w:cs="Arial"/>
          <w:szCs w:val="24"/>
          <w:lang w:val="es-ES" w:eastAsia="es-ES"/>
        </w:rPr>
        <w:t xml:space="preserve"> tiene</w:t>
      </w:r>
      <w:r w:rsidR="0098272E">
        <w:rPr>
          <w:rFonts w:eastAsia="Times New Roman" w:cs="Arial"/>
          <w:szCs w:val="24"/>
          <w:lang w:val="es-ES" w:eastAsia="es-ES"/>
        </w:rPr>
        <w:t xml:space="preserve"> </w:t>
      </w:r>
      <w:r w:rsidRPr="009B2C56">
        <w:rPr>
          <w:rFonts w:eastAsia="Times New Roman" w:cs="Arial"/>
          <w:szCs w:val="24"/>
          <w:lang w:val="es-ES" w:eastAsia="es-ES"/>
        </w:rPr>
        <w:t xml:space="preserve">el honor de proponer la aprobación en general del proyecto de ley en informe, en los mismos términos en que fue despachado por la Cámara de Diputados en primer trámite constitucional, cuyo texto es el siguiente: </w:t>
      </w:r>
    </w:p>
    <w:p w:rsidR="009B2C56" w:rsidRPr="009B2C56" w:rsidRDefault="009B2C56" w:rsidP="009B2C56">
      <w:pPr>
        <w:widowControl w:val="0"/>
        <w:tabs>
          <w:tab w:val="left" w:pos="2835"/>
        </w:tabs>
        <w:jc w:val="both"/>
        <w:rPr>
          <w:rFonts w:eastAsia="Times New Roman" w:cs="Times New Roman"/>
          <w:szCs w:val="24"/>
          <w:lang w:val="es-ES" w:eastAsia="es-ES"/>
        </w:rPr>
      </w:pPr>
    </w:p>
    <w:p w:rsidR="009B2C56" w:rsidRPr="009B2C56" w:rsidRDefault="009B2C56" w:rsidP="009B2C56">
      <w:pPr>
        <w:widowControl w:val="0"/>
        <w:tabs>
          <w:tab w:val="left" w:pos="2835"/>
        </w:tabs>
        <w:jc w:val="center"/>
        <w:rPr>
          <w:rFonts w:eastAsia="Times New Roman" w:cs="Times New Roman"/>
          <w:b/>
          <w:szCs w:val="24"/>
          <w:lang w:val="es-ES" w:eastAsia="es-ES"/>
        </w:rPr>
      </w:pPr>
      <w:bookmarkStart w:id="4" w:name="ProyectoDeLey"/>
      <w:r w:rsidRPr="009B2C56">
        <w:rPr>
          <w:rFonts w:eastAsia="Times New Roman" w:cs="Times New Roman"/>
          <w:b/>
          <w:szCs w:val="24"/>
          <w:lang w:val="es-ES" w:eastAsia="es-ES"/>
        </w:rPr>
        <w:t>PROYECTO DE LEY:</w:t>
      </w:r>
    </w:p>
    <w:bookmarkEnd w:id="4"/>
    <w:p w:rsidR="009B2C56" w:rsidRDefault="009B2C56"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“Título I</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De la autorización para la creación de “Intermediación Financiera 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 Autorización. Autorízase al Estado para desarrollar las actividades empresariales de proveer, financiar y gestionar programas de cobertura y de financiamiento crediticio a entidades financieras.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2.- Creación de la sociedad. De acuerdo con la autorización establecida en el artículo anterior, el Fisco y la Corporación de Fomento de la Producción, en conformidad a su ley orgánica, constituirán, dentro del plazo de doce meses contado desde la entrada en vigencia de la presente ley, una sociedad anónima que se denominará “Intermediación Financiera S.A.”, en adelante e indistintamente “INFISA”, la que se regirá por las normas de la presente ley y, en lo no establecido en ella, por las normas de las sociedades anónimas abiertas.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3.- Estatutos sociales. Facúltase al Ministro de Hacienda para que, en representación del Fisco, y conjuntamente con el Vicepresidente Ejecutivo de la Corporación de Fomento de la Producción, concurran a la aprobación de los estatutos sociales, a sus modificaciones posteriores y a suscribir los documentos pertinentes y necesarios para dicho fin.</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4.- Atribuciones y obligaciones. Para el desarrollo de su objeto, INFISA podrá:</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Constituir y administrar fondos de cobertura de riesgo que tendrán por objetivo respaldar coberturas otorgadas de conformidad con su objeto social.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Estos fondos sólo podrán caucionar obligaciones hasta el monto referido en el decreto que corresponda y deberán sujetarse a lo dispuesto en el artículo 12 de la ley N° 20.128, sobre Responsabilidad Fiscal.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lastRenderedPageBreak/>
        <w:t>2. Contraer obligaciones indirectas, otorgar coberturas y comprometer subsidios contingentes con cargo a los fondos que constituya y administre, destinados a operaciones de financiamiento de entidades financieras, con sujeción a los términos que establezca la autorización respectiva a que hace referencia el artículo 44 del decreto ley N° 1.263, de 1975, Ley Orgánica de Administración Financiera del Estado.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Otorgar coberturas para la emisión de títulos de deuda de securitización, regulados en el título XVIII de la ley N° 18.045, de Mercado de Valores, y para la emisión de todo otro instrumento financiero del mercado de capitales destinada a operaciones de financiamiento de entidades financieras.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4. Otorgar préstamos a entidades financieras, cuyos recursos sean destinados al refinanciamiento de sus operaciones de crédito.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5. Adquirir títulos de deuda de entidades financieras.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Se consideran entidades financieras a instituciones financieras bancarias y no bancarias, incluyendo cooperativas de ahorro y crédito, fondos de inversión e intermediarios del mercado de valores y demás originadores de créditos.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En el ejercicio de todas estas atribuciones, INFISA deberá orientarse a la sustentabilidad financiera de la sociedad y cada uno de sus fondos.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El Ministro de Hacienda, mediante decreto expedido bajo la fórmula “Por Orden del Presidente de la República” y que llevará la firma del Ministro de Economía, Fomento y Turismo, determinará las normas bajo las cuales se constituirán los fondos de cobertura de riesgo, teniendo en consideración una adecuada distribución regional; el monto de veces de su patrimonio bajo el cual dichos fondos podrán caucionar obligaciones y se establecerán las operaciones de cobertura por parte de INFISA. En el mes de marzo de cada año INFISA deberá informar sus estados financieros y de operación a la Comisión Especial Mixta de Presupuestos.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5.- Programas de cobertura y financiamiento. En caso de que la Administración del Estado solicite o requiera a INFISA incorporar programas de cobertura y de financiamiento, deberá observarse el siguiente procedimiento: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1. Cada programa requerirá, previo a su puesta en vigencia, de la suscripción de un convenio entre la Corporación de Fomento de la Producción y la sociedad, representada por su directorio, en que se </w:t>
      </w:r>
      <w:r w:rsidRPr="0098272E">
        <w:rPr>
          <w:rFonts w:eastAsia="Times New Roman" w:cs="Arial"/>
          <w:szCs w:val="24"/>
          <w:lang w:val="es-ES" w:eastAsia="es-ES"/>
        </w:rPr>
        <w:lastRenderedPageBreak/>
        <w:t>establezca, a lo menos, el propósito y esquema de evaluación de resultados e impacto, y principalmente la sustentabilidad financiera de cada uno de los programas.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En caso de que el directorio evalúe que la ejecución de un programa que se pretenda implementar resulte no sustentable financieramente, se deberá contemplar en el convenio descrito en el numeral anterior, la transferencia de recursos a la sociedad, con cargo al presupuesto que corresponda, con el fin de cautelar el patrimonio de la sociedad y/o del respectivo fondo de cobertura.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En caso de que la Corporación de Fomento de la Producción y el directorio no concuerden en el efecto patrimonial de los programas antes señalados, INFISA deberá contratar una asesoría especializada externa con el fin de proceder a una evaluación independiente de dichos efectos.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6.- Participación social. En la constitución de INFISA, corresponderá al Fisco una participación inicial del 1% del capital social y a la Corporación de Fomento de la Producción una participación del 99%.</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En ningún caso la suma de las acciones del Fisco y de la Corporación de Fomento de la Producción podrá ser inferior al 100% del total de las acciones de la sociedad respectiva.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7.- Patrimonio. El patrimonio de INFISA estará constituido por:</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El capital inicial que suscribirán y pagarán el Fisco y la Corporación de Fomento de la Producción en proporción a la participación accionaria de cada uno.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Las utilidades que obtenga en el desarrollo de sus actividades financieras comerciales cuya capitalización haya sido autorizada por la junta de accionistas.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Los ingresos por comisiones de administración de los fondos de coberturas.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4. En general, toda clase de bienes que adquiera a cualquier título, inclusive donaciones, las que estarán exentas del trámite de insinuación a que se refiere el artículo 1401 del Código Civil.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Artículo 8.- Trámites de constitución y aportes de capital. Los actos, contratos, publicaciones, inscripciones y subinscripciones que tengan por objeto o sean originados por la constitución de la sociedad </w:t>
      </w:r>
      <w:r w:rsidRPr="0098272E">
        <w:rPr>
          <w:rFonts w:eastAsia="Times New Roman" w:cs="Arial"/>
          <w:szCs w:val="24"/>
          <w:lang w:val="es-ES" w:eastAsia="es-ES"/>
        </w:rPr>
        <w:lastRenderedPageBreak/>
        <w:t>anónima a que se refiere esta ley, o los posteriores aportes de capital, estarán exentos de todo impuesto o derecho.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Las inscripciones y anotaciones existentes a nombre del Fisco sobre los bienes que se aporten al capital social se entenderán hechas en favor de la sociedad anónima a que se refiere esta ley por el solo ministerio de la ley. Los Conservadores de Bienes Raíces y el Servicio de Registro Civil e Identificación deberán practicar las inscripciones y anotaciones que procedan con el solo mérito del decreto que asigne dichos bienes a la referida sociedad anónima.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Título II</w:t>
      </w: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Del funcionamiento de INFISA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9.- Administración. La administración de la sociedad corresponderá a su directorio, que elegirá a su presidente de entre sus directores independientes, debiendo ser renovado cada dos años y pudiendo ser reelegido por una única vez, mientras mantenga su calidad de director. Asimismo, el directorio designará un gerente general que tendrá la representación legal de INFISA, no pudiendo ser director o directora de ésta.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El quórum para el funcionamiento del directorio será la mayoría de sus miembros. Los acuerdos deberán ser adoptados por la mayoría absoluta de los miembros presentes. El gerente general concurrirá a las sesiones con derecho a voz.</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10.- Conformación del directorio. El directorio estará compuesto por cinco miembros: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Dos miembros designados por el Presidente de la República, a proposición del Ministerio de Economía, Fomento y Turismo.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Tres miembros elegidos por el Comité del Sistema de Empresas Públicas de la Corporación de Fomento de la Producción (en adelante también, indistintamente, “Comité SEP” o “SEP”) de acuerdo al proceso de selección regulado en el artículo 12, sin perjuicio del nombramiento de director provisional de conformidad al artículo 14.</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Quienes hayan sido designados de conformidad con lo dispuesto en el numeral dos tendrán el carácter de independientes, entendiendo por éstos aquéllos que no mantengan vinculación alguna con la sociedad, ni con los ejecutivos principales, ni que se encuentren en alguna de las circunstancias contempladas en el inciso tercero del artículo 50 bis de la ley N° 18.046, sobre Sociedades Anónimas, que pueda generar un potencial conflicto de interés de conformidad a lo establecido en el artículo 44 del mismo cuerpo legal.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lastRenderedPageBreak/>
        <w:t>Si algún o algunos miembros nombrados de acuerdo al numeral uno anterior cesaren en sus funciones antes de cumplirse el periodo respectivo, se procederá a designar de la misma forma prevista en dicho numeral dentro del plazo de un mes desde la fecha de cese de funciones.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Los directores durarán cuatro años en sus cargos y podrán ser renovados inmediatamente por un nuevo período una única vez. El directorio se renovará por parcialidades de duplas y ternas, las cuales deberán contemplar al menos un miembro independiente del directorio.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11.- Requisitos e inhabilidades para ser director. Cada director deberá:</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Ser mayor de edad.</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Estar en posesión de un grado académico o título profesional de una carrera de, a lo menos, ocho semestres de duración, otorgado por una universidad o instituto profesional del Estado o reconocidos por éste, o un grado académico o título profesional otorgado por entidad extranjera reconocido o validado de acuerdo a la normativa vigente, en el área de administración, gestión, finanzas o economía.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Acreditar una experiencia profesional de, a lo menos, cuatro años, continuos o no, como director, gerente, administrador o ejecutivo principal en empresas públicas o privadas; en cargos de primer o segundo nivel jerárquico o asimilables en servicios públicos; como asesor estratégico en aspectos económicos, empresariales o de gestión en el área o giro específico de INFISA.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4. Poseer antecedentes comerciales y tributarios intachables, que se entienden como: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 No registrar protestos vigentes de documentos no aclarados.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b) Encontrarse al día en el cumplimiento de sus obligaciones tributarias, de acuerdo al certificado que emita al efecto la Tesorería General de la República dando cuenta de este hecho.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5. No haber sido condenado por delito que merezca pena aflictiva o de inhabilitación perpetua para desempeñar cargos u oficios públicos, por delitos de prevaricación, cohecho y, en general, aquellos cometidos en ejercicio de la función pública; delitos tributarios; delitos contemplados en la ley N° 18.045; delitos contra la fe pública; o por violencia intrafamiliar constitutiva de delito conforme a la ley N° 20.066.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lastRenderedPageBreak/>
        <w:t>6. No tener dependencia de sustancias o drogas estupefacientes o sicotrópicas cuya venta no se encuentre autorizada por la ley, a menos que justifique su consumo por un tratamiento médico.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7. No tener la calidad de deudor en un procedimiento concursal de liquidación personalmente o como administrador o representante legal y no haber sido condenado por sentencia ejecutoriada por delitos concursales establecidos en el Código Penal.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8. No haber sido sancionado por la Comisión para el Mercado Financiero, dentro de los cuatro años anteriores a su nombramiento, por infracciones graves de la ley N° 18.045 o la ley N° 18.046.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9. No haber sido sancionado por atentados contra la libre competencia, personalmente o en calidad de administrador, ejecutivo o representante legal de la persona, natural o jurídica, sancionada de conformidad a lo dispuesto en el decreto con fuerza de ley N° 1, de 2004, del Ministerio de Economía, Fomento y Reconstrucción, que fija el texto refundido, coordinado y sistematizado del decreto ley N° 211, de 1973, que establece normas para la defensa de la libre competencia.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10. No tener interés en actividades que se enmarquen dentro del giro de la empresa. Para estos efectos, se entenderá que tiene interés quien tenga o adquiera, a cualquier título, participación en la propiedad de cualquier sociedad, empresa o entidad que desarrolle actividades dentro del giro de INFISA.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Asimismo, se entenderá que tiene interés cuando su cónyuge o conviviente civil, sus parientes hasta el segundo grado de consanguinidad o de afinidad inclusive, o por personas a las que estén ligadas por vínculos de adopción, tengan o adquieran derechos sobre dichas empresas.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11. No haber sido afectado por la revocación a que se refiere el artículo 77 de la ley N° 18.046.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12. No estar afecto, al momento de asumir sus funciones, a las incompatibilidades señaladas en el artículo 16.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Si una vez designado en el cargo sobreviniere a un director alguna de las inhabilidades señaladas en los numerales precedentes, deberá informarlo inmediatamente al directorio y cesará automáticamente en su cargo.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Asimismo, hasta seis meses después de haber cesado su cargo, no podrá tener participación en la propiedad o ejercer el </w:t>
      </w:r>
      <w:r w:rsidRPr="0098272E">
        <w:rPr>
          <w:rFonts w:eastAsia="Times New Roman" w:cs="Arial"/>
          <w:szCs w:val="24"/>
          <w:lang w:val="es-ES" w:eastAsia="es-ES"/>
        </w:rPr>
        <w:lastRenderedPageBreak/>
        <w:t>cargo de director de una empresa cuyo objeto o giro comercial sea el mismo que el de INFISA.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12.- Proceso de selección de los miembros independientes del directorio. Con una antelación de seis meses a la fecha de expiración del cargo de director independiente a ser renovado, el Comité SEP encomendará al Consejo de Alta Dirección Pública el proceso de selección de candidatos. Este proceso se realizará de acuerdo a las normas y procedimientos de los altos directivos públicos del primer nivel jerárquico contenidos en la ley N° 19.882 y las regulaciones establecidas para estos mismos efectos por el Consejo de la Alta Dirección Pública.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Este Consejo presentará una terna por cada cargo al Comité SEP para la selección de los miembros independientes del directorio.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En el nombramiento de directores, el Consejo SEP deberá propender a que ningún sexo tenga una representación mayor al 60% en el directorio.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13.- Remoción del directorio. El directorio sólo podrá ser revocado en su totalidad por la junta de accionistas, sin que proceda en consecuencia la revocación individual o colectiva de uno o más de sus miembros, de acuerdo al artículo 38 de la ley N° 18.046.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14.- Directores independientes provisionales. El Comité SEP, dentro del plazo de un mes de ocurrida una vacancia debido a que alguno de los directores independientes cesare en sus funciones antes de cumplirse el período respectivo, podrá designar a un director o directores provisionales. Éstos ejercerán su cargo por un periodo máximo de cuatro meses.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Asimismo, en el momento de producirse la vacancia, el SEP encomendará al Consejo de Alta Dirección Pública iniciar el proceso de selección de acuerdo al artículo 12, debiendo proponer dentro de tres meses la o las ternas indicadas. Por su parte, el Comité SEP tendrá un mes contado desde la recepción de las ternas para seleccionar al o los nuevos miembros del directorio.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Concluido el proceso de selección y elegido el miembro del directorio definitivo, el director provisional cesará automáticamente en su cargo.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El nuevo director que reemplace a un miembro que cesó en sus funciones antes de cumplirse el período respectivo, será designado por el período restante, descontando los meses en que se desempeñó el director provisional. En caso de que éste sea inferior a un año, </w:t>
      </w:r>
      <w:r w:rsidRPr="0098272E">
        <w:rPr>
          <w:rFonts w:eastAsia="Times New Roman" w:cs="Arial"/>
          <w:szCs w:val="24"/>
          <w:lang w:val="es-ES" w:eastAsia="es-ES"/>
        </w:rPr>
        <w:lastRenderedPageBreak/>
        <w:t>podrá renovarse su nombramiento hasta por dos veces consecutivas de acuerdo al procedimiento del artículo 12.</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Por su parte, el reemplazo en caso de remoción total del directorio será por el período establecido en el artículo 10.</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15.- Dieta. Las dietas de los directores serán fijadas por el SEP, previa visación de la Dirección de Presupuestos del Ministerio de Hacienda. Éstas podrán contemplar componentes variables que dependan del cumplimiento de metas y de convenios de desempeño previamente fijados.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16.- Incompatibilidades. El cargo de director será incompatible con:</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El cargo de 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El cargo de ministro de Estado, subsecretario, jefe superior de un servicio público, intendente y gobernador; alcalde y concejal; consejero regional; miembro del escalafón primario del Poder Judicial; secretario y relator del Tribunal Constitucional; fiscal del Ministerio Público; miembro del Tribunal Calificador de Elecciones y su secretario-relator; miembro de los demás tribunales creados por ley; consejero del Consejo de Defensa del Estado; funcionario de un órgano fiscalizador de las empresas o entidades a las que sea aplicable la presente ley; miembro del Comité SEP de la Corporación de Fomento de la Producción; miembro de los órganos ejecutivos de los partidos políticos a nivel nacional y regional, candidatos a cargos de elección popular, y dirigentes de asociaciones gremiales o sindicales.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La incompatibilidad de los candidatos a cargos de elección popular regirá desde la inscripción de las candidaturas hasta cumplidos seis meses desde la fecha de la respectiva elección. En el caso de los dirigentes gremiales y sindicales, la incompatibilidad regirá, asimismo, hasta cumplidos seis meses desde la fecha de cesación en el cargo gremial o sindical, según correspondiere.</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Tener participación en la propiedad o ejercer el cargo de director o gerente de una empresa cuyo objeto o giro comercial sea el mismo que el de la empresa regulada por la presente ley. Esta prohibición se mantendrá hasta seis meses después de que el director haya cesado en su cargo en la empresa cuyo objeto o giro comercial sea el mismo que INFISA.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lastRenderedPageBreak/>
        <w:t>Si una vez designado en el cargo sobreviniere a un director alguna de las incompatibilidades señaladas en los numerales precedentes, deberá informarlo inmediatamente al directorio y al Comité SEP, cesando automáticamente en su cargo.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17.- Declaración jurada. Las personas que hayan sido designadas para desempeñarse como directores deberán presentar ante el Comité SEP, al momento de asumir sus funciones, una declaración jurada que acredite el cumplimiento de los requisitos y que no se encuentran afectas a las inhabilidades e incompatibilidades establecidas en los artículos 11 y 16 de esta ley.</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18.- Deber de abstención. Los directores deberán abstenerse de participar y votar cuando se traten materias o se resuelvan asuntos en que puedan tener interés, debiendo además informar al directorio el conflicto de interés que les afecta, lo que deberá consignarse en el acta respectiva.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Se entenderá que los directores tienen interés cuando: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Las decisiones o asuntos se refieran a los casos contenidos en el inciso tercero del artículo 44 de la ley N° 18.046.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La decisión que se adopte tenga relación directa con los bienes y actividades que deben ser declarados conforme al artículo 7° de la ley N° 20.880, o con las situaciones indicadas en el artículo 12 de la ley N° 19.880.</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Las decisiones o asuntos a tratar se refieran o tengan implicancias sobre sociedades o entidades en las que se hubiere desempeñado en los últimos doce meses anteriores a su designación como director, administrador, gerente, trabajador dependiente, consejero, mandatario, alto ejecutivo o miembro de algún comité, como también de sus matrices, filiales o coligadas.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Este deber se extenderá a los cónyuges, convivientes civiles y parientes hasta el segundo grado de consanguinidad y afinidad de los directores.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4. Cualquier otra circunstancia que, a su juicio, le reste imparcialidad en la toma de decisiones relativas a su cargo, debiendo informarlo al directorio.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La ausencia del director que se haya abstenido de participar de una determinada sesión en virtud de las causales referidas en el </w:t>
      </w:r>
      <w:r w:rsidRPr="0098272E">
        <w:rPr>
          <w:rFonts w:eastAsia="Times New Roman" w:cs="Arial"/>
          <w:szCs w:val="24"/>
          <w:lang w:val="es-ES" w:eastAsia="es-ES"/>
        </w:rPr>
        <w:lastRenderedPageBreak/>
        <w:t>presente artículo se entenderá, para todos los efectos de esta ley, como justificada.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19.- Prohibición de delegar. La función de director no es delegable.</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20.- Causales de cesación. Únicamente serán causales de cesación en el cargo de director las siguientes: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1. Expiración del plazo por el que fue nombrado.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2. Renuncia presentada ante el directorio de la empresa.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3. Incapacidad legal sobreviniente para el desempeño del cargo.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4. Incurrir en alguna causal de inhabilidad o incompatibilidad.</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5. Falta grave al cumplimiento de sus obligaciones como director. Serán faltas graves:</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 La inasistencia injustificada a cuatro sesiones ordinarias del directorio en un año calendario.</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b) Haber incluido datos inexactos o haber omitido inexcusablemente información relevante en la declaración jurada de inhabilidades e incompatibilidades a que se refiere el artículo 17 de esta ley.</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c) Haber intervenido o votado en acuerdos que incidan en operaciones en las que su persona, su cónyuge, conviviente civil, o sus parientes hasta el segundo grado de consanguinidad o afinidad inclusive, tengan un interés de carácter patrimonial.</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d) Haber infringido alguna de las prohibiciones o incumplido alguno de los deberes a que se refiere la ley Nº 18.046.</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e) Haber votado favorablemente acuerdos de la empresa que impliquen un grave y manifiesto incumplimiento de los estatutos o de la normativa legal que le es aplicable o que le causen daño patrimonial significativo a ésta.</w:t>
      </w:r>
    </w:p>
    <w:p w:rsid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Los directores que hubieren incurrido en alguna de las causales de los numerales uno a cuatro anteriores cesarán automáticamente en sus cargos, sin perjuicio de que deberán comunicar de inmediato dicha circunstancia al directorio.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Si alguno de los directores incurriere en alguna de las conductas descritas en el numeral cinco del presente artículo, dicha circunstancia deberá ser puesta en conocimiento del Comité SEP para efectos de calificar el carácter de grave del incumplimiento y de resolver sobre su permanencia en el cargo.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Mientras se lleva a cabo este proceso, el director quedará inhabilitado temporalmente para ejercer su cargo.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Si quedare vacante el cargo de director por una causal distinta de la establecida en el numeral 1 del presente artículo, deberá procederse al nombramiento de un reemplazante en la forma y por el tiempo indicado en los artículos 10 y 12.</w:t>
      </w: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Título III</w:t>
      </w: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De la administración financiera, contabilidad y del personal</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21.- Régimen aplicable. INFISA se regirá por las disposiciones de la presente ley y, en todo lo no contemplado en ella, estará sujeta a las mismas normas financieras, contables y tributarias que rigen para las sociedades anónimas abiertas. Sus balances y estados de situación financiera deberán ser sometidos a auditorías de entidades auditoras externas, de acuerdo al procedimiento que establezcan las referidas normas.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Asimismo, se requerirá que los balances y estados de situación financiera de los fondos de cobertura que administre la sociedad sean sometidos a auditorías de entidades auditoras externas.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22.- Normas de Administración Financiera. La sociedad estará sujeta a las normas contenidas en el inciso segundo del artículo 3° del decreto ley N° 1.056, de 1975, del Ministerio de Hacienda; en el artículo 44 del decreto ley N° 1.263, de 1975, del Ministerio de Hacienda; en el artículo 11 de la ley N° 18.196, que establece normas complementarias de administración financiera, personal y de incidencia presupuestaria; y en el artículo 24 de la ley N° 18.482, relativa a las precitadas materias.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23.- Normas aplicables al personal. Los trabajadores de INFISA quedarán sujetos, de manera exclusiva, a las disposiciones contenidas en el Código del Trabajo y en su normativa complementaria.</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 xml:space="preserve">Artículo 24.- A contar del 1 de enero de año subsiguiente a la fecha en que se encuentre plenamente constituida INFISA, derógase el decreto ley N° 3.472, de 1980, que crea el Fondo de Garantía para Pequeños Empresarios, en adelante “el Fondo”. Sin perjuicio de lo anterior, las garantías del Fondo que se encuentren vigentes a la fecha antes indicada </w:t>
      </w:r>
      <w:r w:rsidRPr="0098272E">
        <w:rPr>
          <w:rFonts w:eastAsia="Times New Roman" w:cs="Arial"/>
          <w:szCs w:val="24"/>
          <w:lang w:val="es-ES" w:eastAsia="es-ES"/>
        </w:rPr>
        <w:lastRenderedPageBreak/>
        <w:t>continuarán rigiéndose por el citado decreto ley hasta que dichas garantías sean liberadas.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 contar de la fecha señalada en el inciso anterior, transfiéranse todos los recursos del mencionado Fondo a INFISA. La citada sociedad los registrará contablemente como fondos de reserva o aportes a futuras capitalizaciones por parte del Fisco.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Autorízase al Ministerio de Hacienda para realizar a nombre del Fisco, dentro de los seis meses siguientes contados desde que sean transferidos los recursos del Fondo a INFISA, mediante uno o más decretos expedidos bajo la fórmula “Por orden del Presidente de la República”, un aporte de capital especial a INFISA. Dicho aporte se entenderá enterado con la transferencia de recursos indicada en el inciso precedente. El administrador del Fondo realizará un balance al 31 de diciembre del año anterior al de su derogación, que dé cuenta de la situación financiera a esa fecha, con el fin de establecer las diferencias patrimoniales respecto de los recursos a transferir de acuerdo al inciso segundo, las que se traspasarán en pleno derecho a INFISA.</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Hasta el 31 de diciembre del año en que se encuentre plenamente constituida INFISA, podrá licitarse el acceso a la garantía del Fondo de Garantía para Pequeños Empresarios.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Para todos los efectos INFISA subrogará al Fondo en sus derechos y obligaciones.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B125E0">
      <w:pPr>
        <w:shd w:val="clear" w:color="auto" w:fill="FFFFFF"/>
        <w:tabs>
          <w:tab w:val="left" w:pos="2835"/>
        </w:tabs>
        <w:jc w:val="center"/>
        <w:rPr>
          <w:rFonts w:eastAsia="Times New Roman" w:cs="Arial"/>
          <w:szCs w:val="24"/>
          <w:lang w:val="es-ES" w:eastAsia="es-ES"/>
        </w:rPr>
      </w:pPr>
      <w:r w:rsidRPr="0098272E">
        <w:rPr>
          <w:rFonts w:eastAsia="Times New Roman" w:cs="Arial"/>
          <w:szCs w:val="24"/>
          <w:lang w:val="es-ES" w:eastAsia="es-ES"/>
        </w:rPr>
        <w:t>Disposiciones transitorias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primero.- Autorízase a la Corporación de Fomento de la Producción para que suscriba y pague el capital inicial que le corresponde, con cargo a los recursos autorizados a traspasar a SACOR SpA por la ley N° 21.053, de Presupuestos del Sector Público del año 2018.</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Asimismo, autorízase a la Corporación de Fomento de la Producción a transferir todo o parte de los recursos de los Fondos de Cobertura de Riesgo, contenidos en el decreto supremo N° 793, de 2004, del Ministerio de Hacienda, cuyo texto refundido se encuentra aprobado por el decreto supremo N° 1.426, de 2012, y sus modificaciones, de la misma secretaría de Estado, previa autorización del Ministro de Hacienda.</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segundo.- INFISA será responsable y continuadora legal de todas las obligaciones pendientes que durante el transcurso del año 2018 y hasta la publicación de la presente ley se hayan contraído por SACOR SpA, con cargo a los recursos autorizados a traspasar por la ley N° 21.053, de Presupuestos del Sector Público del año 2018, y por la Corporación de Fomento de la Producción.</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tercero.- Para el primer nombramiento de los directores, y para efectos de la renovación por parcialidades de éstos a que se refiere el artículo 10, se procederá a nombrar una dupla de candidatos con una duración en su cargo dos años y una terna de candidatos que durarán cuatro años. Este período se contará desde la fecha de entrada en funciones.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La dupla estará conformada por un director independiente y uno de los directores designados de conformidad al numeral primero del artículo 10. Por su parte, la terna estará compuesta por dos directores independientes y uno de los directores designados de acuerdo al numeral primero del artículo recién citado.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cuarto.- A la fecha de la entrada en vigencia de esta ley, el Comité SEP deberá encargar al Consejo de Alta Dirección Pública el proceso de selección de los miembros del directorio independiente conforme al artículo 12 de esta ley. Este proceso tendrá una duración máxima de doce meses.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La designación de los directores nombrados por el Presidente de la República se realizará en el mismo plazo indicado en el inciso anterior.</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Sin perjuicio de lo anterior, el directorio no entrará en ejercicio de sus funciones hasta que el Comité SEP reciba su declaración jurada del artículo 17 y la sociedad esté plenamente constituida.</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Artículo quinto.- Los trabajadores de la Corporación de Fomento de la Producción que a la fecha de creación de INFISA se encuentren prestando servicios de gestión de programas de cobertura y de financiamiento crediticio, en calidad de planta o contrata conforme a las normas del Estatuto Administrativo, o contratados bajo las normas del Código del Trabajo, podrán pasar a formar parte del personal de la nueva sociedad, en cuyo caso el traspaso se realizará sin solución de continuidad y sin disminución de sus remuneraciones.</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Para efecto de los beneficios indemnizatorios que les pudieran corresponder, en caso de que cesen en funciones por aplicación del inciso primero del artículo 161 del Código del Trabajo, se le computarán tanto los años servidos en la Corporación de Fomento de la Producción como los trabajados en la sociedad creada por esta ley.</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P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t>Para el cálculo de la indemnización se aplicará el límite máximo establecido en el inciso segundo del artículo 163 y el establecido en inciso final del artículo 172, ambos del Código del Trabajo, sin que les sea aplicable lo previsto en el artículo 7° transitorio de dicho Código.</w:t>
      </w:r>
    </w:p>
    <w:p w:rsidR="00B125E0" w:rsidRDefault="00B125E0" w:rsidP="0098272E">
      <w:pPr>
        <w:shd w:val="clear" w:color="auto" w:fill="FFFFFF"/>
        <w:tabs>
          <w:tab w:val="left" w:pos="2835"/>
        </w:tabs>
        <w:ind w:firstLine="2835"/>
        <w:jc w:val="both"/>
        <w:rPr>
          <w:rFonts w:eastAsia="Times New Roman" w:cs="Arial"/>
          <w:szCs w:val="24"/>
          <w:lang w:val="es-ES" w:eastAsia="es-ES"/>
        </w:rPr>
      </w:pPr>
    </w:p>
    <w:p w:rsidR="0098272E" w:rsidRDefault="0098272E" w:rsidP="0098272E">
      <w:pPr>
        <w:shd w:val="clear" w:color="auto" w:fill="FFFFFF"/>
        <w:tabs>
          <w:tab w:val="left" w:pos="2835"/>
        </w:tabs>
        <w:ind w:firstLine="2835"/>
        <w:jc w:val="both"/>
        <w:rPr>
          <w:rFonts w:eastAsia="Times New Roman" w:cs="Arial"/>
          <w:szCs w:val="24"/>
          <w:lang w:val="es-ES" w:eastAsia="es-ES"/>
        </w:rPr>
      </w:pPr>
      <w:r w:rsidRPr="0098272E">
        <w:rPr>
          <w:rFonts w:eastAsia="Times New Roman" w:cs="Arial"/>
          <w:szCs w:val="24"/>
          <w:lang w:val="es-ES" w:eastAsia="es-ES"/>
        </w:rPr>
        <w:lastRenderedPageBreak/>
        <w:t>En el evento de que se ponga término a la relación laboral por las normas indicadas en el inciso anterior, INFISA podrá solicitar a la Corporación de Fomento de la Producción el traspaso de fondos correspondiente al monto proporcional según el número de años de servicio que hayan sido trabajados en dicha Corporación.”.</w:t>
      </w:r>
    </w:p>
    <w:p w:rsidR="0098272E" w:rsidRPr="009B2C56" w:rsidRDefault="0098272E" w:rsidP="0098272E">
      <w:pPr>
        <w:shd w:val="clear" w:color="auto" w:fill="FFFFFF"/>
        <w:tabs>
          <w:tab w:val="left" w:pos="2835"/>
        </w:tabs>
        <w:ind w:firstLine="2835"/>
        <w:jc w:val="both"/>
        <w:rPr>
          <w:rFonts w:eastAsia="Times New Roman" w:cs="Arial"/>
          <w:szCs w:val="24"/>
          <w:lang w:val="es-ES" w:eastAsia="es-ES"/>
        </w:rPr>
      </w:pPr>
    </w:p>
    <w:p w:rsidR="009B2C56" w:rsidRPr="009B2C56" w:rsidRDefault="009B2C56" w:rsidP="009B2C56">
      <w:pPr>
        <w:widowControl w:val="0"/>
        <w:tabs>
          <w:tab w:val="left" w:pos="2835"/>
        </w:tabs>
        <w:jc w:val="center"/>
        <w:rPr>
          <w:rFonts w:eastAsia="Times New Roman" w:cs="Arial"/>
          <w:b/>
          <w:szCs w:val="24"/>
          <w:lang w:val="es-ES" w:eastAsia="es-ES"/>
        </w:rPr>
      </w:pPr>
      <w:r w:rsidRPr="009B2C56">
        <w:rPr>
          <w:rFonts w:eastAsia="Times New Roman" w:cs="Arial"/>
          <w:b/>
          <w:szCs w:val="24"/>
          <w:lang w:val="es-ES" w:eastAsia="es-ES"/>
        </w:rPr>
        <w:t>- - -</w:t>
      </w:r>
    </w:p>
    <w:p w:rsidR="009B2C56" w:rsidRDefault="009B2C56"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6F6D08" w:rsidRDefault="006F6D08" w:rsidP="009B2C56">
      <w:pPr>
        <w:widowControl w:val="0"/>
        <w:tabs>
          <w:tab w:val="left" w:pos="2835"/>
        </w:tabs>
        <w:jc w:val="center"/>
        <w:rPr>
          <w:rFonts w:eastAsia="Times New Roman" w:cs="Times New Roman"/>
          <w:szCs w:val="24"/>
          <w:lang w:val="es-ES" w:eastAsia="es-ES"/>
        </w:rPr>
      </w:pPr>
    </w:p>
    <w:p w:rsidR="00B125E0" w:rsidRDefault="00B125E0" w:rsidP="009B2C56">
      <w:pPr>
        <w:widowControl w:val="0"/>
        <w:tabs>
          <w:tab w:val="left" w:pos="2835"/>
        </w:tabs>
        <w:jc w:val="center"/>
        <w:rPr>
          <w:rFonts w:eastAsia="Times New Roman" w:cs="Times New Roman"/>
          <w:szCs w:val="24"/>
          <w:lang w:val="es-ES" w:eastAsia="es-ES"/>
        </w:rPr>
      </w:pPr>
    </w:p>
    <w:p w:rsidR="009B2C56" w:rsidRPr="009B2C56" w:rsidRDefault="009B2C56" w:rsidP="009B2C56">
      <w:pPr>
        <w:widowControl w:val="0"/>
        <w:tabs>
          <w:tab w:val="left" w:pos="2835"/>
        </w:tabs>
        <w:jc w:val="center"/>
        <w:rPr>
          <w:rFonts w:eastAsia="Times New Roman" w:cs="Times New Roman"/>
          <w:szCs w:val="24"/>
          <w:lang w:val="es-ES" w:eastAsia="es-ES"/>
        </w:rPr>
      </w:pPr>
    </w:p>
    <w:p w:rsidR="009B2C56" w:rsidRPr="009B2C56" w:rsidRDefault="009B2C56" w:rsidP="009B2C56">
      <w:pPr>
        <w:widowControl w:val="0"/>
        <w:tabs>
          <w:tab w:val="left" w:pos="2835"/>
        </w:tabs>
        <w:jc w:val="center"/>
        <w:rPr>
          <w:rFonts w:eastAsia="Times New Roman" w:cs="Times New Roman"/>
          <w:szCs w:val="24"/>
          <w:lang w:val="es-ES" w:eastAsia="es-ES"/>
        </w:rPr>
      </w:pPr>
      <w:bookmarkStart w:id="5" w:name="Secretario"/>
      <w:r w:rsidRPr="009B2C56">
        <w:rPr>
          <w:rFonts w:eastAsia="Times New Roman" w:cs="Times New Roman"/>
          <w:szCs w:val="24"/>
          <w:lang w:val="es-ES" w:eastAsia="es-ES"/>
        </w:rPr>
        <w:t>ROBERTO BUSTOS LATORRE</w:t>
      </w:r>
    </w:p>
    <w:p w:rsidR="009B2C56" w:rsidRPr="009B2C56" w:rsidRDefault="009B2C56" w:rsidP="009B2C56">
      <w:pPr>
        <w:widowControl w:val="0"/>
        <w:tabs>
          <w:tab w:val="left" w:pos="2835"/>
        </w:tabs>
        <w:jc w:val="center"/>
        <w:rPr>
          <w:rFonts w:eastAsia="Times New Roman" w:cs="Times New Roman"/>
          <w:szCs w:val="24"/>
          <w:lang w:val="es-ES" w:eastAsia="es-ES"/>
        </w:rPr>
      </w:pPr>
      <w:r w:rsidRPr="009B2C56">
        <w:rPr>
          <w:rFonts w:eastAsia="Times New Roman" w:cs="Times New Roman"/>
          <w:szCs w:val="24"/>
          <w:lang w:val="es-ES" w:eastAsia="es-ES"/>
        </w:rPr>
        <w:t>Secretario de la Comisi</w:t>
      </w:r>
      <w:bookmarkEnd w:id="5"/>
      <w:r w:rsidR="0098272E">
        <w:rPr>
          <w:rFonts w:eastAsia="Times New Roman" w:cs="Times New Roman"/>
          <w:szCs w:val="24"/>
          <w:lang w:val="es-ES" w:eastAsia="es-ES"/>
        </w:rPr>
        <w:t>ón</w:t>
      </w:r>
    </w:p>
    <w:sectPr w:rsidR="009B2C56" w:rsidRPr="009B2C56" w:rsidSect="006F6D08">
      <w:headerReference w:type="even" r:id="rId7"/>
      <w:headerReference w:type="default" r:id="rId8"/>
      <w:footerReference w:type="even" r:id="rId9"/>
      <w:footerReference w:type="default" r:id="rId10"/>
      <w:pgSz w:w="12240" w:h="18720" w:code="14"/>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D1" w:rsidRDefault="001359D1">
      <w:r>
        <w:separator/>
      </w:r>
    </w:p>
  </w:endnote>
  <w:endnote w:type="continuationSeparator" w:id="0">
    <w:p w:rsidR="001359D1" w:rsidRDefault="0013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C9F" w:rsidRDefault="001359D1"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C9F" w:rsidRDefault="001359D1"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D1" w:rsidRDefault="001359D1">
      <w:r>
        <w:separator/>
      </w:r>
    </w:p>
  </w:footnote>
  <w:footnote w:type="continuationSeparator" w:id="0">
    <w:p w:rsidR="001359D1" w:rsidRDefault="0013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C9F" w:rsidRDefault="00340B0C"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C9F" w:rsidRDefault="001359D1"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C9F" w:rsidRDefault="00340B0C"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rsidR="00AF3C9F" w:rsidRDefault="001359D1"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D7C60"/>
    <w:multiLevelType w:val="hybridMultilevel"/>
    <w:tmpl w:val="30BE781C"/>
    <w:lvl w:ilvl="0" w:tplc="4DC286A0">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56"/>
    <w:rsid w:val="001359D1"/>
    <w:rsid w:val="00340B0C"/>
    <w:rsid w:val="005C67A4"/>
    <w:rsid w:val="006F6D08"/>
    <w:rsid w:val="00874A0F"/>
    <w:rsid w:val="00933AB5"/>
    <w:rsid w:val="0098272E"/>
    <w:rsid w:val="009B2C56"/>
    <w:rsid w:val="009D0092"/>
    <w:rsid w:val="00B125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CBD5"/>
  <w15:chartTrackingRefBased/>
  <w15:docId w15:val="{CCF2338E-8D35-46E8-B2EC-9E01C6D9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B2C56"/>
    <w:pPr>
      <w:tabs>
        <w:tab w:val="center" w:pos="4419"/>
        <w:tab w:val="right" w:pos="8838"/>
      </w:tabs>
    </w:pPr>
    <w:rPr>
      <w:rFonts w:ascii="Calibri" w:hAnsi="Calibri"/>
      <w:sz w:val="22"/>
    </w:rPr>
  </w:style>
  <w:style w:type="character" w:customStyle="1" w:styleId="PiedepginaCar">
    <w:name w:val="Pie de página Car"/>
    <w:basedOn w:val="Fuentedeprrafopredeter"/>
    <w:link w:val="Piedepgina"/>
    <w:uiPriority w:val="99"/>
    <w:semiHidden/>
    <w:rsid w:val="009B2C56"/>
    <w:rPr>
      <w:rFonts w:ascii="Calibri" w:hAnsi="Calibri"/>
      <w:sz w:val="22"/>
    </w:rPr>
  </w:style>
  <w:style w:type="paragraph" w:styleId="Encabezado">
    <w:name w:val="header"/>
    <w:basedOn w:val="Normal"/>
    <w:link w:val="EncabezadoCar"/>
    <w:uiPriority w:val="99"/>
    <w:semiHidden/>
    <w:unhideWhenUsed/>
    <w:rsid w:val="009B2C56"/>
    <w:pPr>
      <w:tabs>
        <w:tab w:val="center" w:pos="4419"/>
        <w:tab w:val="right" w:pos="8838"/>
      </w:tabs>
    </w:pPr>
    <w:rPr>
      <w:rFonts w:ascii="Calibri" w:hAnsi="Calibri"/>
      <w:sz w:val="22"/>
    </w:rPr>
  </w:style>
  <w:style w:type="character" w:customStyle="1" w:styleId="EncabezadoCar">
    <w:name w:val="Encabezado Car"/>
    <w:basedOn w:val="Fuentedeprrafopredeter"/>
    <w:link w:val="Encabezado"/>
    <w:uiPriority w:val="99"/>
    <w:semiHidden/>
    <w:rsid w:val="009B2C56"/>
    <w:rPr>
      <w:rFonts w:ascii="Calibri" w:hAnsi="Calibri"/>
      <w:sz w:val="22"/>
    </w:rPr>
  </w:style>
  <w:style w:type="character" w:styleId="Nmerodepgina">
    <w:name w:val="page number"/>
    <w:rsid w:val="009B2C56"/>
  </w:style>
  <w:style w:type="paragraph" w:styleId="Textodeglobo">
    <w:name w:val="Balloon Text"/>
    <w:basedOn w:val="Normal"/>
    <w:link w:val="TextodegloboCar"/>
    <w:uiPriority w:val="99"/>
    <w:semiHidden/>
    <w:unhideWhenUsed/>
    <w:rsid w:val="00874A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5982</Words>
  <Characters>32902</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LFIGUEROA</cp:lastModifiedBy>
  <cp:revision>3</cp:revision>
  <cp:lastPrinted>2018-07-18T19:20:00Z</cp:lastPrinted>
  <dcterms:created xsi:type="dcterms:W3CDTF">2018-07-18T17:37:00Z</dcterms:created>
  <dcterms:modified xsi:type="dcterms:W3CDTF">2018-07-18T19:23:00Z</dcterms:modified>
</cp:coreProperties>
</file>