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DEE" w:rsidRPr="00946DEE" w:rsidRDefault="00946DEE" w:rsidP="00946DEE">
      <w:pPr>
        <w:jc w:val="center"/>
        <w:rPr>
          <w:rFonts w:eastAsia="Times New Roman" w:cs="Arial"/>
          <w:b/>
          <w:szCs w:val="24"/>
          <w:u w:val="single"/>
          <w:lang w:eastAsia="es-ES"/>
        </w:rPr>
      </w:pPr>
      <w:r w:rsidRPr="00946DEE">
        <w:rPr>
          <w:rFonts w:eastAsia="Times New Roman" w:cs="Arial"/>
          <w:b/>
          <w:szCs w:val="24"/>
          <w:u w:val="single"/>
          <w:lang w:eastAsia="es-ES"/>
        </w:rPr>
        <w:t>CERTIFICADO</w:t>
      </w:r>
    </w:p>
    <w:p w:rsidR="00946DEE" w:rsidRPr="00946DEE" w:rsidRDefault="00946DEE" w:rsidP="00946DEE">
      <w:pPr>
        <w:jc w:val="both"/>
        <w:rPr>
          <w:rFonts w:eastAsia="Times New Roman" w:cs="Arial"/>
          <w:szCs w:val="24"/>
          <w:u w:val="single"/>
          <w:lang w:eastAsia="es-ES"/>
        </w:rPr>
      </w:pPr>
    </w:p>
    <w:p w:rsidR="00946DEE" w:rsidRPr="00946DEE" w:rsidRDefault="00946DEE" w:rsidP="00946DEE">
      <w:pPr>
        <w:ind w:firstLine="2835"/>
        <w:jc w:val="both"/>
        <w:rPr>
          <w:rFonts w:eastAsia="Times New Roman" w:cs="Arial"/>
          <w:szCs w:val="24"/>
          <w:lang w:val="es-ES_tradnl" w:eastAsia="es-ES"/>
        </w:rPr>
      </w:pPr>
      <w:r w:rsidRPr="00946DEE">
        <w:rPr>
          <w:rFonts w:eastAsia="Times New Roman" w:cs="Arial"/>
          <w:szCs w:val="24"/>
          <w:lang w:eastAsia="es-ES"/>
        </w:rPr>
        <w:t xml:space="preserve">Certifico que el </w:t>
      </w:r>
      <w:r w:rsidRPr="00946DEE">
        <w:rPr>
          <w:rFonts w:eastAsia="Times New Roman" w:cs="Arial"/>
          <w:szCs w:val="24"/>
          <w:lang w:val="es-ES_tradnl" w:eastAsia="es-ES"/>
        </w:rPr>
        <w:t xml:space="preserve">día </w:t>
      </w:r>
      <w:r>
        <w:rPr>
          <w:rFonts w:eastAsia="Times New Roman" w:cs="Arial"/>
          <w:szCs w:val="24"/>
          <w:lang w:val="es-ES_tradnl" w:eastAsia="es-ES"/>
        </w:rPr>
        <w:t>1</w:t>
      </w:r>
      <w:r w:rsidRPr="00946DEE">
        <w:rPr>
          <w:rFonts w:eastAsia="Times New Roman" w:cs="Arial"/>
          <w:szCs w:val="24"/>
          <w:lang w:val="es-ES" w:eastAsia="es-ES"/>
        </w:rPr>
        <w:t xml:space="preserve"> de </w:t>
      </w:r>
      <w:r>
        <w:rPr>
          <w:rFonts w:eastAsia="Times New Roman" w:cs="Arial"/>
          <w:szCs w:val="24"/>
          <w:lang w:val="es-ES" w:eastAsia="es-ES"/>
        </w:rPr>
        <w:t xml:space="preserve">agosto </w:t>
      </w:r>
      <w:r w:rsidRPr="00946DEE">
        <w:rPr>
          <w:rFonts w:eastAsia="Times New Roman" w:cs="Arial"/>
          <w:szCs w:val="24"/>
          <w:lang w:val="es-ES" w:eastAsia="es-ES"/>
        </w:rPr>
        <w:t>de 2018</w:t>
      </w:r>
      <w:r w:rsidRPr="00946DEE">
        <w:rPr>
          <w:rFonts w:eastAsia="Times New Roman" w:cs="Arial"/>
          <w:szCs w:val="24"/>
          <w:lang w:eastAsia="es-ES"/>
        </w:rPr>
        <w:t xml:space="preserve">, la </w:t>
      </w:r>
      <w:r w:rsidRPr="00946DEE">
        <w:rPr>
          <w:rFonts w:eastAsia="Times New Roman" w:cs="Arial"/>
          <w:szCs w:val="24"/>
          <w:lang w:val="es-ES" w:eastAsia="es-ES"/>
        </w:rPr>
        <w:t xml:space="preserve">Comisión de Hacienda sesionó para tratar </w:t>
      </w:r>
      <w:r w:rsidRPr="00946DEE">
        <w:rPr>
          <w:rFonts w:eastAsia="Times New Roman" w:cs="Times New Roman"/>
          <w:szCs w:val="20"/>
          <w:lang w:val="es-ES" w:eastAsia="es-ES"/>
        </w:rPr>
        <w:t>el proyecto de ley,</w:t>
      </w:r>
      <w:r w:rsidRPr="00946DEE">
        <w:rPr>
          <w:rFonts w:eastAsia="Times New Roman" w:cs="Arial"/>
          <w:szCs w:val="24"/>
          <w:lang w:eastAsia="es-ES"/>
        </w:rPr>
        <w:t xml:space="preserve"> </w:t>
      </w:r>
      <w:r w:rsidRPr="00946DEE">
        <w:rPr>
          <w:rFonts w:eastAsia="Times New Roman" w:cs="Times New Roman"/>
          <w:szCs w:val="20"/>
          <w:lang w:val="es-ES" w:eastAsia="es-ES"/>
        </w:rPr>
        <w:t>en segundo trámite constitucional</w:t>
      </w:r>
      <w:r w:rsidRPr="00946DEE">
        <w:rPr>
          <w:rFonts w:eastAsia="Times New Roman" w:cs="Arial"/>
          <w:szCs w:val="24"/>
          <w:lang w:eastAsia="es-ES"/>
        </w:rPr>
        <w:t xml:space="preserve">, que </w:t>
      </w:r>
      <w:r>
        <w:rPr>
          <w:rFonts w:eastAsia="Times New Roman" w:cs="Arial"/>
          <w:szCs w:val="24"/>
          <w:lang w:eastAsia="es-ES"/>
        </w:rPr>
        <w:t>a</w:t>
      </w:r>
      <w:r>
        <w:rPr>
          <w:rFonts w:cs="Arial"/>
          <w:color w:val="333333"/>
          <w:shd w:val="clear" w:color="auto" w:fill="FFFFFF"/>
        </w:rPr>
        <w:t>decúa las leyes que indica en razón de la creación de la Región de Ñuble</w:t>
      </w:r>
      <w:r>
        <w:rPr>
          <w:rFonts w:cs="Arial"/>
          <w:color w:val="333333"/>
          <w:shd w:val="clear" w:color="auto" w:fill="FFFFFF"/>
        </w:rPr>
        <w:t xml:space="preserve"> </w:t>
      </w:r>
      <w:r>
        <w:rPr>
          <w:rFonts w:cs="Arial"/>
          <w:b/>
          <w:color w:val="333333"/>
          <w:shd w:val="clear" w:color="auto" w:fill="FFFFFF"/>
        </w:rPr>
        <w:t>(</w:t>
      </w:r>
      <w:r w:rsidRPr="00946DEE">
        <w:rPr>
          <w:rFonts w:eastAsia="Times New Roman" w:cs="Arial"/>
          <w:b/>
          <w:szCs w:val="24"/>
          <w:lang w:val="es-ES_tradnl" w:eastAsia="es-ES"/>
        </w:rPr>
        <w:t xml:space="preserve">Boletín N° </w:t>
      </w:r>
      <w:r>
        <w:rPr>
          <w:rFonts w:eastAsia="Times New Roman" w:cs="Arial"/>
          <w:b/>
          <w:szCs w:val="24"/>
          <w:lang w:val="es-ES_tradnl" w:eastAsia="es-ES"/>
        </w:rPr>
        <w:t>11.720-07</w:t>
      </w:r>
      <w:r w:rsidRPr="00946DEE">
        <w:rPr>
          <w:rFonts w:eastAsia="Times New Roman" w:cs="Arial"/>
          <w:b/>
          <w:szCs w:val="24"/>
          <w:lang w:val="es-ES" w:eastAsia="es-ES"/>
        </w:rPr>
        <w:t>)</w:t>
      </w:r>
      <w:r>
        <w:rPr>
          <w:rFonts w:eastAsia="Times New Roman" w:cs="Arial"/>
          <w:b/>
          <w:szCs w:val="24"/>
          <w:lang w:val="es-ES" w:eastAsia="es-ES"/>
        </w:rPr>
        <w:t>,</w:t>
      </w:r>
      <w:r w:rsidR="00CB0803">
        <w:rPr>
          <w:rFonts w:eastAsia="Times New Roman" w:cs="Arial"/>
          <w:b/>
          <w:szCs w:val="24"/>
          <w:lang w:val="es-ES" w:eastAsia="es-ES"/>
        </w:rPr>
        <w:t xml:space="preserve"> </w:t>
      </w:r>
      <w:r w:rsidR="00CB0803" w:rsidRPr="00CB0803">
        <w:rPr>
          <w:rFonts w:eastAsia="Times New Roman" w:cs="Arial"/>
          <w:szCs w:val="24"/>
          <w:lang w:val="es-ES" w:eastAsia="es-ES"/>
        </w:rPr>
        <w:t>con urgencia calificada de “discusión inmediata”</w:t>
      </w:r>
      <w:r w:rsidRPr="00946DEE">
        <w:rPr>
          <w:rFonts w:eastAsia="Times New Roman" w:cs="Arial"/>
          <w:szCs w:val="24"/>
          <w:lang w:val="es-ES_tradnl" w:eastAsia="es-ES"/>
        </w:rPr>
        <w:t>.</w:t>
      </w:r>
    </w:p>
    <w:p w:rsidR="00946DEE" w:rsidRPr="00946DEE" w:rsidRDefault="00946DEE" w:rsidP="00946DEE">
      <w:pPr>
        <w:ind w:firstLine="2835"/>
        <w:jc w:val="both"/>
        <w:rPr>
          <w:rFonts w:eastAsia="Times New Roman" w:cs="Arial"/>
          <w:szCs w:val="24"/>
          <w:lang w:val="es-ES_tradnl" w:eastAsia="es-ES"/>
        </w:rPr>
      </w:pPr>
    </w:p>
    <w:p w:rsidR="00946DEE" w:rsidRPr="00946DEE" w:rsidRDefault="00946DEE" w:rsidP="00946DEE">
      <w:pPr>
        <w:tabs>
          <w:tab w:val="left" w:pos="2835"/>
        </w:tabs>
        <w:ind w:firstLine="2835"/>
        <w:jc w:val="both"/>
        <w:rPr>
          <w:rFonts w:eastAsia="Times New Roman" w:cs="Arial"/>
          <w:szCs w:val="24"/>
          <w:lang w:val="es-ES_tradnl" w:eastAsia="es-ES"/>
        </w:rPr>
      </w:pPr>
      <w:r w:rsidRPr="00946DEE">
        <w:rPr>
          <w:rFonts w:eastAsia="Times New Roman" w:cs="Arial"/>
          <w:szCs w:val="24"/>
          <w:lang w:val="es-ES_tradnl" w:eastAsia="es-ES"/>
        </w:rPr>
        <w:t>Asistieron los Honorables Senadores señores Coloma, García</w:t>
      </w:r>
      <w:r w:rsidR="003A3B66" w:rsidRPr="003A3B66">
        <w:rPr>
          <w:rFonts w:eastAsia="Times New Roman" w:cs="Arial"/>
          <w:szCs w:val="24"/>
          <w:lang w:val="es-ES_tradnl" w:eastAsia="es-ES"/>
        </w:rPr>
        <w:t xml:space="preserve"> y</w:t>
      </w:r>
      <w:r w:rsidRPr="00946DEE">
        <w:rPr>
          <w:rFonts w:eastAsia="Times New Roman" w:cs="Arial"/>
          <w:szCs w:val="24"/>
          <w:lang w:val="es-ES_tradnl" w:eastAsia="es-ES"/>
        </w:rPr>
        <w:t xml:space="preserve"> Lagos.</w:t>
      </w:r>
    </w:p>
    <w:p w:rsidR="00946DEE" w:rsidRPr="00946DEE" w:rsidRDefault="00946DEE" w:rsidP="00946DEE">
      <w:pPr>
        <w:ind w:firstLine="2835"/>
        <w:jc w:val="both"/>
        <w:rPr>
          <w:rFonts w:eastAsia="Times New Roman" w:cs="Arial"/>
          <w:szCs w:val="24"/>
          <w:lang w:val="es-ES_tradnl" w:eastAsia="es-ES"/>
        </w:rPr>
      </w:pPr>
    </w:p>
    <w:p w:rsidR="00CB0803" w:rsidRPr="003A3B66" w:rsidRDefault="00946DEE" w:rsidP="00946DEE">
      <w:pPr>
        <w:ind w:firstLine="2835"/>
        <w:jc w:val="both"/>
        <w:rPr>
          <w:rFonts w:eastAsia="Times New Roman" w:cs="Arial"/>
          <w:szCs w:val="24"/>
          <w:lang w:val="es-ES" w:eastAsia="es-ES"/>
        </w:rPr>
      </w:pPr>
      <w:r w:rsidRPr="00946DEE">
        <w:rPr>
          <w:rFonts w:eastAsia="Times New Roman" w:cs="Arial"/>
          <w:szCs w:val="24"/>
          <w:lang w:val="es-ES" w:eastAsia="es-ES"/>
        </w:rPr>
        <w:t xml:space="preserve">Cabe hacer presente que el proyecto </w:t>
      </w:r>
      <w:r w:rsidR="00CB0803" w:rsidRPr="003A3B66">
        <w:rPr>
          <w:rFonts w:eastAsia="Times New Roman" w:cs="Arial"/>
          <w:szCs w:val="24"/>
          <w:lang w:val="es-ES" w:eastAsia="es-ES"/>
        </w:rPr>
        <w:t xml:space="preserve">fue </w:t>
      </w:r>
      <w:r w:rsidRPr="00946DEE">
        <w:rPr>
          <w:rFonts w:eastAsia="Times New Roman" w:cs="Arial"/>
          <w:szCs w:val="24"/>
          <w:lang w:val="es-ES" w:eastAsia="es-ES"/>
        </w:rPr>
        <w:t>aprobado</w:t>
      </w:r>
      <w:r w:rsidR="00CB0803" w:rsidRPr="003A3B66">
        <w:rPr>
          <w:rFonts w:eastAsia="Times New Roman" w:cs="Arial"/>
          <w:szCs w:val="24"/>
          <w:lang w:val="es-ES" w:eastAsia="es-ES"/>
        </w:rPr>
        <w:t>,</w:t>
      </w:r>
      <w:r w:rsidRPr="00946DEE">
        <w:rPr>
          <w:rFonts w:eastAsia="Times New Roman" w:cs="Arial"/>
          <w:szCs w:val="24"/>
          <w:lang w:val="es-ES" w:eastAsia="es-ES"/>
        </w:rPr>
        <w:t xml:space="preserve"> en general</w:t>
      </w:r>
      <w:r w:rsidR="00CB0803" w:rsidRPr="003A3B66">
        <w:rPr>
          <w:rFonts w:eastAsia="Times New Roman" w:cs="Arial"/>
          <w:szCs w:val="24"/>
          <w:lang w:val="es-ES" w:eastAsia="es-ES"/>
        </w:rPr>
        <w:t>, previamente,</w:t>
      </w:r>
      <w:r w:rsidRPr="00946DEE">
        <w:rPr>
          <w:rFonts w:eastAsia="Times New Roman" w:cs="Arial"/>
          <w:szCs w:val="24"/>
          <w:lang w:val="es-ES" w:eastAsia="es-ES"/>
        </w:rPr>
        <w:t xml:space="preserve"> por la Comisión de </w:t>
      </w:r>
      <w:r w:rsidR="00CB0803" w:rsidRPr="003A3B66">
        <w:rPr>
          <w:rFonts w:eastAsia="Times New Roman" w:cs="Arial"/>
          <w:szCs w:val="24"/>
          <w:lang w:val="es-ES" w:eastAsia="es-ES"/>
        </w:rPr>
        <w:t>Constitución, Legislación, Justicia y Reglamento.</w:t>
      </w:r>
    </w:p>
    <w:p w:rsidR="00CB0803" w:rsidRPr="003A3B66" w:rsidRDefault="00CB0803" w:rsidP="00946DEE">
      <w:pPr>
        <w:ind w:firstLine="2835"/>
        <w:jc w:val="both"/>
        <w:rPr>
          <w:rFonts w:eastAsia="Times New Roman" w:cs="Arial"/>
          <w:szCs w:val="24"/>
          <w:lang w:val="es-ES" w:eastAsia="es-ES"/>
        </w:rPr>
      </w:pPr>
    </w:p>
    <w:p w:rsidR="00CB0803" w:rsidRDefault="00CB0803" w:rsidP="00946DEE">
      <w:pPr>
        <w:ind w:firstLine="2835"/>
        <w:jc w:val="both"/>
        <w:rPr>
          <w:rFonts w:eastAsia="Times New Roman" w:cs="Arial"/>
          <w:szCs w:val="24"/>
          <w:lang w:val="es-ES" w:eastAsia="es-ES"/>
        </w:rPr>
      </w:pPr>
      <w:r w:rsidRPr="003A3B66">
        <w:rPr>
          <w:rFonts w:eastAsia="Times New Roman" w:cs="Arial"/>
          <w:szCs w:val="24"/>
          <w:lang w:val="es-ES" w:eastAsia="es-ES"/>
        </w:rPr>
        <w:t xml:space="preserve">Posteriormente, con fecha 31 de julio del presente, Su Excelencia el </w:t>
      </w:r>
      <w:proofErr w:type="gramStart"/>
      <w:r w:rsidRPr="003A3B66">
        <w:rPr>
          <w:rFonts w:eastAsia="Times New Roman" w:cs="Arial"/>
          <w:szCs w:val="24"/>
          <w:lang w:val="es-ES" w:eastAsia="es-ES"/>
        </w:rPr>
        <w:t>Presidente</w:t>
      </w:r>
      <w:proofErr w:type="gramEnd"/>
      <w:r w:rsidRPr="003A3B66">
        <w:rPr>
          <w:rFonts w:eastAsia="Times New Roman" w:cs="Arial"/>
          <w:szCs w:val="24"/>
          <w:lang w:val="es-ES" w:eastAsia="es-ES"/>
        </w:rPr>
        <w:t xml:space="preserve"> de la República calificó la iniciativa con urgencia de discusión inmediata.</w:t>
      </w:r>
      <w:bookmarkStart w:id="0" w:name="_GoBack"/>
      <w:bookmarkEnd w:id="0"/>
    </w:p>
    <w:p w:rsidR="00CB0803" w:rsidRDefault="00CB0803" w:rsidP="00946DEE">
      <w:pPr>
        <w:ind w:firstLine="2835"/>
        <w:jc w:val="both"/>
        <w:rPr>
          <w:rFonts w:eastAsia="Times New Roman" w:cs="Arial"/>
          <w:szCs w:val="24"/>
          <w:lang w:val="es-ES" w:eastAsia="es-ES"/>
        </w:rPr>
      </w:pPr>
    </w:p>
    <w:p w:rsidR="00946DEE" w:rsidRPr="00946DEE" w:rsidRDefault="00946DEE" w:rsidP="00946DEE">
      <w:pPr>
        <w:jc w:val="center"/>
        <w:rPr>
          <w:rFonts w:eastAsia="Times New Roman" w:cs="Times New Roman"/>
          <w:szCs w:val="20"/>
          <w:lang w:val="es-ES" w:eastAsia="es-ES"/>
        </w:rPr>
      </w:pPr>
      <w:r w:rsidRPr="00946DEE">
        <w:rPr>
          <w:rFonts w:eastAsia="Times New Roman" w:cs="Times New Roman"/>
          <w:szCs w:val="20"/>
          <w:lang w:val="es-ES" w:eastAsia="es-ES"/>
        </w:rPr>
        <w:t>- - -</w:t>
      </w:r>
    </w:p>
    <w:p w:rsidR="00946DEE" w:rsidRPr="00946DEE" w:rsidRDefault="00946DEE" w:rsidP="00946DEE">
      <w:pPr>
        <w:ind w:firstLine="2835"/>
        <w:jc w:val="both"/>
        <w:rPr>
          <w:rFonts w:eastAsia="Times New Roman" w:cs="Arial"/>
          <w:szCs w:val="24"/>
          <w:lang w:val="es-ES" w:eastAsia="es-ES"/>
        </w:rPr>
      </w:pPr>
    </w:p>
    <w:p w:rsidR="00946DEE" w:rsidRPr="00946DEE" w:rsidRDefault="00946DEE" w:rsidP="00946DEE">
      <w:pPr>
        <w:jc w:val="center"/>
        <w:rPr>
          <w:rFonts w:eastAsia="Times New Roman" w:cs="Arial"/>
          <w:b/>
          <w:szCs w:val="24"/>
          <w:lang w:val="es-ES" w:eastAsia="es-ES"/>
        </w:rPr>
      </w:pPr>
      <w:r w:rsidRPr="00946DEE">
        <w:rPr>
          <w:rFonts w:eastAsia="Times New Roman" w:cs="Arial"/>
          <w:b/>
          <w:szCs w:val="24"/>
          <w:lang w:val="es-ES" w:eastAsia="es-ES"/>
        </w:rPr>
        <w:t>NORMAS DE QUÓRUM ESPECIAL</w:t>
      </w:r>
    </w:p>
    <w:p w:rsidR="00946DEE" w:rsidRPr="00946DEE" w:rsidRDefault="00946DEE" w:rsidP="00946DEE">
      <w:pPr>
        <w:ind w:firstLine="2835"/>
        <w:jc w:val="both"/>
        <w:rPr>
          <w:rFonts w:eastAsia="Times New Roman" w:cs="Arial"/>
          <w:szCs w:val="24"/>
          <w:lang w:val="es-ES" w:eastAsia="es-ES"/>
        </w:rPr>
      </w:pPr>
    </w:p>
    <w:p w:rsidR="00946DEE" w:rsidRPr="00946DEE" w:rsidRDefault="00946DEE" w:rsidP="00946DEE">
      <w:pPr>
        <w:ind w:firstLine="2835"/>
        <w:jc w:val="both"/>
        <w:rPr>
          <w:rFonts w:eastAsia="Times New Roman" w:cs="Arial"/>
          <w:szCs w:val="24"/>
          <w:lang w:val="es-ES" w:eastAsia="es-ES"/>
        </w:rPr>
      </w:pPr>
      <w:r w:rsidRPr="00946DEE">
        <w:rPr>
          <w:rFonts w:eastAsia="Times New Roman" w:cs="Arial"/>
          <w:szCs w:val="24"/>
          <w:lang w:val="es-ES" w:eastAsia="es-ES"/>
        </w:rPr>
        <w:t xml:space="preserve">La Comisión de Hacienda se remite, al efecto, a lo expresado por la Comisión de </w:t>
      </w:r>
      <w:r w:rsidR="00CB0803">
        <w:rPr>
          <w:rFonts w:eastAsia="Times New Roman" w:cs="Arial"/>
          <w:szCs w:val="24"/>
          <w:lang w:val="es-ES" w:eastAsia="es-ES"/>
        </w:rPr>
        <w:t>Constitución, Legislación, Justicia y Reglamento,</w:t>
      </w:r>
      <w:r w:rsidRPr="00946DEE">
        <w:rPr>
          <w:rFonts w:eastAsia="Times New Roman" w:cs="Arial"/>
          <w:szCs w:val="24"/>
          <w:lang w:val="es-ES" w:eastAsia="es-ES"/>
        </w:rPr>
        <w:t xml:space="preserve"> en su informe.</w:t>
      </w:r>
    </w:p>
    <w:p w:rsidR="00946DEE" w:rsidRPr="00946DEE" w:rsidRDefault="00946DEE" w:rsidP="00946DEE">
      <w:pPr>
        <w:ind w:firstLine="2835"/>
        <w:jc w:val="both"/>
        <w:rPr>
          <w:rFonts w:eastAsia="Times New Roman" w:cs="Arial"/>
          <w:szCs w:val="24"/>
          <w:lang w:val="es-ES" w:eastAsia="es-ES"/>
        </w:rPr>
      </w:pPr>
    </w:p>
    <w:p w:rsidR="00946DEE" w:rsidRPr="00946DEE" w:rsidRDefault="00946DEE" w:rsidP="00946DEE">
      <w:pPr>
        <w:jc w:val="center"/>
        <w:rPr>
          <w:rFonts w:eastAsia="Times New Roman" w:cs="Arial"/>
          <w:szCs w:val="24"/>
          <w:lang w:val="es-ES" w:eastAsia="es-ES"/>
        </w:rPr>
      </w:pPr>
      <w:r w:rsidRPr="00946DEE">
        <w:rPr>
          <w:rFonts w:eastAsia="Times New Roman" w:cs="Arial"/>
          <w:szCs w:val="24"/>
          <w:lang w:val="es-ES" w:eastAsia="es-ES"/>
        </w:rPr>
        <w:t>- - -</w:t>
      </w:r>
    </w:p>
    <w:p w:rsidR="00946DEE" w:rsidRPr="00946DEE" w:rsidRDefault="00946DEE" w:rsidP="00946DEE">
      <w:pPr>
        <w:tabs>
          <w:tab w:val="left" w:pos="2835"/>
        </w:tabs>
        <w:jc w:val="both"/>
        <w:rPr>
          <w:rFonts w:eastAsia="Times New Roman" w:cs="Arial"/>
          <w:szCs w:val="24"/>
          <w:lang w:val="es-ES_tradnl" w:eastAsia="es-ES"/>
        </w:rPr>
      </w:pPr>
    </w:p>
    <w:p w:rsidR="00946DEE" w:rsidRPr="00946DEE" w:rsidRDefault="00946DEE" w:rsidP="00946DEE">
      <w:pPr>
        <w:tabs>
          <w:tab w:val="left" w:pos="2835"/>
        </w:tabs>
        <w:jc w:val="center"/>
        <w:rPr>
          <w:rFonts w:eastAsia="Times New Roman" w:cs="Arial"/>
          <w:b/>
          <w:szCs w:val="24"/>
          <w:lang w:val="es-ES" w:eastAsia="es-ES"/>
        </w:rPr>
      </w:pPr>
      <w:bookmarkStart w:id="1" w:name="Titulo_TI_1"/>
      <w:bookmarkStart w:id="2" w:name="Objetivo"/>
      <w:r w:rsidRPr="00946DEE">
        <w:rPr>
          <w:rFonts w:eastAsia="Times New Roman" w:cs="Arial"/>
          <w:b/>
          <w:szCs w:val="24"/>
          <w:lang w:val="es-ES" w:eastAsia="es-ES"/>
        </w:rPr>
        <w:t>OBJETIVOS DEL PROYECTO DE LEY</w:t>
      </w:r>
      <w:bookmarkEnd w:id="1"/>
    </w:p>
    <w:p w:rsidR="00946DEE" w:rsidRPr="00946DEE" w:rsidRDefault="00946DEE" w:rsidP="00946DEE">
      <w:pPr>
        <w:tabs>
          <w:tab w:val="left" w:pos="2835"/>
        </w:tabs>
        <w:ind w:firstLine="2835"/>
        <w:jc w:val="both"/>
        <w:rPr>
          <w:rFonts w:eastAsia="Times New Roman" w:cs="Arial"/>
          <w:szCs w:val="24"/>
          <w:lang w:val="es-ES" w:eastAsia="es-ES"/>
        </w:rPr>
      </w:pPr>
    </w:p>
    <w:bookmarkEnd w:id="2"/>
    <w:p w:rsidR="00CB0803" w:rsidRPr="00CB0803" w:rsidRDefault="00CB0803" w:rsidP="00CB0803">
      <w:pPr>
        <w:ind w:firstLine="2835"/>
        <w:jc w:val="both"/>
        <w:rPr>
          <w:rFonts w:eastAsia="Times New Roman" w:cs="Arial"/>
          <w:szCs w:val="24"/>
          <w:lang w:val="es-ES" w:eastAsia="es-ES"/>
        </w:rPr>
      </w:pPr>
      <w:r w:rsidRPr="00CB0803">
        <w:rPr>
          <w:rFonts w:eastAsia="Times New Roman" w:cs="Arial"/>
          <w:szCs w:val="24"/>
          <w:lang w:val="es-ES" w:eastAsia="es-ES"/>
        </w:rPr>
        <w:t>Adecuar la composición de los tribunales de las comunas de San Carlos, Chillán y Yungay, en razón de la creación de la Región de Ñuble por la ley N° 21.033, con las disposiciones contenidas en la ley N° 21.017.</w:t>
      </w:r>
    </w:p>
    <w:p w:rsidR="00CB0803" w:rsidRPr="00CB0803" w:rsidRDefault="00CB0803" w:rsidP="00CB0803">
      <w:pPr>
        <w:ind w:firstLine="2835"/>
        <w:jc w:val="both"/>
        <w:rPr>
          <w:rFonts w:eastAsia="Times New Roman" w:cs="Arial"/>
          <w:szCs w:val="24"/>
          <w:lang w:val="es-ES" w:eastAsia="es-ES"/>
        </w:rPr>
      </w:pPr>
    </w:p>
    <w:p w:rsidR="00CB0803" w:rsidRPr="00CB0803" w:rsidRDefault="00CB0803" w:rsidP="00CB0803">
      <w:pPr>
        <w:ind w:firstLine="2835"/>
        <w:jc w:val="both"/>
        <w:rPr>
          <w:rFonts w:eastAsia="Times New Roman" w:cs="Arial"/>
          <w:szCs w:val="24"/>
          <w:lang w:val="es-ES" w:eastAsia="es-ES"/>
        </w:rPr>
      </w:pPr>
      <w:r w:rsidRPr="00CB0803">
        <w:rPr>
          <w:rFonts w:eastAsia="Times New Roman" w:cs="Arial"/>
          <w:szCs w:val="24"/>
          <w:lang w:val="es-ES" w:eastAsia="es-ES"/>
        </w:rPr>
        <w:t>Modificar el artículo primero transitorio de la ley N°</w:t>
      </w:r>
      <w:r>
        <w:rPr>
          <w:rFonts w:eastAsia="Times New Roman" w:cs="Arial"/>
          <w:szCs w:val="24"/>
          <w:lang w:val="es-ES" w:eastAsia="es-ES"/>
        </w:rPr>
        <w:t> </w:t>
      </w:r>
      <w:r w:rsidRPr="00CB0803">
        <w:rPr>
          <w:rFonts w:eastAsia="Times New Roman" w:cs="Arial"/>
          <w:szCs w:val="24"/>
          <w:lang w:val="es-ES" w:eastAsia="es-ES"/>
        </w:rPr>
        <w:t>21.057, que regula entrevistas grabadas en video y, otras medidas de resguardo a menores de edad, víctimas de delitos sexuales, con el propósito de explicitar la época en que ésta entrará en vigencia en la nueva Región de Ñuble y adecuar dicha disposición a la nueva denominación de las distintas regiones, contenida en la ley N° 21.074, de fortalecimiento de la regionalización del país.</w:t>
      </w:r>
    </w:p>
    <w:p w:rsidR="00946DEE" w:rsidRPr="00946DEE" w:rsidRDefault="00946DEE" w:rsidP="00946DEE">
      <w:pPr>
        <w:ind w:firstLine="2835"/>
        <w:jc w:val="both"/>
        <w:rPr>
          <w:rFonts w:eastAsia="Times New Roman" w:cs="Arial"/>
          <w:szCs w:val="24"/>
          <w:lang w:val="es-ES" w:eastAsia="es-ES"/>
        </w:rPr>
      </w:pPr>
    </w:p>
    <w:p w:rsidR="00946DEE" w:rsidRPr="00946DEE" w:rsidRDefault="00946DEE" w:rsidP="00946DEE">
      <w:pPr>
        <w:tabs>
          <w:tab w:val="left" w:pos="2835"/>
        </w:tabs>
        <w:jc w:val="center"/>
        <w:rPr>
          <w:rFonts w:eastAsia="Times New Roman" w:cs="Times New Roman"/>
          <w:szCs w:val="20"/>
          <w:lang w:eastAsia="es-ES"/>
        </w:rPr>
      </w:pPr>
      <w:r w:rsidRPr="00946DEE">
        <w:rPr>
          <w:rFonts w:eastAsia="Times New Roman" w:cs="Times New Roman"/>
          <w:szCs w:val="20"/>
          <w:lang w:eastAsia="es-ES"/>
        </w:rPr>
        <w:t>- - -</w:t>
      </w:r>
    </w:p>
    <w:p w:rsidR="008970D2" w:rsidRDefault="008970D2" w:rsidP="008970D2">
      <w:pPr>
        <w:tabs>
          <w:tab w:val="left" w:pos="2835"/>
        </w:tabs>
        <w:ind w:firstLine="2835"/>
        <w:jc w:val="both"/>
        <w:rPr>
          <w:rFonts w:eastAsia="Times New Roman" w:cs="Times New Roman"/>
          <w:szCs w:val="20"/>
          <w:lang w:eastAsia="es-ES"/>
        </w:rPr>
      </w:pPr>
    </w:p>
    <w:p w:rsidR="008970D2" w:rsidRDefault="0086659B" w:rsidP="008970D2">
      <w:pPr>
        <w:tabs>
          <w:tab w:val="left" w:pos="2835"/>
        </w:tabs>
        <w:ind w:firstLine="2835"/>
        <w:jc w:val="both"/>
        <w:rPr>
          <w:rFonts w:eastAsia="Times New Roman" w:cs="Times New Roman"/>
          <w:szCs w:val="20"/>
          <w:lang w:eastAsia="es-ES"/>
        </w:rPr>
      </w:pPr>
      <w:r>
        <w:rPr>
          <w:rFonts w:eastAsia="Times New Roman" w:cs="Times New Roman"/>
          <w:szCs w:val="20"/>
          <w:lang w:eastAsia="es-ES"/>
        </w:rPr>
        <w:lastRenderedPageBreak/>
        <w:t xml:space="preserve">De conformidad con su competencia, </w:t>
      </w:r>
      <w:r w:rsidR="008970D2">
        <w:rPr>
          <w:rFonts w:eastAsia="Times New Roman" w:cs="Times New Roman"/>
          <w:szCs w:val="20"/>
          <w:lang w:eastAsia="es-ES"/>
        </w:rPr>
        <w:t>la</w:t>
      </w:r>
      <w:r>
        <w:rPr>
          <w:rFonts w:eastAsia="Times New Roman" w:cs="Times New Roman"/>
          <w:szCs w:val="20"/>
          <w:lang w:eastAsia="es-ES"/>
        </w:rPr>
        <w:t xml:space="preserve"> Comisión de Hacienda analizó el artículo 1</w:t>
      </w:r>
      <w:r w:rsidR="008970D2">
        <w:rPr>
          <w:rFonts w:eastAsia="Times New Roman" w:cs="Times New Roman"/>
          <w:szCs w:val="20"/>
          <w:lang w:eastAsia="es-ES"/>
        </w:rPr>
        <w:t>°</w:t>
      </w:r>
      <w:r>
        <w:rPr>
          <w:rFonts w:eastAsia="Times New Roman" w:cs="Times New Roman"/>
          <w:szCs w:val="20"/>
          <w:lang w:eastAsia="es-ES"/>
        </w:rPr>
        <w:t xml:space="preserve"> del presente proyecto de ley</w:t>
      </w:r>
      <w:r w:rsidR="008970D2">
        <w:rPr>
          <w:rFonts w:eastAsia="Times New Roman" w:cs="Times New Roman"/>
          <w:szCs w:val="20"/>
          <w:lang w:eastAsia="es-ES"/>
        </w:rPr>
        <w:t>, que es del siguiente tenor:</w:t>
      </w:r>
    </w:p>
    <w:p w:rsidR="008970D2" w:rsidRDefault="008970D2" w:rsidP="008970D2">
      <w:pPr>
        <w:tabs>
          <w:tab w:val="left" w:pos="2835"/>
        </w:tabs>
        <w:ind w:firstLine="2835"/>
        <w:jc w:val="both"/>
        <w:rPr>
          <w:rFonts w:eastAsia="Times New Roman" w:cs="Arial"/>
          <w:szCs w:val="24"/>
          <w:lang w:eastAsia="es-ES"/>
        </w:rPr>
      </w:pPr>
    </w:p>
    <w:p w:rsidR="00761CFC" w:rsidRPr="00761CFC" w:rsidRDefault="00761CFC" w:rsidP="00761CFC">
      <w:pPr>
        <w:tabs>
          <w:tab w:val="left" w:pos="2835"/>
        </w:tabs>
        <w:jc w:val="center"/>
        <w:rPr>
          <w:rFonts w:eastAsia="Times New Roman" w:cs="Arial"/>
          <w:b/>
          <w:szCs w:val="24"/>
          <w:lang w:eastAsia="es-ES"/>
        </w:rPr>
      </w:pPr>
      <w:r>
        <w:rPr>
          <w:rFonts w:eastAsia="Times New Roman" w:cs="Times New Roman"/>
          <w:b/>
          <w:szCs w:val="20"/>
          <w:lang w:eastAsia="es-ES"/>
        </w:rPr>
        <w:t>A</w:t>
      </w:r>
      <w:r w:rsidRPr="00761CFC">
        <w:rPr>
          <w:rFonts w:eastAsia="Times New Roman" w:cs="Times New Roman"/>
          <w:b/>
          <w:szCs w:val="20"/>
          <w:lang w:eastAsia="es-ES"/>
        </w:rPr>
        <w:t>rtículo 1°</w:t>
      </w:r>
    </w:p>
    <w:p w:rsidR="00761CFC" w:rsidRDefault="00761CFC" w:rsidP="008970D2">
      <w:pPr>
        <w:tabs>
          <w:tab w:val="left" w:pos="2835"/>
        </w:tabs>
        <w:ind w:firstLine="2835"/>
        <w:jc w:val="both"/>
        <w:rPr>
          <w:rFonts w:eastAsia="Times New Roman" w:cs="Arial"/>
          <w:szCs w:val="24"/>
          <w:lang w:eastAsia="es-ES"/>
        </w:rPr>
      </w:pPr>
    </w:p>
    <w:p w:rsidR="008970D2" w:rsidRPr="008970D2" w:rsidRDefault="008970D2" w:rsidP="008970D2">
      <w:pPr>
        <w:tabs>
          <w:tab w:val="left" w:pos="2835"/>
        </w:tabs>
        <w:ind w:firstLine="2835"/>
        <w:jc w:val="both"/>
        <w:rPr>
          <w:rFonts w:eastAsia="Times New Roman" w:cs="Arial"/>
          <w:szCs w:val="24"/>
          <w:lang w:val="es-MX" w:eastAsia="es-ES"/>
        </w:rPr>
      </w:pPr>
      <w:r>
        <w:rPr>
          <w:rFonts w:eastAsia="Times New Roman" w:cs="Arial"/>
          <w:szCs w:val="24"/>
          <w:lang w:val="es-MX" w:eastAsia="es-ES"/>
        </w:rPr>
        <w:t>“</w:t>
      </w:r>
      <w:r w:rsidRPr="008970D2">
        <w:rPr>
          <w:rFonts w:eastAsia="Times New Roman" w:cs="Arial"/>
          <w:szCs w:val="24"/>
          <w:lang w:val="es-MX" w:eastAsia="es-ES"/>
        </w:rPr>
        <w:t xml:space="preserve">Artículo 1°. </w:t>
      </w:r>
      <w:proofErr w:type="spellStart"/>
      <w:r w:rsidRPr="008970D2">
        <w:rPr>
          <w:rFonts w:eastAsia="Times New Roman" w:cs="Arial"/>
          <w:szCs w:val="24"/>
          <w:lang w:val="es-MX" w:eastAsia="es-ES"/>
        </w:rPr>
        <w:t>Introdúcense</w:t>
      </w:r>
      <w:proofErr w:type="spellEnd"/>
      <w:r w:rsidRPr="008970D2">
        <w:rPr>
          <w:rFonts w:eastAsia="Times New Roman" w:cs="Arial"/>
          <w:szCs w:val="24"/>
          <w:lang w:val="es-MX" w:eastAsia="es-ES"/>
        </w:rPr>
        <w:t xml:space="preserve"> las siguientes modificaciones en el artículo 6° de la ley N° 21.033, que crea la XVI Región de Ñuble y las provincias de Diguillín, Punilla e Itata:</w:t>
      </w:r>
    </w:p>
    <w:p w:rsidR="008970D2" w:rsidRPr="008970D2" w:rsidRDefault="008970D2" w:rsidP="008970D2">
      <w:pPr>
        <w:tabs>
          <w:tab w:val="left" w:pos="2835"/>
        </w:tabs>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 xml:space="preserve">1. </w:t>
      </w:r>
      <w:proofErr w:type="spellStart"/>
      <w:r w:rsidRPr="008970D2">
        <w:rPr>
          <w:rFonts w:eastAsia="Times New Roman" w:cs="Arial"/>
          <w:szCs w:val="24"/>
          <w:lang w:val="es-MX" w:eastAsia="es-ES"/>
        </w:rPr>
        <w:t>Reemplázase</w:t>
      </w:r>
      <w:proofErr w:type="spellEnd"/>
      <w:r w:rsidRPr="008970D2">
        <w:rPr>
          <w:rFonts w:eastAsia="Times New Roman" w:cs="Arial"/>
          <w:szCs w:val="24"/>
          <w:lang w:val="es-MX" w:eastAsia="es-ES"/>
        </w:rPr>
        <w:t xml:space="preserve"> el literal b del numeral 1 por el siguiente:</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 xml:space="preserve">“b) </w:t>
      </w:r>
      <w:proofErr w:type="spellStart"/>
      <w:r w:rsidRPr="008970D2">
        <w:rPr>
          <w:rFonts w:eastAsia="Times New Roman" w:cs="Arial"/>
          <w:szCs w:val="24"/>
          <w:lang w:val="es-MX" w:eastAsia="es-ES"/>
        </w:rPr>
        <w:t>Agrégase</w:t>
      </w:r>
      <w:proofErr w:type="spellEnd"/>
      <w:r w:rsidRPr="008970D2">
        <w:rPr>
          <w:rFonts w:eastAsia="Times New Roman" w:cs="Arial"/>
          <w:szCs w:val="24"/>
          <w:lang w:val="es-MX" w:eastAsia="es-ES"/>
        </w:rPr>
        <w:t>, a continuación del acápite correspondiente a la “Región Metropolitana de Santiago”, lo siguiente:</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“Región de Ñuble:</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San Carlos, con dos jueces, con competencia sobre las comunas de San Carlos, Ñiquén y San Fabián.</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Chillán, con cuatro jueces, con competencia sobre las comunas de San Nicolás, Chillán, Coihueco, Pinto y Chillán Viejo.</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Yungay, con un juez, con competencia sobre las comunas de El Carmen, Pemuco, Yungay y Tucapel.”.”.</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 xml:space="preserve">2. </w:t>
      </w:r>
      <w:proofErr w:type="spellStart"/>
      <w:r w:rsidRPr="008970D2">
        <w:rPr>
          <w:rFonts w:eastAsia="Times New Roman" w:cs="Arial"/>
          <w:szCs w:val="24"/>
          <w:lang w:val="es-MX" w:eastAsia="es-ES"/>
        </w:rPr>
        <w:t>Reemplázase</w:t>
      </w:r>
      <w:proofErr w:type="spellEnd"/>
      <w:r w:rsidRPr="008970D2">
        <w:rPr>
          <w:rFonts w:eastAsia="Times New Roman" w:cs="Arial"/>
          <w:szCs w:val="24"/>
          <w:lang w:val="es-MX" w:eastAsia="es-ES"/>
        </w:rPr>
        <w:t xml:space="preserve"> el literal b del numeral 2 por el siguiente:</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 xml:space="preserve">“b) </w:t>
      </w:r>
      <w:proofErr w:type="spellStart"/>
      <w:r w:rsidRPr="008970D2">
        <w:rPr>
          <w:rFonts w:eastAsia="Times New Roman" w:cs="Arial"/>
          <w:szCs w:val="24"/>
          <w:lang w:val="es-MX" w:eastAsia="es-ES"/>
        </w:rPr>
        <w:t>Agrégase</w:t>
      </w:r>
      <w:proofErr w:type="spellEnd"/>
      <w:r w:rsidRPr="008970D2">
        <w:rPr>
          <w:rFonts w:eastAsia="Times New Roman" w:cs="Arial"/>
          <w:szCs w:val="24"/>
          <w:lang w:val="es-MX" w:eastAsia="es-ES"/>
        </w:rPr>
        <w:t>, a continuación del acápite correspondiente a la “Región Metropolitana de Santiago”, lo siguiente:</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“Región de Ñuble:</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 xml:space="preserve">Chillán, con siete jueces, con competencia sobre las comunas de Cobquecura, Quirihue, </w:t>
      </w:r>
      <w:proofErr w:type="spellStart"/>
      <w:r w:rsidRPr="008970D2">
        <w:rPr>
          <w:rFonts w:eastAsia="Times New Roman" w:cs="Arial"/>
          <w:szCs w:val="24"/>
          <w:lang w:val="es-MX" w:eastAsia="es-ES"/>
        </w:rPr>
        <w:t>Ninhue</w:t>
      </w:r>
      <w:proofErr w:type="spellEnd"/>
      <w:r w:rsidRPr="008970D2">
        <w:rPr>
          <w:rFonts w:eastAsia="Times New Roman" w:cs="Arial"/>
          <w:szCs w:val="24"/>
          <w:lang w:val="es-MX" w:eastAsia="es-ES"/>
        </w:rPr>
        <w:t xml:space="preserve">, San Carlos, Ñiquén, San Fabián, San Nicolás, </w:t>
      </w:r>
      <w:proofErr w:type="spellStart"/>
      <w:r w:rsidRPr="008970D2">
        <w:rPr>
          <w:rFonts w:eastAsia="Times New Roman" w:cs="Arial"/>
          <w:szCs w:val="24"/>
          <w:lang w:val="es-MX" w:eastAsia="es-ES"/>
        </w:rPr>
        <w:t>Treguaco</w:t>
      </w:r>
      <w:proofErr w:type="spellEnd"/>
      <w:r w:rsidRPr="008970D2">
        <w:rPr>
          <w:rFonts w:eastAsia="Times New Roman" w:cs="Arial"/>
          <w:szCs w:val="24"/>
          <w:lang w:val="es-MX" w:eastAsia="es-ES"/>
        </w:rPr>
        <w:t xml:space="preserve">, Portezuelo, Chillán, Coihueco, Coelemu, </w:t>
      </w:r>
      <w:proofErr w:type="spellStart"/>
      <w:r w:rsidRPr="008970D2">
        <w:rPr>
          <w:rFonts w:eastAsia="Times New Roman" w:cs="Arial"/>
          <w:szCs w:val="24"/>
          <w:lang w:val="es-MX" w:eastAsia="es-ES"/>
        </w:rPr>
        <w:t>Ránquil</w:t>
      </w:r>
      <w:proofErr w:type="spellEnd"/>
      <w:r w:rsidRPr="008970D2">
        <w:rPr>
          <w:rFonts w:eastAsia="Times New Roman" w:cs="Arial"/>
          <w:szCs w:val="24"/>
          <w:lang w:val="es-MX" w:eastAsia="es-ES"/>
        </w:rPr>
        <w:t>, Pinto, Quillón, Bulnes, San Ignacio, El Carmen, Pemuco, Yungay, Tucapel y Chillán Viejo.”.”.</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 xml:space="preserve">3. </w:t>
      </w:r>
      <w:proofErr w:type="spellStart"/>
      <w:r w:rsidRPr="008970D2">
        <w:rPr>
          <w:rFonts w:eastAsia="Times New Roman" w:cs="Arial"/>
          <w:szCs w:val="24"/>
          <w:lang w:val="es-MX" w:eastAsia="es-ES"/>
        </w:rPr>
        <w:t>Reemplázase</w:t>
      </w:r>
      <w:proofErr w:type="spellEnd"/>
      <w:r w:rsidRPr="008970D2">
        <w:rPr>
          <w:rFonts w:eastAsia="Times New Roman" w:cs="Arial"/>
          <w:szCs w:val="24"/>
          <w:lang w:val="es-MX" w:eastAsia="es-ES"/>
        </w:rPr>
        <w:t xml:space="preserve"> el numeral 4 por el siguiente: </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 xml:space="preserve">“4) </w:t>
      </w:r>
      <w:proofErr w:type="spellStart"/>
      <w:r w:rsidRPr="008970D2">
        <w:rPr>
          <w:rFonts w:eastAsia="Times New Roman" w:cs="Arial"/>
          <w:szCs w:val="24"/>
          <w:lang w:val="es-MX" w:eastAsia="es-ES"/>
        </w:rPr>
        <w:t>Agrégase</w:t>
      </w:r>
      <w:proofErr w:type="spellEnd"/>
      <w:r w:rsidRPr="008970D2">
        <w:rPr>
          <w:rFonts w:eastAsia="Times New Roman" w:cs="Arial"/>
          <w:szCs w:val="24"/>
          <w:lang w:val="es-MX" w:eastAsia="es-ES"/>
        </w:rPr>
        <w:t xml:space="preserve"> el siguiente artículo 39 </w:t>
      </w:r>
      <w:proofErr w:type="spellStart"/>
      <w:r w:rsidRPr="008970D2">
        <w:rPr>
          <w:rFonts w:eastAsia="Times New Roman" w:cs="Arial"/>
          <w:szCs w:val="24"/>
          <w:lang w:val="es-MX" w:eastAsia="es-ES"/>
        </w:rPr>
        <w:t>quáter</w:t>
      </w:r>
      <w:proofErr w:type="spellEnd"/>
      <w:r w:rsidRPr="008970D2">
        <w:rPr>
          <w:rFonts w:eastAsia="Times New Roman" w:cs="Arial"/>
          <w:szCs w:val="24"/>
          <w:lang w:val="es-MX" w:eastAsia="es-ES"/>
        </w:rPr>
        <w:t>:</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lastRenderedPageBreak/>
        <w:t xml:space="preserve">“Artículo 39 </w:t>
      </w:r>
      <w:proofErr w:type="spellStart"/>
      <w:r w:rsidRPr="008970D2">
        <w:rPr>
          <w:rFonts w:eastAsia="Times New Roman" w:cs="Arial"/>
          <w:szCs w:val="24"/>
          <w:lang w:val="es-MX" w:eastAsia="es-ES"/>
        </w:rPr>
        <w:t>quáter</w:t>
      </w:r>
      <w:proofErr w:type="spellEnd"/>
      <w:r w:rsidRPr="008970D2">
        <w:rPr>
          <w:rFonts w:eastAsia="Times New Roman" w:cs="Arial"/>
          <w:szCs w:val="24"/>
          <w:lang w:val="es-MX" w:eastAsia="es-ES"/>
        </w:rPr>
        <w:t>. En la Región de Ñuble existirán los siguientes juzgados de letras, que tendrán competencia en los territorios que se indican:</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A.- JUZGADOS CIVILES:</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Dos juzgados de letras en lo civil, con asiento en la comuna de Chillán, con competencia sobre las comunas de Chillán, Pinto, Coihueco y Chillán Viejo.</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B.- JUZGADOS CON COMPETENCIA COMÚN:</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Un juzgado con asiento en la comuna de San Carlos, con dos jueces, con competencia sobre las comunas de San Carlos, Ñiquén, San Fabián y San Nicolás.</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Un juzgado con asiento en la comuna de Yungay, con dos jueces, con competencia sobre las comunas de Yungay, Pemuco, El Carmen y Tucapel.</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Un juzgado con asiento en la comuna de Bulnes, con competencia sobre las comunas de Bulnes, Quillón y San Ignacio.</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P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 xml:space="preserve">Un juzgado con asiento en la comuna de Coelemu, con competencia sobre las comunas de Coelemu y </w:t>
      </w:r>
      <w:proofErr w:type="spellStart"/>
      <w:r w:rsidRPr="008970D2">
        <w:rPr>
          <w:rFonts w:eastAsia="Times New Roman" w:cs="Arial"/>
          <w:szCs w:val="24"/>
          <w:lang w:val="es-MX" w:eastAsia="es-ES"/>
        </w:rPr>
        <w:t>Ránquil</w:t>
      </w:r>
      <w:proofErr w:type="spellEnd"/>
      <w:r w:rsidRPr="008970D2">
        <w:rPr>
          <w:rFonts w:eastAsia="Times New Roman" w:cs="Arial"/>
          <w:szCs w:val="24"/>
          <w:lang w:val="es-MX" w:eastAsia="es-ES"/>
        </w:rPr>
        <w:t>.</w:t>
      </w:r>
    </w:p>
    <w:p w:rsidR="008970D2" w:rsidRPr="008970D2" w:rsidRDefault="008970D2" w:rsidP="008970D2">
      <w:pPr>
        <w:tabs>
          <w:tab w:val="left" w:pos="2835"/>
        </w:tabs>
        <w:ind w:firstLine="2835"/>
        <w:jc w:val="both"/>
        <w:rPr>
          <w:rFonts w:eastAsia="Times New Roman" w:cs="Arial"/>
          <w:szCs w:val="24"/>
          <w:lang w:val="es-MX" w:eastAsia="es-ES"/>
        </w:rPr>
      </w:pPr>
    </w:p>
    <w:p w:rsidR="008970D2" w:rsidRDefault="008970D2" w:rsidP="008970D2">
      <w:pPr>
        <w:tabs>
          <w:tab w:val="left" w:pos="2835"/>
        </w:tabs>
        <w:ind w:firstLine="2835"/>
        <w:jc w:val="both"/>
        <w:rPr>
          <w:rFonts w:eastAsia="Times New Roman" w:cs="Arial"/>
          <w:szCs w:val="24"/>
          <w:lang w:val="es-MX" w:eastAsia="es-ES"/>
        </w:rPr>
      </w:pPr>
      <w:r w:rsidRPr="008970D2">
        <w:rPr>
          <w:rFonts w:eastAsia="Times New Roman" w:cs="Arial"/>
          <w:szCs w:val="24"/>
          <w:lang w:val="es-MX" w:eastAsia="es-ES"/>
        </w:rPr>
        <w:t xml:space="preserve">Un juzgado con asiento en la comuna de Quirihue, con competencia sobre las comunas de Quirihue, </w:t>
      </w:r>
      <w:proofErr w:type="spellStart"/>
      <w:r w:rsidRPr="008970D2">
        <w:rPr>
          <w:rFonts w:eastAsia="Times New Roman" w:cs="Arial"/>
          <w:szCs w:val="24"/>
          <w:lang w:val="es-MX" w:eastAsia="es-ES"/>
        </w:rPr>
        <w:t>Ninhue</w:t>
      </w:r>
      <w:proofErr w:type="spellEnd"/>
      <w:r w:rsidRPr="008970D2">
        <w:rPr>
          <w:rFonts w:eastAsia="Times New Roman" w:cs="Arial"/>
          <w:szCs w:val="24"/>
          <w:lang w:val="es-MX" w:eastAsia="es-ES"/>
        </w:rPr>
        <w:t xml:space="preserve">, Portezuelo, </w:t>
      </w:r>
      <w:proofErr w:type="spellStart"/>
      <w:r w:rsidRPr="008970D2">
        <w:rPr>
          <w:rFonts w:eastAsia="Times New Roman" w:cs="Arial"/>
          <w:szCs w:val="24"/>
          <w:lang w:val="es-MX" w:eastAsia="es-ES"/>
        </w:rPr>
        <w:t>Treguaco</w:t>
      </w:r>
      <w:proofErr w:type="spellEnd"/>
      <w:r w:rsidRPr="008970D2">
        <w:rPr>
          <w:rFonts w:eastAsia="Times New Roman" w:cs="Arial"/>
          <w:szCs w:val="24"/>
          <w:lang w:val="es-MX" w:eastAsia="es-ES"/>
        </w:rPr>
        <w:t xml:space="preserve"> y Cobquecura.”.”.</w:t>
      </w:r>
    </w:p>
    <w:p w:rsidR="008970D2" w:rsidRDefault="008970D2" w:rsidP="008970D2">
      <w:pPr>
        <w:tabs>
          <w:tab w:val="left" w:pos="2835"/>
        </w:tabs>
        <w:ind w:firstLine="2835"/>
        <w:jc w:val="both"/>
        <w:rPr>
          <w:rFonts w:eastAsia="Times New Roman" w:cs="Times New Roman"/>
          <w:szCs w:val="20"/>
          <w:lang w:val="es-MX" w:eastAsia="es-ES"/>
        </w:rPr>
      </w:pPr>
    </w:p>
    <w:p w:rsidR="0086659B" w:rsidRDefault="0086659B" w:rsidP="008970D2">
      <w:pPr>
        <w:tabs>
          <w:tab w:val="left" w:pos="2835"/>
        </w:tabs>
        <w:ind w:firstLine="2835"/>
        <w:jc w:val="both"/>
        <w:rPr>
          <w:rFonts w:eastAsia="Times New Roman" w:cs="Times New Roman"/>
          <w:szCs w:val="20"/>
          <w:lang w:eastAsia="es-ES"/>
        </w:rPr>
      </w:pPr>
      <w:r>
        <w:rPr>
          <w:rFonts w:eastAsia="Times New Roman" w:cs="Times New Roman"/>
          <w:szCs w:val="20"/>
          <w:lang w:eastAsia="es-ES"/>
        </w:rPr>
        <w:t xml:space="preserve">Sobre este artículo recayó </w:t>
      </w:r>
      <w:r w:rsidR="008970D2">
        <w:rPr>
          <w:rFonts w:eastAsia="Times New Roman" w:cs="Times New Roman"/>
          <w:szCs w:val="20"/>
          <w:lang w:eastAsia="es-ES"/>
        </w:rPr>
        <w:t xml:space="preserve">la siguiente </w:t>
      </w:r>
      <w:r w:rsidRPr="00AD4DA2">
        <w:rPr>
          <w:rFonts w:eastAsia="Times New Roman" w:cs="Times New Roman"/>
          <w:b/>
          <w:szCs w:val="20"/>
          <w:lang w:eastAsia="es-ES"/>
        </w:rPr>
        <w:t>indicación</w:t>
      </w:r>
      <w:r w:rsidR="008970D2">
        <w:rPr>
          <w:rFonts w:eastAsia="Times New Roman" w:cs="Times New Roman"/>
          <w:szCs w:val="20"/>
          <w:lang w:eastAsia="es-ES"/>
        </w:rPr>
        <w:t xml:space="preserve"> </w:t>
      </w:r>
      <w:r w:rsidR="008970D2" w:rsidRPr="00AD4DA2">
        <w:rPr>
          <w:rFonts w:eastAsia="Times New Roman" w:cs="Times New Roman"/>
          <w:b/>
          <w:szCs w:val="20"/>
          <w:lang w:eastAsia="es-ES"/>
        </w:rPr>
        <w:t xml:space="preserve">de Su Excelencia el </w:t>
      </w:r>
      <w:proofErr w:type="gramStart"/>
      <w:r w:rsidR="008970D2" w:rsidRPr="00AD4DA2">
        <w:rPr>
          <w:rFonts w:eastAsia="Times New Roman" w:cs="Times New Roman"/>
          <w:b/>
          <w:szCs w:val="20"/>
          <w:lang w:eastAsia="es-ES"/>
        </w:rPr>
        <w:t>Presidente</w:t>
      </w:r>
      <w:proofErr w:type="gramEnd"/>
      <w:r w:rsidR="008970D2" w:rsidRPr="00AD4DA2">
        <w:rPr>
          <w:rFonts w:eastAsia="Times New Roman" w:cs="Times New Roman"/>
          <w:b/>
          <w:szCs w:val="20"/>
          <w:lang w:eastAsia="es-ES"/>
        </w:rPr>
        <w:t xml:space="preserve"> de la República</w:t>
      </w:r>
      <w:r w:rsidR="008970D2">
        <w:rPr>
          <w:rFonts w:eastAsia="Times New Roman" w:cs="Times New Roman"/>
          <w:szCs w:val="20"/>
          <w:lang w:eastAsia="es-ES"/>
        </w:rPr>
        <w:t>:</w:t>
      </w:r>
    </w:p>
    <w:p w:rsidR="008970D2" w:rsidRDefault="008970D2" w:rsidP="008970D2">
      <w:pPr>
        <w:tabs>
          <w:tab w:val="left" w:pos="2835"/>
        </w:tabs>
        <w:ind w:firstLine="2835"/>
        <w:jc w:val="both"/>
        <w:rPr>
          <w:rFonts w:eastAsia="Times New Roman" w:cs="Times New Roman"/>
          <w:szCs w:val="20"/>
          <w:lang w:eastAsia="es-ES"/>
        </w:rPr>
      </w:pPr>
    </w:p>
    <w:p w:rsidR="008B3B0F" w:rsidRPr="008B3B0F" w:rsidRDefault="008B3B0F" w:rsidP="008B3B0F">
      <w:pPr>
        <w:tabs>
          <w:tab w:val="left" w:pos="3969"/>
          <w:tab w:val="left" w:pos="4536"/>
          <w:tab w:val="left" w:pos="5103"/>
        </w:tabs>
        <w:ind w:firstLine="2835"/>
        <w:jc w:val="both"/>
        <w:rPr>
          <w:rFonts w:eastAsia="Times New Roman" w:cs="Arial"/>
          <w:color w:val="000000"/>
          <w:szCs w:val="24"/>
          <w:lang w:val="es-ES_tradnl" w:eastAsia="es-ES"/>
        </w:rPr>
      </w:pPr>
      <w:r w:rsidRPr="008B3B0F">
        <w:rPr>
          <w:rFonts w:eastAsia="Times New Roman" w:cs="Arial"/>
          <w:color w:val="000000"/>
          <w:szCs w:val="24"/>
          <w:lang w:val="es-ES_tradnl" w:eastAsia="es-ES"/>
        </w:rPr>
        <w:t>Para reemplazar el numeral 3) por el siguiente:</w:t>
      </w:r>
    </w:p>
    <w:p w:rsidR="008B3B0F" w:rsidRPr="008B3B0F" w:rsidRDefault="008B3B0F" w:rsidP="008B3B0F">
      <w:pPr>
        <w:tabs>
          <w:tab w:val="left" w:pos="3969"/>
          <w:tab w:val="left" w:pos="4536"/>
          <w:tab w:val="left" w:pos="5103"/>
        </w:tabs>
        <w:ind w:firstLine="2835"/>
        <w:jc w:val="both"/>
        <w:rPr>
          <w:rFonts w:eastAsia="Times New Roman" w:cs="Arial"/>
          <w:color w:val="000000"/>
          <w:szCs w:val="24"/>
          <w:lang w:val="es-ES_tradnl" w:eastAsia="es-ES"/>
        </w:rPr>
      </w:pP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r w:rsidRPr="008B3B0F">
        <w:rPr>
          <w:rFonts w:eastAsia="Times New Roman" w:cs="Arial"/>
          <w:color w:val="000000"/>
          <w:szCs w:val="24"/>
          <w:lang w:val="es-ES_tradnl" w:eastAsia="es-ES"/>
        </w:rPr>
        <w:t xml:space="preserve">“3) </w:t>
      </w:r>
      <w:proofErr w:type="spellStart"/>
      <w:r w:rsidRPr="008B3B0F">
        <w:rPr>
          <w:rFonts w:eastAsia="Times New Roman" w:cs="Arial"/>
          <w:szCs w:val="24"/>
          <w:lang w:val="es-ES_tradnl" w:eastAsia="es-ES"/>
        </w:rPr>
        <w:t>Reemplázase</w:t>
      </w:r>
      <w:proofErr w:type="spellEnd"/>
      <w:r w:rsidRPr="008B3B0F">
        <w:rPr>
          <w:rFonts w:eastAsia="Times New Roman" w:cs="Arial"/>
          <w:szCs w:val="24"/>
          <w:lang w:val="es-ES_tradnl" w:eastAsia="es-ES"/>
        </w:rPr>
        <w:t xml:space="preserve"> el numeral 4) por el siguiente:</w:t>
      </w: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r w:rsidRPr="008B3B0F">
        <w:rPr>
          <w:rFonts w:eastAsia="Times New Roman" w:cs="Arial"/>
          <w:szCs w:val="24"/>
          <w:lang w:val="es-ES_tradnl" w:eastAsia="es-ES"/>
        </w:rPr>
        <w:t xml:space="preserve">“4) </w:t>
      </w:r>
      <w:proofErr w:type="spellStart"/>
      <w:r w:rsidRPr="008B3B0F">
        <w:rPr>
          <w:rFonts w:eastAsia="Times New Roman" w:cs="Arial"/>
          <w:szCs w:val="24"/>
          <w:lang w:val="es-ES_tradnl" w:eastAsia="es-ES"/>
        </w:rPr>
        <w:t>Agrégase</w:t>
      </w:r>
      <w:proofErr w:type="spellEnd"/>
      <w:r w:rsidRPr="008B3B0F">
        <w:rPr>
          <w:rFonts w:eastAsia="Times New Roman" w:cs="Arial"/>
          <w:szCs w:val="24"/>
          <w:lang w:val="es-ES_tradnl" w:eastAsia="es-ES"/>
        </w:rPr>
        <w:t xml:space="preserve"> el siguiente artículo 39 </w:t>
      </w:r>
      <w:proofErr w:type="spellStart"/>
      <w:r w:rsidRPr="008B3B0F">
        <w:rPr>
          <w:rFonts w:eastAsia="Times New Roman" w:cs="Arial"/>
          <w:szCs w:val="24"/>
          <w:lang w:val="es-ES_tradnl" w:eastAsia="es-ES"/>
        </w:rPr>
        <w:t>quáter</w:t>
      </w:r>
      <w:proofErr w:type="spellEnd"/>
      <w:r w:rsidRPr="008B3B0F">
        <w:rPr>
          <w:rFonts w:eastAsia="Times New Roman" w:cs="Arial"/>
          <w:szCs w:val="24"/>
          <w:lang w:val="es-ES_tradnl" w:eastAsia="es-ES"/>
        </w:rPr>
        <w:t>:</w:t>
      </w: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r w:rsidRPr="008B3B0F">
        <w:rPr>
          <w:rFonts w:eastAsia="Times New Roman" w:cs="Arial"/>
          <w:szCs w:val="24"/>
          <w:lang w:val="es-ES_tradnl" w:eastAsia="es-ES"/>
        </w:rPr>
        <w:t xml:space="preserve">“Artículo 39 </w:t>
      </w:r>
      <w:proofErr w:type="spellStart"/>
      <w:proofErr w:type="gramStart"/>
      <w:r w:rsidRPr="008B3B0F">
        <w:rPr>
          <w:rFonts w:eastAsia="Times New Roman" w:cs="Arial"/>
          <w:szCs w:val="24"/>
          <w:lang w:val="es-ES_tradnl" w:eastAsia="es-ES"/>
        </w:rPr>
        <w:t>quáter</w:t>
      </w:r>
      <w:proofErr w:type="spellEnd"/>
      <w:r w:rsidRPr="008B3B0F">
        <w:rPr>
          <w:rFonts w:eastAsia="Times New Roman" w:cs="Arial"/>
          <w:szCs w:val="24"/>
          <w:lang w:val="es-ES_tradnl" w:eastAsia="es-ES"/>
        </w:rPr>
        <w:t>.-</w:t>
      </w:r>
      <w:proofErr w:type="gramEnd"/>
      <w:r w:rsidRPr="008B3B0F">
        <w:rPr>
          <w:rFonts w:eastAsia="Times New Roman" w:cs="Arial"/>
          <w:szCs w:val="24"/>
          <w:lang w:val="es-ES_tradnl" w:eastAsia="es-ES"/>
        </w:rPr>
        <w:t xml:space="preserve"> En la Región de Ñuble existirán los siguientes juzgados de letras, que tendrán competencia en los territorios que se indican:</w:t>
      </w: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r w:rsidRPr="008B3B0F">
        <w:rPr>
          <w:rFonts w:eastAsia="Times New Roman" w:cs="Arial"/>
          <w:szCs w:val="24"/>
          <w:lang w:val="es-ES_tradnl" w:eastAsia="es-ES"/>
        </w:rPr>
        <w:t>A.- JUZGADOS CIVILES:</w:t>
      </w: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r w:rsidRPr="008B3B0F">
        <w:rPr>
          <w:rFonts w:eastAsia="Times New Roman" w:cs="Arial"/>
          <w:szCs w:val="24"/>
          <w:lang w:val="es-ES_tradnl" w:eastAsia="es-ES"/>
        </w:rPr>
        <w:lastRenderedPageBreak/>
        <w:t>Dos juzgados de letras en lo civil, con asiento en la comuna de Chillán, con competencia sobre las comunas de Chillán, Pinto, Coihueco y Chillán Viejo.</w:t>
      </w: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r w:rsidRPr="008B3B0F">
        <w:rPr>
          <w:rFonts w:eastAsia="Times New Roman" w:cs="Arial"/>
          <w:szCs w:val="24"/>
          <w:lang w:val="es-ES_tradnl" w:eastAsia="es-ES"/>
        </w:rPr>
        <w:t>B.- JUZGADOS CON COMPETENCIA COMÚN:</w:t>
      </w: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r w:rsidRPr="008B3B0F">
        <w:rPr>
          <w:rFonts w:eastAsia="Times New Roman" w:cs="Arial"/>
          <w:szCs w:val="24"/>
          <w:lang w:val="es-ES_tradnl" w:eastAsia="es-ES"/>
        </w:rPr>
        <w:t xml:space="preserve">Un juzgado con asiento en la comuna de San Carlos, con dos jueces, con competencia sobre las comunas de San Carlos, Ñiquén, San Fabián y San Nicolás. </w:t>
      </w: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r w:rsidRPr="008B3B0F">
        <w:rPr>
          <w:rFonts w:eastAsia="Times New Roman" w:cs="Arial"/>
          <w:szCs w:val="24"/>
          <w:lang w:val="es-ES_tradnl" w:eastAsia="es-ES"/>
        </w:rPr>
        <w:t>Un juzgado con asiento en la comuna de Yungay, con dos jueces, con competencia sobre las comunas de Yungay, Pemuco, El Carmen y Tucapel.</w:t>
      </w: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r w:rsidRPr="008B3B0F">
        <w:rPr>
          <w:rFonts w:eastAsia="Times New Roman" w:cs="Arial"/>
          <w:szCs w:val="24"/>
          <w:lang w:val="es-ES_tradnl" w:eastAsia="es-ES"/>
        </w:rPr>
        <w:t>Un juzgado con asiento en la comuna de Bulnes, con dos jueces, con competencia sobre las comunas de Bulnes, Quillón y San Ignacio.</w:t>
      </w: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r w:rsidRPr="008B3B0F">
        <w:rPr>
          <w:rFonts w:eastAsia="Times New Roman" w:cs="Arial"/>
          <w:szCs w:val="24"/>
          <w:lang w:val="es-ES_tradnl" w:eastAsia="es-ES"/>
        </w:rPr>
        <w:t xml:space="preserve">Un juzgado con asiento en la comuna de Coelemu, con competencia sobre las comunas de Coelemu y </w:t>
      </w:r>
      <w:proofErr w:type="spellStart"/>
      <w:r w:rsidRPr="008B3B0F">
        <w:rPr>
          <w:rFonts w:eastAsia="Times New Roman" w:cs="Arial"/>
          <w:szCs w:val="24"/>
          <w:lang w:val="es-ES_tradnl" w:eastAsia="es-ES"/>
        </w:rPr>
        <w:t>Ránquil</w:t>
      </w:r>
      <w:proofErr w:type="spellEnd"/>
      <w:r w:rsidRPr="008B3B0F">
        <w:rPr>
          <w:rFonts w:eastAsia="Times New Roman" w:cs="Arial"/>
          <w:szCs w:val="24"/>
          <w:lang w:val="es-ES_tradnl" w:eastAsia="es-ES"/>
        </w:rPr>
        <w:t>.</w:t>
      </w: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p>
    <w:p w:rsidR="008B3B0F" w:rsidRPr="008B3B0F" w:rsidRDefault="008B3B0F" w:rsidP="008B3B0F">
      <w:pPr>
        <w:tabs>
          <w:tab w:val="left" w:pos="3969"/>
          <w:tab w:val="left" w:pos="4536"/>
          <w:tab w:val="left" w:pos="5103"/>
        </w:tabs>
        <w:ind w:firstLine="2835"/>
        <w:jc w:val="both"/>
        <w:rPr>
          <w:rFonts w:eastAsia="Times New Roman" w:cs="Arial"/>
          <w:szCs w:val="24"/>
          <w:lang w:val="es-ES_tradnl" w:eastAsia="es-ES"/>
        </w:rPr>
      </w:pPr>
      <w:r w:rsidRPr="008B3B0F">
        <w:rPr>
          <w:rFonts w:eastAsia="Times New Roman" w:cs="Arial"/>
          <w:szCs w:val="24"/>
          <w:lang w:val="es-ES_tradnl" w:eastAsia="es-ES"/>
        </w:rPr>
        <w:t xml:space="preserve">Un juzgado con asiento en la comuna de Quirihue, con competencia sobre las comunas de Quirihue, </w:t>
      </w:r>
      <w:proofErr w:type="spellStart"/>
      <w:r w:rsidRPr="008B3B0F">
        <w:rPr>
          <w:rFonts w:eastAsia="Times New Roman" w:cs="Arial"/>
          <w:szCs w:val="24"/>
          <w:lang w:val="es-ES_tradnl" w:eastAsia="es-ES"/>
        </w:rPr>
        <w:t>Ninhue</w:t>
      </w:r>
      <w:proofErr w:type="spellEnd"/>
      <w:r w:rsidRPr="008B3B0F">
        <w:rPr>
          <w:rFonts w:eastAsia="Times New Roman" w:cs="Arial"/>
          <w:szCs w:val="24"/>
          <w:lang w:val="es-ES_tradnl" w:eastAsia="es-ES"/>
        </w:rPr>
        <w:t xml:space="preserve">, Portezuelo, </w:t>
      </w:r>
      <w:proofErr w:type="spellStart"/>
      <w:r w:rsidRPr="008B3B0F">
        <w:rPr>
          <w:rFonts w:eastAsia="Times New Roman" w:cs="Arial"/>
          <w:szCs w:val="24"/>
          <w:lang w:val="es-ES_tradnl" w:eastAsia="es-ES"/>
        </w:rPr>
        <w:t>Treguaco</w:t>
      </w:r>
      <w:proofErr w:type="spellEnd"/>
      <w:r w:rsidRPr="008B3B0F">
        <w:rPr>
          <w:rFonts w:eastAsia="Times New Roman" w:cs="Arial"/>
          <w:szCs w:val="24"/>
          <w:lang w:val="es-ES_tradnl" w:eastAsia="es-ES"/>
        </w:rPr>
        <w:t xml:space="preserve"> y Cobquecura.”.</w:t>
      </w:r>
    </w:p>
    <w:p w:rsidR="008970D2" w:rsidRDefault="008970D2" w:rsidP="008970D2">
      <w:pPr>
        <w:tabs>
          <w:tab w:val="left" w:pos="2835"/>
        </w:tabs>
        <w:ind w:firstLine="2835"/>
        <w:jc w:val="both"/>
        <w:rPr>
          <w:rFonts w:eastAsia="Times New Roman" w:cs="Times New Roman"/>
          <w:szCs w:val="20"/>
          <w:lang w:eastAsia="es-ES"/>
        </w:rPr>
      </w:pPr>
    </w:p>
    <w:p w:rsidR="008970D2" w:rsidRDefault="008970D2" w:rsidP="008970D2">
      <w:pPr>
        <w:tabs>
          <w:tab w:val="left" w:pos="2835"/>
        </w:tabs>
        <w:ind w:firstLine="2835"/>
        <w:jc w:val="both"/>
        <w:rPr>
          <w:rFonts w:eastAsia="Times New Roman" w:cs="Times New Roman"/>
          <w:szCs w:val="20"/>
          <w:lang w:eastAsia="es-ES"/>
        </w:rPr>
      </w:pPr>
    </w:p>
    <w:p w:rsidR="00946DEE" w:rsidRDefault="008970D2" w:rsidP="00946DEE">
      <w:pPr>
        <w:tabs>
          <w:tab w:val="left" w:pos="2835"/>
        </w:tabs>
        <w:ind w:firstLine="2835"/>
        <w:jc w:val="both"/>
        <w:rPr>
          <w:rFonts w:eastAsia="Times New Roman" w:cs="Arial"/>
          <w:b/>
          <w:szCs w:val="24"/>
          <w:highlight w:val="yellow"/>
          <w:lang w:eastAsia="es-ES"/>
        </w:rPr>
      </w:pPr>
      <w:r w:rsidRPr="005B2EEB">
        <w:rPr>
          <w:rFonts w:eastAsia="Times New Roman" w:cs="Times New Roman"/>
          <w:b/>
          <w:szCs w:val="20"/>
          <w:lang w:eastAsia="es-ES"/>
        </w:rPr>
        <w:t>Puesta en votación la indicación, resultó aprobada</w:t>
      </w:r>
      <w:r w:rsidR="00946DEE" w:rsidRPr="00946DEE">
        <w:rPr>
          <w:rFonts w:eastAsia="Times New Roman" w:cs="Arial"/>
          <w:b/>
          <w:szCs w:val="24"/>
          <w:lang w:eastAsia="es-ES"/>
        </w:rPr>
        <w:t xml:space="preserve"> por la unanimidad de los miembros </w:t>
      </w:r>
      <w:r w:rsidR="005B2EEB" w:rsidRPr="005B2EEB">
        <w:rPr>
          <w:rFonts w:eastAsia="Times New Roman" w:cs="Arial"/>
          <w:b/>
          <w:szCs w:val="24"/>
          <w:lang w:eastAsia="es-ES"/>
        </w:rPr>
        <w:t xml:space="preserve">presentes </w:t>
      </w:r>
      <w:r w:rsidR="00946DEE" w:rsidRPr="00946DEE">
        <w:rPr>
          <w:rFonts w:eastAsia="Times New Roman" w:cs="Arial"/>
          <w:b/>
          <w:szCs w:val="24"/>
          <w:lang w:eastAsia="es-ES"/>
        </w:rPr>
        <w:t xml:space="preserve">de la Comisión, Honorables Senadores </w:t>
      </w:r>
      <w:r w:rsidR="00946DEE" w:rsidRPr="00946DEE">
        <w:rPr>
          <w:rFonts w:eastAsia="Times New Roman" w:cs="Arial"/>
          <w:b/>
          <w:szCs w:val="24"/>
          <w:lang w:val="es-ES_tradnl" w:eastAsia="es-ES"/>
        </w:rPr>
        <w:t>Coloma, García</w:t>
      </w:r>
      <w:r w:rsidR="005B2EEB" w:rsidRPr="005B2EEB">
        <w:rPr>
          <w:rFonts w:eastAsia="Times New Roman" w:cs="Arial"/>
          <w:b/>
          <w:szCs w:val="24"/>
          <w:lang w:val="es-ES_tradnl" w:eastAsia="es-ES"/>
        </w:rPr>
        <w:t xml:space="preserve"> y</w:t>
      </w:r>
      <w:r w:rsidR="00946DEE" w:rsidRPr="00946DEE">
        <w:rPr>
          <w:rFonts w:eastAsia="Times New Roman" w:cs="Arial"/>
          <w:b/>
          <w:szCs w:val="24"/>
          <w:lang w:val="es-ES_tradnl" w:eastAsia="es-ES"/>
        </w:rPr>
        <w:t xml:space="preserve"> Lagos</w:t>
      </w:r>
      <w:r w:rsidR="00946DEE" w:rsidRPr="00946DEE">
        <w:rPr>
          <w:rFonts w:eastAsia="Times New Roman" w:cs="Arial"/>
          <w:b/>
          <w:szCs w:val="24"/>
          <w:lang w:eastAsia="es-ES"/>
        </w:rPr>
        <w:t>.</w:t>
      </w:r>
    </w:p>
    <w:p w:rsidR="008970D2" w:rsidRDefault="008970D2" w:rsidP="00946DEE">
      <w:pPr>
        <w:tabs>
          <w:tab w:val="left" w:pos="2835"/>
        </w:tabs>
        <w:ind w:firstLine="2835"/>
        <w:jc w:val="both"/>
        <w:rPr>
          <w:rFonts w:eastAsia="Times New Roman" w:cs="Arial"/>
          <w:b/>
          <w:szCs w:val="24"/>
          <w:lang w:eastAsia="es-ES"/>
        </w:rPr>
      </w:pPr>
    </w:p>
    <w:p w:rsidR="008970D2" w:rsidRPr="00946DEE" w:rsidRDefault="008970D2" w:rsidP="00946DEE">
      <w:pPr>
        <w:tabs>
          <w:tab w:val="left" w:pos="2835"/>
        </w:tabs>
        <w:ind w:firstLine="2835"/>
        <w:jc w:val="both"/>
        <w:rPr>
          <w:rFonts w:eastAsia="Times New Roman" w:cs="Arial"/>
          <w:b/>
          <w:szCs w:val="24"/>
          <w:lang w:eastAsia="es-ES"/>
        </w:rPr>
      </w:pPr>
      <w:r w:rsidRPr="005B2EEB">
        <w:rPr>
          <w:rFonts w:eastAsia="Times New Roman" w:cs="Arial"/>
          <w:b/>
          <w:szCs w:val="24"/>
          <w:lang w:eastAsia="es-ES"/>
        </w:rPr>
        <w:t>El resto del artículo fue aprobado con la misma votación.</w:t>
      </w:r>
    </w:p>
    <w:p w:rsidR="00946DEE" w:rsidRPr="00946DEE" w:rsidRDefault="00946DEE" w:rsidP="00946DEE">
      <w:pPr>
        <w:tabs>
          <w:tab w:val="left" w:pos="2835"/>
        </w:tabs>
        <w:ind w:firstLine="2835"/>
        <w:jc w:val="both"/>
        <w:rPr>
          <w:rFonts w:eastAsia="Times New Roman" w:cs="Arial"/>
          <w:b/>
          <w:szCs w:val="24"/>
          <w:lang w:eastAsia="es-ES"/>
        </w:rPr>
      </w:pPr>
    </w:p>
    <w:p w:rsidR="00946DEE" w:rsidRPr="00946DEE" w:rsidRDefault="00946DEE" w:rsidP="00946DEE">
      <w:pPr>
        <w:jc w:val="center"/>
        <w:rPr>
          <w:rFonts w:eastAsia="Times New Roman" w:cs="Arial"/>
          <w:b/>
          <w:szCs w:val="24"/>
          <w:lang w:val="es-ES" w:eastAsia="es-ES"/>
        </w:rPr>
      </w:pPr>
      <w:r w:rsidRPr="00946DEE">
        <w:rPr>
          <w:rFonts w:eastAsia="Times New Roman" w:cs="Arial"/>
          <w:b/>
          <w:szCs w:val="24"/>
          <w:lang w:val="es-ES" w:eastAsia="es-ES"/>
        </w:rPr>
        <w:t>- - -</w:t>
      </w:r>
    </w:p>
    <w:p w:rsidR="00946DEE" w:rsidRPr="00946DEE" w:rsidRDefault="00946DEE" w:rsidP="00946DEE">
      <w:pPr>
        <w:tabs>
          <w:tab w:val="left" w:pos="2835"/>
        </w:tabs>
        <w:jc w:val="both"/>
        <w:rPr>
          <w:rFonts w:eastAsia="Times New Roman" w:cs="Times New Roman"/>
          <w:szCs w:val="20"/>
          <w:lang w:eastAsia="es-ES"/>
        </w:rPr>
      </w:pPr>
    </w:p>
    <w:p w:rsidR="00946DEE" w:rsidRPr="00946DEE" w:rsidRDefault="00946DEE" w:rsidP="00946DEE">
      <w:pPr>
        <w:tabs>
          <w:tab w:val="left" w:pos="2835"/>
        </w:tabs>
        <w:jc w:val="center"/>
        <w:rPr>
          <w:rFonts w:eastAsia="Times New Roman" w:cs="Times New Roman"/>
          <w:b/>
          <w:szCs w:val="20"/>
          <w:lang w:eastAsia="es-ES"/>
        </w:rPr>
      </w:pPr>
      <w:r w:rsidRPr="00946DEE">
        <w:rPr>
          <w:rFonts w:eastAsia="Times New Roman" w:cs="Times New Roman"/>
          <w:b/>
          <w:szCs w:val="20"/>
          <w:lang w:eastAsia="es-ES"/>
        </w:rPr>
        <w:t>INFORME FINANCIERO</w:t>
      </w:r>
    </w:p>
    <w:p w:rsidR="00946DEE" w:rsidRPr="00946DEE" w:rsidRDefault="00946DEE" w:rsidP="00946DEE">
      <w:pPr>
        <w:tabs>
          <w:tab w:val="left" w:pos="2835"/>
        </w:tabs>
        <w:jc w:val="center"/>
        <w:rPr>
          <w:rFonts w:eastAsia="Times New Roman" w:cs="Times New Roman"/>
          <w:b/>
          <w:szCs w:val="20"/>
          <w:lang w:eastAsia="es-ES"/>
        </w:rPr>
      </w:pPr>
    </w:p>
    <w:p w:rsidR="00946DEE" w:rsidRPr="00946DEE" w:rsidRDefault="00946DEE" w:rsidP="00946DEE">
      <w:pPr>
        <w:tabs>
          <w:tab w:val="left" w:pos="2835"/>
        </w:tabs>
        <w:ind w:firstLine="2880"/>
        <w:jc w:val="both"/>
        <w:rPr>
          <w:rFonts w:eastAsia="Times New Roman" w:cs="Arial"/>
          <w:szCs w:val="20"/>
          <w:lang w:val="es-ES_tradnl" w:eastAsia="es-ES"/>
        </w:rPr>
      </w:pPr>
      <w:r w:rsidRPr="00946DEE">
        <w:rPr>
          <w:rFonts w:eastAsia="Times New Roman" w:cs="Arial"/>
          <w:szCs w:val="20"/>
          <w:lang w:val="es-ES_tradnl" w:eastAsia="es-ES"/>
        </w:rPr>
        <w:t xml:space="preserve">El </w:t>
      </w:r>
      <w:r w:rsidR="00FF63AC">
        <w:rPr>
          <w:rFonts w:eastAsia="Times New Roman" w:cs="Arial"/>
          <w:szCs w:val="20"/>
          <w:lang w:val="es-ES_tradnl" w:eastAsia="es-ES"/>
        </w:rPr>
        <w:t>I</w:t>
      </w:r>
      <w:r w:rsidRPr="00946DEE">
        <w:rPr>
          <w:rFonts w:eastAsia="Times New Roman" w:cs="Arial"/>
          <w:szCs w:val="20"/>
          <w:lang w:val="es-ES_tradnl" w:eastAsia="es-ES"/>
        </w:rPr>
        <w:t xml:space="preserve">nforme </w:t>
      </w:r>
      <w:r w:rsidR="00FF63AC">
        <w:rPr>
          <w:rFonts w:eastAsia="Times New Roman" w:cs="Arial"/>
          <w:szCs w:val="20"/>
          <w:lang w:val="es-ES_tradnl" w:eastAsia="es-ES"/>
        </w:rPr>
        <w:t>F</w:t>
      </w:r>
      <w:r w:rsidRPr="00946DEE">
        <w:rPr>
          <w:rFonts w:eastAsia="Times New Roman" w:cs="Arial"/>
          <w:szCs w:val="20"/>
          <w:lang w:val="es-ES_tradnl" w:eastAsia="es-ES"/>
        </w:rPr>
        <w:t xml:space="preserve">inanciero </w:t>
      </w:r>
      <w:r w:rsidR="008B3B0F">
        <w:rPr>
          <w:rFonts w:eastAsia="Times New Roman" w:cs="Arial"/>
          <w:szCs w:val="20"/>
          <w:lang w:val="es-ES_tradnl" w:eastAsia="es-ES"/>
        </w:rPr>
        <w:t>N° 47</w:t>
      </w:r>
      <w:r w:rsidR="00FF63AC">
        <w:rPr>
          <w:rFonts w:eastAsia="Times New Roman" w:cs="Arial"/>
          <w:szCs w:val="20"/>
          <w:lang w:val="es-ES_tradnl" w:eastAsia="es-ES"/>
        </w:rPr>
        <w:t xml:space="preserve">, </w:t>
      </w:r>
      <w:r w:rsidRPr="00946DEE">
        <w:rPr>
          <w:rFonts w:eastAsia="Times New Roman" w:cs="Arial"/>
          <w:szCs w:val="20"/>
          <w:lang w:val="es-ES_tradnl" w:eastAsia="es-ES"/>
        </w:rPr>
        <w:t xml:space="preserve">elaborado por la Dirección de Presupuestos del Ministerio de Hacienda, de 3 de </w:t>
      </w:r>
      <w:r w:rsidR="00CB0803">
        <w:rPr>
          <w:rFonts w:eastAsia="Times New Roman" w:cs="Arial"/>
          <w:szCs w:val="20"/>
          <w:lang w:val="es-ES_tradnl" w:eastAsia="es-ES"/>
        </w:rPr>
        <w:t xml:space="preserve">mayo </w:t>
      </w:r>
      <w:r w:rsidRPr="00946DEE">
        <w:rPr>
          <w:rFonts w:eastAsia="Times New Roman" w:cs="Arial"/>
          <w:szCs w:val="20"/>
          <w:lang w:val="es-ES_tradnl" w:eastAsia="es-ES"/>
        </w:rPr>
        <w:t>de 201</w:t>
      </w:r>
      <w:r w:rsidR="00CB0803">
        <w:rPr>
          <w:rFonts w:eastAsia="Times New Roman" w:cs="Arial"/>
          <w:szCs w:val="20"/>
          <w:lang w:val="es-ES_tradnl" w:eastAsia="es-ES"/>
        </w:rPr>
        <w:t>8</w:t>
      </w:r>
      <w:r w:rsidRPr="00946DEE">
        <w:rPr>
          <w:rFonts w:eastAsia="Times New Roman" w:cs="Arial"/>
          <w:szCs w:val="20"/>
          <w:lang w:val="es-ES_tradnl" w:eastAsia="es-ES"/>
        </w:rPr>
        <w:t>, señala</w:t>
      </w:r>
      <w:r w:rsidR="00CB0803">
        <w:rPr>
          <w:rFonts w:eastAsia="Times New Roman" w:cs="Arial"/>
          <w:szCs w:val="20"/>
          <w:lang w:val="es-ES_tradnl" w:eastAsia="es-ES"/>
        </w:rPr>
        <w:t xml:space="preserve"> </w:t>
      </w:r>
      <w:r w:rsidRPr="00946DEE">
        <w:rPr>
          <w:rFonts w:eastAsia="Times New Roman" w:cs="Arial"/>
          <w:szCs w:val="20"/>
          <w:lang w:val="es-ES_tradnl" w:eastAsia="es-ES"/>
        </w:rPr>
        <w:t>textual</w:t>
      </w:r>
      <w:r w:rsidR="00CB0803">
        <w:rPr>
          <w:rFonts w:eastAsia="Times New Roman" w:cs="Arial"/>
          <w:szCs w:val="20"/>
          <w:lang w:val="es-ES_tradnl" w:eastAsia="es-ES"/>
        </w:rPr>
        <w:t>mente</w:t>
      </w:r>
      <w:r w:rsidRPr="00946DEE">
        <w:rPr>
          <w:rFonts w:eastAsia="Times New Roman" w:cs="Arial"/>
          <w:szCs w:val="20"/>
          <w:lang w:val="es-ES_tradnl" w:eastAsia="es-ES"/>
        </w:rPr>
        <w:t>, lo siguiente:</w:t>
      </w:r>
    </w:p>
    <w:p w:rsidR="00946DEE" w:rsidRPr="00946DEE" w:rsidRDefault="00946DEE" w:rsidP="00946DEE">
      <w:pPr>
        <w:tabs>
          <w:tab w:val="left" w:pos="2835"/>
        </w:tabs>
        <w:ind w:firstLine="2880"/>
        <w:jc w:val="both"/>
        <w:rPr>
          <w:rFonts w:eastAsia="Times New Roman" w:cs="Arial"/>
          <w:szCs w:val="20"/>
          <w:lang w:val="es-ES_tradnl" w:eastAsia="es-ES"/>
        </w:rPr>
      </w:pPr>
    </w:p>
    <w:p w:rsidR="008B3B0F" w:rsidRPr="008B3B0F" w:rsidRDefault="00946DEE" w:rsidP="008B3B0F">
      <w:pPr>
        <w:ind w:firstLine="2835"/>
        <w:rPr>
          <w:rFonts w:eastAsia="Calibri" w:cs="Arial"/>
          <w:b/>
          <w:color w:val="000000"/>
          <w:szCs w:val="24"/>
          <w:lang w:eastAsia="es-CL"/>
        </w:rPr>
      </w:pPr>
      <w:r w:rsidRPr="00946DEE">
        <w:rPr>
          <w:rFonts w:eastAsia="Verdana" w:cs="Arial"/>
          <w:bCs/>
          <w:szCs w:val="24"/>
          <w:lang w:val="es-ES_tradnl" w:eastAsia="es-CL"/>
        </w:rPr>
        <w:t>“</w:t>
      </w:r>
      <w:r w:rsidR="008B3B0F" w:rsidRPr="00FF63AC">
        <w:rPr>
          <w:rFonts w:eastAsia="Calibri" w:cs="Arial"/>
          <w:color w:val="000000"/>
          <w:szCs w:val="24"/>
          <w:lang w:eastAsia="es-CL"/>
        </w:rPr>
        <w:t>I. Antecedentes</w:t>
      </w:r>
    </w:p>
    <w:p w:rsidR="008B3B0F" w:rsidRPr="008B3B0F" w:rsidRDefault="008B3B0F" w:rsidP="008B3B0F">
      <w:pPr>
        <w:spacing w:after="24" w:line="227" w:lineRule="auto"/>
        <w:ind w:firstLine="2835"/>
        <w:jc w:val="both"/>
        <w:rPr>
          <w:rFonts w:eastAsia="Calibri" w:cs="Arial"/>
          <w:color w:val="000000"/>
          <w:szCs w:val="24"/>
          <w:lang w:eastAsia="es-CL"/>
        </w:rPr>
      </w:pPr>
    </w:p>
    <w:p w:rsidR="008B3B0F" w:rsidRPr="008B3B0F" w:rsidRDefault="008B3B0F" w:rsidP="008B3B0F">
      <w:pPr>
        <w:spacing w:after="24" w:line="227" w:lineRule="auto"/>
        <w:ind w:firstLine="2835"/>
        <w:jc w:val="both"/>
        <w:rPr>
          <w:rFonts w:eastAsia="Calibri" w:cs="Arial"/>
          <w:color w:val="000000"/>
          <w:szCs w:val="24"/>
          <w:lang w:eastAsia="es-CL"/>
        </w:rPr>
      </w:pPr>
      <w:r w:rsidRPr="008B3B0F">
        <w:rPr>
          <w:rFonts w:eastAsia="Calibri" w:cs="Arial"/>
          <w:color w:val="000000"/>
          <w:szCs w:val="24"/>
          <w:lang w:eastAsia="es-CL"/>
        </w:rPr>
        <w:t>Las presentes indicaciones modifican algunos artículos relacionados a la Ley N° 21.033, que creó la región del Ñuble, en los siguientes aspectos:</w:t>
      </w:r>
    </w:p>
    <w:p w:rsidR="008B3B0F" w:rsidRPr="008B3B0F" w:rsidRDefault="008B3B0F" w:rsidP="008B3B0F">
      <w:pPr>
        <w:spacing w:after="24" w:line="227" w:lineRule="auto"/>
        <w:ind w:firstLine="2835"/>
        <w:jc w:val="both"/>
        <w:rPr>
          <w:rFonts w:eastAsia="Calibri" w:cs="Arial"/>
          <w:color w:val="000000"/>
          <w:szCs w:val="24"/>
          <w:lang w:eastAsia="es-CL"/>
        </w:rPr>
      </w:pPr>
    </w:p>
    <w:p w:rsidR="008B3B0F" w:rsidRPr="008B3B0F" w:rsidRDefault="008B3B0F" w:rsidP="008B3B0F">
      <w:pPr>
        <w:spacing w:after="24" w:line="227" w:lineRule="auto"/>
        <w:ind w:firstLine="2835"/>
        <w:jc w:val="both"/>
        <w:rPr>
          <w:rFonts w:eastAsia="Calibri" w:cs="Arial"/>
          <w:color w:val="000000"/>
          <w:szCs w:val="24"/>
          <w:lang w:eastAsia="es-CL"/>
        </w:rPr>
      </w:pPr>
      <w:r w:rsidRPr="008B3B0F">
        <w:rPr>
          <w:rFonts w:eastAsia="Calibri" w:cs="Arial"/>
          <w:color w:val="000000"/>
          <w:szCs w:val="24"/>
          <w:lang w:eastAsia="es-CL"/>
        </w:rPr>
        <w:lastRenderedPageBreak/>
        <w:t>1. Modificar la Ley que creó la Región del Nuble para adecuar la cantidad de jueces en dicha región según lo establecido por la Ley N° 21.017. Esto permite la consistencia de ambas leyes.</w:t>
      </w:r>
      <w:r w:rsidRPr="008B3B0F">
        <w:rPr>
          <w:rFonts w:eastAsia="Calibri" w:cs="Arial"/>
          <w:noProof/>
          <w:color w:val="000000"/>
          <w:szCs w:val="24"/>
          <w:lang w:eastAsia="es-CL"/>
        </w:rPr>
        <w:drawing>
          <wp:inline distT="0" distB="0" distL="0" distR="0" wp14:anchorId="38E6CD17" wp14:editId="0956AB59">
            <wp:extent cx="3319" cy="9959"/>
            <wp:effectExtent l="0" t="0" r="0" b="0"/>
            <wp:docPr id="2217" name="Picture 2217"/>
            <wp:cNvGraphicFramePr/>
            <a:graphic xmlns:a="http://schemas.openxmlformats.org/drawingml/2006/main">
              <a:graphicData uri="http://schemas.openxmlformats.org/drawingml/2006/picture">
                <pic:pic xmlns:pic="http://schemas.openxmlformats.org/drawingml/2006/picture">
                  <pic:nvPicPr>
                    <pic:cNvPr id="2217" name="Picture 2217"/>
                    <pic:cNvPicPr/>
                  </pic:nvPicPr>
                  <pic:blipFill>
                    <a:blip r:embed="rId4"/>
                    <a:stretch>
                      <a:fillRect/>
                    </a:stretch>
                  </pic:blipFill>
                  <pic:spPr>
                    <a:xfrm>
                      <a:off x="0" y="0"/>
                      <a:ext cx="3319" cy="9959"/>
                    </a:xfrm>
                    <a:prstGeom prst="rect">
                      <a:avLst/>
                    </a:prstGeom>
                  </pic:spPr>
                </pic:pic>
              </a:graphicData>
            </a:graphic>
          </wp:inline>
        </w:drawing>
      </w:r>
    </w:p>
    <w:p w:rsidR="008B3B0F" w:rsidRPr="008B3B0F" w:rsidRDefault="008B3B0F" w:rsidP="008B3B0F">
      <w:pPr>
        <w:spacing w:after="24" w:line="227" w:lineRule="auto"/>
        <w:ind w:firstLine="2835"/>
        <w:jc w:val="both"/>
        <w:rPr>
          <w:rFonts w:eastAsia="Calibri" w:cs="Arial"/>
          <w:color w:val="000000"/>
          <w:szCs w:val="24"/>
          <w:lang w:eastAsia="es-CL"/>
        </w:rPr>
      </w:pPr>
      <w:r w:rsidRPr="008B3B0F">
        <w:rPr>
          <w:rFonts w:ascii="Calibri" w:eastAsia="Calibri" w:hAnsi="Calibri" w:cs="Calibri"/>
          <w:noProof/>
          <w:color w:val="000000"/>
          <w:sz w:val="22"/>
          <w:lang w:eastAsia="es-CL"/>
        </w:rPr>
        <w:drawing>
          <wp:inline distT="0" distB="0" distL="0" distR="0">
            <wp:extent cx="12065" cy="120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8B3B0F" w:rsidRPr="008B3B0F" w:rsidRDefault="008B3B0F" w:rsidP="008B3B0F">
      <w:pPr>
        <w:spacing w:after="24" w:line="227" w:lineRule="auto"/>
        <w:ind w:firstLine="2835"/>
        <w:jc w:val="both"/>
        <w:rPr>
          <w:rFonts w:eastAsia="Calibri" w:cs="Arial"/>
          <w:color w:val="000000"/>
          <w:szCs w:val="24"/>
          <w:lang w:eastAsia="es-CL"/>
        </w:rPr>
      </w:pPr>
      <w:r w:rsidRPr="008B3B0F">
        <w:rPr>
          <w:rFonts w:eastAsia="Calibri" w:cs="Arial"/>
          <w:color w:val="000000"/>
          <w:szCs w:val="24"/>
          <w:lang w:eastAsia="es-CL"/>
        </w:rPr>
        <w:t>2. Modificar la Ley N° 21.057, que regula las entrevistas videograbadas y crea medidas de resguardo para menores víctimas de delitos sexuales, para explicitar la entrada en vigencia de esta ley en la nueva Región del Ñuble. Esto permite la consistencia de la ejecución de la Ley N° 21.057 en todo el territorio nacional.</w:t>
      </w:r>
    </w:p>
    <w:p w:rsidR="008B3B0F" w:rsidRPr="008B3B0F" w:rsidRDefault="008B3B0F" w:rsidP="008B3B0F">
      <w:pPr>
        <w:spacing w:after="24" w:line="227" w:lineRule="auto"/>
        <w:ind w:firstLine="2835"/>
        <w:jc w:val="both"/>
        <w:rPr>
          <w:rFonts w:eastAsia="Calibri" w:cs="Arial"/>
          <w:b/>
          <w:color w:val="000000"/>
          <w:szCs w:val="24"/>
          <w:lang w:eastAsia="es-CL"/>
        </w:rPr>
      </w:pPr>
    </w:p>
    <w:p w:rsidR="008B3B0F" w:rsidRPr="008B3B0F" w:rsidRDefault="008B3B0F" w:rsidP="008B3B0F">
      <w:pPr>
        <w:spacing w:after="24" w:line="227" w:lineRule="auto"/>
        <w:ind w:firstLine="2835"/>
        <w:jc w:val="both"/>
        <w:rPr>
          <w:rFonts w:eastAsia="Calibri" w:cs="Arial"/>
          <w:color w:val="000000"/>
          <w:szCs w:val="24"/>
          <w:lang w:eastAsia="es-CL"/>
        </w:rPr>
      </w:pPr>
      <w:r w:rsidRPr="008B3B0F">
        <w:rPr>
          <w:rFonts w:eastAsia="Calibri" w:cs="Arial"/>
          <w:color w:val="000000"/>
          <w:szCs w:val="24"/>
          <w:lang w:eastAsia="es-CL"/>
        </w:rPr>
        <w:t>II. Efecto del proyecto de ley sobre el Presupuesto Fiscal</w:t>
      </w:r>
    </w:p>
    <w:p w:rsidR="008B3B0F" w:rsidRPr="008B3B0F" w:rsidRDefault="008B3B0F" w:rsidP="008B3B0F">
      <w:pPr>
        <w:spacing w:after="24" w:line="227" w:lineRule="auto"/>
        <w:ind w:firstLine="2835"/>
        <w:jc w:val="both"/>
        <w:rPr>
          <w:rFonts w:eastAsia="Calibri" w:cs="Arial"/>
          <w:color w:val="000000"/>
          <w:szCs w:val="24"/>
          <w:lang w:eastAsia="es-CL"/>
        </w:rPr>
      </w:pPr>
    </w:p>
    <w:p w:rsidR="008B3B0F" w:rsidRPr="008B3B0F" w:rsidRDefault="008B3B0F" w:rsidP="008B3B0F">
      <w:pPr>
        <w:spacing w:after="24" w:line="227" w:lineRule="auto"/>
        <w:ind w:firstLine="2835"/>
        <w:jc w:val="both"/>
        <w:rPr>
          <w:rFonts w:eastAsia="Calibri" w:cs="Arial"/>
          <w:color w:val="000000"/>
          <w:szCs w:val="24"/>
          <w:lang w:eastAsia="es-CL"/>
        </w:rPr>
      </w:pPr>
      <w:r w:rsidRPr="008B3B0F">
        <w:rPr>
          <w:rFonts w:eastAsia="Calibri" w:cs="Arial"/>
          <w:color w:val="000000"/>
          <w:szCs w:val="24"/>
          <w:lang w:eastAsia="es-CL"/>
        </w:rPr>
        <w:t>a. Este proyecto de ley no aumenta el gasto fiscal, ya que corrige inconsistencias entre las normativas anteriormente mencionadas. Para las Leyes N° 21.017 y N° 21.057, los gastos fiscales asociados ya contemplan al territorio correspondientes a la nueva región del Ñuble y sus jurisdicciones.</w:t>
      </w:r>
    </w:p>
    <w:p w:rsidR="008B3B0F" w:rsidRPr="008B3B0F" w:rsidRDefault="008B3B0F" w:rsidP="008B3B0F">
      <w:pPr>
        <w:spacing w:after="24" w:line="227" w:lineRule="auto"/>
        <w:ind w:firstLine="2835"/>
        <w:jc w:val="both"/>
        <w:rPr>
          <w:rFonts w:eastAsia="Calibri" w:cs="Arial"/>
          <w:color w:val="000000"/>
          <w:szCs w:val="24"/>
          <w:lang w:eastAsia="es-CL"/>
        </w:rPr>
      </w:pPr>
    </w:p>
    <w:p w:rsidR="00946DEE" w:rsidRDefault="008B3B0F" w:rsidP="00FF63AC">
      <w:pPr>
        <w:spacing w:after="24" w:line="227" w:lineRule="auto"/>
        <w:ind w:firstLine="2835"/>
        <w:jc w:val="both"/>
        <w:rPr>
          <w:rFonts w:eastAsia="Times New Roman" w:cs="Arial"/>
          <w:szCs w:val="20"/>
          <w:lang w:val="es-ES_tradnl" w:eastAsia="es-ES"/>
        </w:rPr>
      </w:pPr>
      <w:r w:rsidRPr="008B3B0F">
        <w:rPr>
          <w:rFonts w:eastAsia="Calibri" w:cs="Arial"/>
          <w:color w:val="000000"/>
          <w:szCs w:val="24"/>
          <w:lang w:eastAsia="es-CL"/>
        </w:rPr>
        <w:t>b. De acuerdo a Io anterior el proyecto de ley no comprenderá un mayor gasto fiscal.</w:t>
      </w:r>
      <w:r w:rsidR="00946DEE" w:rsidRPr="00946DEE">
        <w:rPr>
          <w:rFonts w:eastAsia="Times New Roman" w:cs="Arial"/>
          <w:szCs w:val="20"/>
          <w:lang w:val="es-ES_tradnl" w:eastAsia="es-ES"/>
        </w:rPr>
        <w:t>”.</w:t>
      </w:r>
    </w:p>
    <w:p w:rsidR="00CB0803" w:rsidRDefault="00CB0803" w:rsidP="00946DEE">
      <w:pPr>
        <w:ind w:firstLine="2835"/>
        <w:jc w:val="both"/>
        <w:rPr>
          <w:rFonts w:eastAsia="Times New Roman" w:cs="Arial"/>
          <w:szCs w:val="20"/>
          <w:lang w:val="es-ES_tradnl" w:eastAsia="es-ES"/>
        </w:rPr>
      </w:pPr>
    </w:p>
    <w:p w:rsidR="00CB0803" w:rsidRDefault="00CB0803" w:rsidP="00946DEE">
      <w:pPr>
        <w:ind w:firstLine="2835"/>
        <w:jc w:val="both"/>
        <w:rPr>
          <w:rFonts w:eastAsia="Times New Roman" w:cs="Arial"/>
          <w:szCs w:val="20"/>
          <w:lang w:val="es-ES_tradnl" w:eastAsia="es-ES"/>
        </w:rPr>
      </w:pPr>
      <w:r>
        <w:rPr>
          <w:rFonts w:eastAsia="Times New Roman" w:cs="Arial"/>
          <w:szCs w:val="20"/>
          <w:lang w:val="es-ES_tradnl" w:eastAsia="es-ES"/>
        </w:rPr>
        <w:t>Posteriormente, se acompañó a la indicación presentada por el Ejecutivo, el Informe Financiero</w:t>
      </w:r>
      <w:r w:rsidR="00FF63AC">
        <w:rPr>
          <w:rFonts w:eastAsia="Times New Roman" w:cs="Arial"/>
          <w:szCs w:val="20"/>
          <w:lang w:val="es-ES_tradnl" w:eastAsia="es-ES"/>
        </w:rPr>
        <w:t xml:space="preserve"> N° 110</w:t>
      </w:r>
      <w:r>
        <w:rPr>
          <w:rFonts w:eastAsia="Times New Roman" w:cs="Arial"/>
          <w:szCs w:val="20"/>
          <w:lang w:val="es-ES_tradnl" w:eastAsia="es-ES"/>
        </w:rPr>
        <w:t>, de fecha 17 de julio del presente, del siguiente tenor:</w:t>
      </w:r>
    </w:p>
    <w:p w:rsidR="00FF63AC" w:rsidRDefault="00FF63AC" w:rsidP="00946DEE">
      <w:pPr>
        <w:ind w:firstLine="2835"/>
        <w:jc w:val="both"/>
        <w:rPr>
          <w:rFonts w:eastAsia="Times New Roman" w:cs="Arial"/>
          <w:szCs w:val="20"/>
          <w:lang w:val="es-ES_tradnl" w:eastAsia="es-ES"/>
        </w:rPr>
      </w:pPr>
    </w:p>
    <w:p w:rsidR="00FF63AC" w:rsidRPr="00FF63AC" w:rsidRDefault="00CB0803" w:rsidP="00FF63AC">
      <w:pPr>
        <w:ind w:firstLine="2835"/>
        <w:jc w:val="both"/>
        <w:rPr>
          <w:rFonts w:eastAsia="Calibri" w:cs="Arial"/>
          <w:b/>
          <w:color w:val="000000"/>
          <w:szCs w:val="24"/>
          <w:lang w:eastAsia="es-CL"/>
        </w:rPr>
      </w:pPr>
      <w:r>
        <w:rPr>
          <w:rFonts w:eastAsia="Times New Roman" w:cs="Arial"/>
          <w:szCs w:val="20"/>
          <w:lang w:val="es-ES_tradnl" w:eastAsia="es-ES"/>
        </w:rPr>
        <w:t>“</w:t>
      </w:r>
      <w:r w:rsidR="00FF63AC" w:rsidRPr="00FF63AC">
        <w:rPr>
          <w:rFonts w:eastAsia="Calibri" w:cs="Arial"/>
          <w:color w:val="000000"/>
          <w:szCs w:val="24"/>
          <w:lang w:eastAsia="es-CL"/>
        </w:rPr>
        <w:t>I. Antecedentes</w:t>
      </w:r>
    </w:p>
    <w:p w:rsidR="00FF63AC" w:rsidRPr="00FF63AC" w:rsidRDefault="00FF63AC" w:rsidP="00FF63AC">
      <w:pPr>
        <w:ind w:firstLine="2835"/>
        <w:jc w:val="both"/>
        <w:rPr>
          <w:rFonts w:eastAsia="Calibri" w:cs="Arial"/>
          <w:color w:val="000000"/>
          <w:szCs w:val="24"/>
          <w:lang w:eastAsia="es-CL"/>
        </w:rPr>
      </w:pPr>
    </w:p>
    <w:p w:rsidR="00FF63AC" w:rsidRPr="00FF63AC" w:rsidRDefault="00FF63AC" w:rsidP="00FF63AC">
      <w:pPr>
        <w:ind w:firstLine="2835"/>
        <w:jc w:val="both"/>
        <w:rPr>
          <w:rFonts w:eastAsia="Calibri" w:cs="Arial"/>
          <w:color w:val="000000"/>
          <w:szCs w:val="24"/>
          <w:lang w:eastAsia="es-CL"/>
        </w:rPr>
      </w:pPr>
      <w:r w:rsidRPr="00FF63AC">
        <w:rPr>
          <w:rFonts w:eastAsia="Calibri" w:cs="Arial"/>
          <w:color w:val="000000"/>
          <w:szCs w:val="24"/>
          <w:lang w:eastAsia="es-CL"/>
        </w:rPr>
        <w:t>La Ley N° 20.876 (noviembre de 2015) aumentó la dotación del juzgado de competencia común de Bulnes de uno a dos jueces. Sin embargo, la Ley N° 21.033 (septiembre de 2017), no se hace cargo de dicho aumento, adjudicando un solo juez al mencionado tribunal. Esto genera una discrepancia entre los espíritus legales de dichas leyes.</w:t>
      </w:r>
    </w:p>
    <w:p w:rsidR="00FF63AC" w:rsidRPr="00FF63AC" w:rsidRDefault="00FF63AC" w:rsidP="00FF63AC">
      <w:pPr>
        <w:ind w:firstLine="2835"/>
        <w:jc w:val="both"/>
        <w:rPr>
          <w:rFonts w:eastAsia="Calibri" w:cs="Arial"/>
          <w:color w:val="000000"/>
          <w:szCs w:val="24"/>
          <w:lang w:eastAsia="es-CL"/>
        </w:rPr>
      </w:pPr>
    </w:p>
    <w:p w:rsidR="00FF63AC" w:rsidRPr="00FF63AC" w:rsidRDefault="00FF63AC" w:rsidP="00FF63AC">
      <w:pPr>
        <w:ind w:firstLine="2835"/>
        <w:jc w:val="both"/>
        <w:rPr>
          <w:rFonts w:eastAsia="Calibri" w:cs="Arial"/>
          <w:color w:val="000000"/>
          <w:szCs w:val="24"/>
          <w:lang w:eastAsia="es-CL"/>
        </w:rPr>
      </w:pPr>
      <w:r w:rsidRPr="00FF63AC">
        <w:rPr>
          <w:rFonts w:eastAsia="Calibri" w:cs="Arial"/>
          <w:color w:val="000000"/>
          <w:szCs w:val="24"/>
          <w:lang w:eastAsia="es-CL"/>
        </w:rPr>
        <w:t>Por lo tanto, aparece la necesidad de efectuar un ajuste normativo que no está contemplado en el proyecto de ley: se hace necesario generar un ajuste en la Ley N° 21.033, a fin de explicar en esta que dicho tribunal cuenta con dos jueces.</w:t>
      </w:r>
    </w:p>
    <w:p w:rsidR="00FF63AC" w:rsidRPr="00FF63AC" w:rsidRDefault="00FF63AC" w:rsidP="00FF63AC">
      <w:pPr>
        <w:ind w:firstLine="2835"/>
        <w:jc w:val="both"/>
        <w:rPr>
          <w:rFonts w:eastAsia="Calibri" w:cs="Arial"/>
          <w:color w:val="000000"/>
          <w:szCs w:val="24"/>
          <w:lang w:eastAsia="es-CL"/>
        </w:rPr>
      </w:pPr>
    </w:p>
    <w:p w:rsidR="00FF63AC" w:rsidRPr="00FF63AC" w:rsidRDefault="00FF63AC" w:rsidP="00FF63AC">
      <w:pPr>
        <w:ind w:firstLine="2835"/>
        <w:jc w:val="both"/>
        <w:rPr>
          <w:rFonts w:eastAsia="Calibri" w:cs="Arial"/>
          <w:color w:val="000000"/>
          <w:szCs w:val="24"/>
          <w:lang w:eastAsia="es-CL"/>
        </w:rPr>
      </w:pPr>
      <w:r w:rsidRPr="00FF63AC">
        <w:rPr>
          <w:rFonts w:eastAsia="Calibri" w:cs="Arial"/>
          <w:color w:val="000000"/>
          <w:szCs w:val="24"/>
          <w:lang w:eastAsia="es-CL"/>
        </w:rPr>
        <w:t>II. Efecto de la indicación sobre el Presupuesto Fiscal</w:t>
      </w:r>
    </w:p>
    <w:p w:rsidR="00FF63AC" w:rsidRPr="00FF63AC" w:rsidRDefault="00FF63AC" w:rsidP="00FF63AC">
      <w:pPr>
        <w:ind w:firstLine="2835"/>
        <w:jc w:val="both"/>
        <w:rPr>
          <w:rFonts w:eastAsia="Calibri" w:cs="Arial"/>
          <w:color w:val="000000"/>
          <w:szCs w:val="24"/>
          <w:lang w:eastAsia="es-CL"/>
        </w:rPr>
      </w:pPr>
    </w:p>
    <w:p w:rsidR="00FF63AC" w:rsidRPr="00FF63AC" w:rsidRDefault="00FF63AC" w:rsidP="00FF63AC">
      <w:pPr>
        <w:ind w:firstLine="2835"/>
        <w:jc w:val="both"/>
        <w:rPr>
          <w:rFonts w:eastAsia="Calibri" w:cs="Arial"/>
          <w:color w:val="000000"/>
          <w:szCs w:val="24"/>
          <w:lang w:eastAsia="es-CL"/>
        </w:rPr>
      </w:pPr>
      <w:r w:rsidRPr="00FF63AC">
        <w:rPr>
          <w:rFonts w:eastAsia="Calibri" w:cs="Arial"/>
          <w:color w:val="000000"/>
          <w:szCs w:val="24"/>
          <w:lang w:eastAsia="es-CL"/>
        </w:rPr>
        <w:t>Esta indicación no aumenta el gasto fiscal, ya que corrige inconsistencias entre las normativas anteriormente mencionadas. Para la Ley N° 20.876, los gastos fiscales asociados ya contemplan al territorio correspondientes a la nueva región del Ñuble y sus jurisdicciones.</w:t>
      </w:r>
    </w:p>
    <w:p w:rsidR="00FF63AC" w:rsidRPr="00FF63AC" w:rsidRDefault="00FF63AC" w:rsidP="00FF63AC">
      <w:pPr>
        <w:ind w:firstLine="2835"/>
        <w:jc w:val="both"/>
        <w:rPr>
          <w:rFonts w:eastAsia="Calibri" w:cs="Arial"/>
          <w:color w:val="000000"/>
          <w:szCs w:val="24"/>
          <w:lang w:eastAsia="es-CL"/>
        </w:rPr>
      </w:pPr>
    </w:p>
    <w:p w:rsidR="00CB0803" w:rsidRDefault="00FF63AC" w:rsidP="00946DEE">
      <w:pPr>
        <w:ind w:firstLine="2835"/>
        <w:jc w:val="both"/>
        <w:rPr>
          <w:rFonts w:eastAsia="Times New Roman" w:cs="Arial"/>
          <w:szCs w:val="20"/>
          <w:lang w:val="es-ES_tradnl" w:eastAsia="es-ES"/>
        </w:rPr>
      </w:pPr>
      <w:r w:rsidRPr="00FF63AC">
        <w:rPr>
          <w:rFonts w:eastAsia="Calibri" w:cs="Arial"/>
          <w:color w:val="000000"/>
          <w:szCs w:val="24"/>
          <w:lang w:eastAsia="es-CL"/>
        </w:rPr>
        <w:lastRenderedPageBreak/>
        <w:t>De acuerdo a lo anterior, la presente indicación no irroga un mayor gasto fiscal.</w:t>
      </w:r>
      <w:r w:rsidR="00CB0803">
        <w:rPr>
          <w:rFonts w:eastAsia="Times New Roman" w:cs="Arial"/>
          <w:szCs w:val="20"/>
          <w:lang w:val="es-ES_tradnl" w:eastAsia="es-ES"/>
        </w:rPr>
        <w:t>”.</w:t>
      </w:r>
    </w:p>
    <w:p w:rsidR="00946DEE" w:rsidRPr="00946DEE" w:rsidRDefault="00946DEE" w:rsidP="00946DEE">
      <w:pPr>
        <w:widowControl w:val="0"/>
        <w:ind w:firstLine="2835"/>
        <w:jc w:val="both"/>
        <w:rPr>
          <w:rFonts w:eastAsia="Times New Roman" w:cs="Arial"/>
          <w:szCs w:val="20"/>
          <w:lang w:val="es-ES_tradnl" w:eastAsia="es-ES"/>
        </w:rPr>
      </w:pPr>
    </w:p>
    <w:p w:rsidR="00946DEE" w:rsidRDefault="00946DEE" w:rsidP="00946DEE">
      <w:pPr>
        <w:ind w:firstLine="2880"/>
        <w:jc w:val="both"/>
        <w:rPr>
          <w:rFonts w:eastAsia="Times New Roman" w:cs="Arial"/>
          <w:szCs w:val="20"/>
          <w:lang w:val="es-ES_tradnl" w:eastAsia="es-ES"/>
        </w:rPr>
      </w:pPr>
      <w:r w:rsidRPr="00946DEE">
        <w:rPr>
          <w:rFonts w:eastAsia="Times New Roman" w:cs="Arial"/>
          <w:szCs w:val="20"/>
          <w:lang w:val="es-ES_tradnl" w:eastAsia="es-ES"/>
        </w:rPr>
        <w:t>Se deja constancia de</w:t>
      </w:r>
      <w:r w:rsidR="00CB0803">
        <w:rPr>
          <w:rFonts w:eastAsia="Times New Roman" w:cs="Arial"/>
          <w:szCs w:val="20"/>
          <w:lang w:val="es-ES_tradnl" w:eastAsia="es-ES"/>
        </w:rPr>
        <w:t xml:space="preserve"> </w:t>
      </w:r>
      <w:r w:rsidRPr="00946DEE">
        <w:rPr>
          <w:rFonts w:eastAsia="Times New Roman" w:cs="Arial"/>
          <w:szCs w:val="20"/>
          <w:lang w:val="es-ES_tradnl" w:eastAsia="es-ES"/>
        </w:rPr>
        <w:t>l</w:t>
      </w:r>
      <w:r w:rsidR="00CB0803">
        <w:rPr>
          <w:rFonts w:eastAsia="Times New Roman" w:cs="Arial"/>
          <w:szCs w:val="20"/>
          <w:lang w:val="es-ES_tradnl" w:eastAsia="es-ES"/>
        </w:rPr>
        <w:t>os</w:t>
      </w:r>
      <w:r w:rsidRPr="00946DEE">
        <w:rPr>
          <w:rFonts w:eastAsia="Times New Roman" w:cs="Arial"/>
          <w:szCs w:val="20"/>
          <w:lang w:val="es-ES_tradnl" w:eastAsia="es-ES"/>
        </w:rPr>
        <w:t xml:space="preserve"> precedente</w:t>
      </w:r>
      <w:r w:rsidR="00CB0803">
        <w:rPr>
          <w:rFonts w:eastAsia="Times New Roman" w:cs="Arial"/>
          <w:szCs w:val="20"/>
          <w:lang w:val="es-ES_tradnl" w:eastAsia="es-ES"/>
        </w:rPr>
        <w:t>s</w:t>
      </w:r>
      <w:r w:rsidRPr="00946DEE">
        <w:rPr>
          <w:rFonts w:eastAsia="Times New Roman" w:cs="Arial"/>
          <w:szCs w:val="20"/>
          <w:lang w:val="es-ES_tradnl" w:eastAsia="es-ES"/>
        </w:rPr>
        <w:t xml:space="preserve"> informe</w:t>
      </w:r>
      <w:r w:rsidR="00CB0803">
        <w:rPr>
          <w:rFonts w:eastAsia="Times New Roman" w:cs="Arial"/>
          <w:szCs w:val="20"/>
          <w:lang w:val="es-ES_tradnl" w:eastAsia="es-ES"/>
        </w:rPr>
        <w:t>s</w:t>
      </w:r>
      <w:r w:rsidRPr="00946DEE">
        <w:rPr>
          <w:rFonts w:eastAsia="Times New Roman" w:cs="Arial"/>
          <w:szCs w:val="20"/>
          <w:lang w:val="es-ES_tradnl" w:eastAsia="es-ES"/>
        </w:rPr>
        <w:t xml:space="preserve"> financiero</w:t>
      </w:r>
      <w:r w:rsidR="00CB0803">
        <w:rPr>
          <w:rFonts w:eastAsia="Times New Roman" w:cs="Arial"/>
          <w:szCs w:val="20"/>
          <w:lang w:val="es-ES_tradnl" w:eastAsia="es-ES"/>
        </w:rPr>
        <w:t>s</w:t>
      </w:r>
      <w:r w:rsidRPr="00946DEE">
        <w:rPr>
          <w:rFonts w:eastAsia="Times New Roman" w:cs="Arial"/>
          <w:szCs w:val="20"/>
          <w:lang w:val="es-ES_tradnl" w:eastAsia="es-ES"/>
        </w:rPr>
        <w:t xml:space="preserve"> en cumplimiento de lo dispuesto en el artículo 17, inciso segundo, de la Ley Orgánica Constitucional del Congreso Nacional.</w:t>
      </w:r>
    </w:p>
    <w:p w:rsidR="00946DEE" w:rsidRDefault="00946DEE" w:rsidP="00946DEE">
      <w:pPr>
        <w:ind w:firstLine="2835"/>
        <w:jc w:val="both"/>
        <w:rPr>
          <w:rFonts w:eastAsia="Times New Roman" w:cs="Arial"/>
          <w:szCs w:val="20"/>
          <w:lang w:val="es-ES_tradnl" w:eastAsia="es-ES"/>
        </w:rPr>
      </w:pPr>
    </w:p>
    <w:p w:rsidR="0086659B" w:rsidRDefault="008B3B0F" w:rsidP="008B3B0F">
      <w:pPr>
        <w:jc w:val="center"/>
        <w:rPr>
          <w:rFonts w:eastAsia="Times New Roman" w:cs="Arial"/>
          <w:szCs w:val="20"/>
          <w:lang w:val="es-ES_tradnl" w:eastAsia="es-ES"/>
        </w:rPr>
      </w:pPr>
      <w:r w:rsidRPr="008B3B0F">
        <w:rPr>
          <w:rFonts w:eastAsia="Times New Roman" w:cs="Arial"/>
          <w:szCs w:val="24"/>
          <w:lang w:val="es-ES" w:eastAsia="es-ES"/>
        </w:rPr>
        <w:t>- - -</w:t>
      </w:r>
    </w:p>
    <w:p w:rsidR="0086659B" w:rsidRDefault="0086659B" w:rsidP="00946DEE">
      <w:pPr>
        <w:ind w:firstLine="2835"/>
        <w:jc w:val="both"/>
        <w:rPr>
          <w:rFonts w:eastAsia="Times New Roman" w:cs="Arial"/>
          <w:szCs w:val="20"/>
          <w:lang w:val="es-ES_tradnl" w:eastAsia="es-ES"/>
        </w:rPr>
      </w:pPr>
    </w:p>
    <w:p w:rsidR="008B3B0F" w:rsidRPr="008B3B0F" w:rsidRDefault="008B3B0F" w:rsidP="008B3B0F">
      <w:pPr>
        <w:widowControl w:val="0"/>
        <w:tabs>
          <w:tab w:val="left" w:pos="2835"/>
        </w:tabs>
        <w:jc w:val="center"/>
        <w:rPr>
          <w:rFonts w:eastAsia="Times New Roman" w:cs="Times New Roman"/>
          <w:b/>
          <w:szCs w:val="24"/>
          <w:highlight w:val="green"/>
          <w:lang w:val="es-ES_tradnl" w:eastAsia="es-ES"/>
        </w:rPr>
      </w:pPr>
      <w:r w:rsidRPr="008B3B0F">
        <w:rPr>
          <w:rFonts w:eastAsia="Times New Roman" w:cs="Times New Roman"/>
          <w:b/>
          <w:szCs w:val="24"/>
          <w:lang w:val="es-ES_tradnl" w:eastAsia="es-ES"/>
        </w:rPr>
        <w:t>MODIFICACIONES</w:t>
      </w:r>
    </w:p>
    <w:p w:rsidR="008B3B0F" w:rsidRPr="008B3B0F" w:rsidRDefault="008B3B0F" w:rsidP="008B3B0F">
      <w:pPr>
        <w:widowControl w:val="0"/>
        <w:tabs>
          <w:tab w:val="left" w:pos="2835"/>
        </w:tabs>
        <w:rPr>
          <w:rFonts w:eastAsia="Times New Roman" w:cs="Times New Roman"/>
          <w:szCs w:val="24"/>
          <w:highlight w:val="green"/>
          <w:lang w:val="es-ES_tradnl" w:eastAsia="es-ES"/>
        </w:rPr>
      </w:pPr>
    </w:p>
    <w:p w:rsidR="008B3B0F" w:rsidRPr="008B3B0F" w:rsidRDefault="00FF63AC" w:rsidP="008B3B0F">
      <w:pPr>
        <w:ind w:firstLine="2835"/>
        <w:jc w:val="both"/>
        <w:rPr>
          <w:rFonts w:eastAsia="Times New Roman" w:cs="Times New Roman"/>
          <w:szCs w:val="24"/>
          <w:highlight w:val="green"/>
          <w:lang w:val="es-ES_tradnl" w:eastAsia="es-ES"/>
        </w:rPr>
      </w:pPr>
      <w:r w:rsidRPr="00FF63AC">
        <w:rPr>
          <w:rFonts w:eastAsia="Times New Roman" w:cs="Times New Roman"/>
          <w:szCs w:val="24"/>
          <w:lang w:val="es-ES" w:eastAsia="es-ES"/>
        </w:rPr>
        <w:t xml:space="preserve">En conformidad con los acuerdos </w:t>
      </w:r>
      <w:r w:rsidRPr="00FF63AC">
        <w:rPr>
          <w:rFonts w:eastAsia="Times New Roman" w:cs="Times New Roman"/>
          <w:szCs w:val="24"/>
          <w:lang w:eastAsia="es-ES"/>
        </w:rPr>
        <w:t>precedentemente consignados, la Comisión tiene el honor de proponer la siguiente</w:t>
      </w:r>
      <w:r w:rsidR="00761CFC">
        <w:rPr>
          <w:rFonts w:eastAsia="Times New Roman" w:cs="Times New Roman"/>
          <w:szCs w:val="24"/>
          <w:lang w:eastAsia="es-ES"/>
        </w:rPr>
        <w:t xml:space="preserve"> </w:t>
      </w:r>
      <w:r w:rsidRPr="00FF63AC">
        <w:rPr>
          <w:rFonts w:eastAsia="Times New Roman" w:cs="Times New Roman"/>
          <w:szCs w:val="24"/>
          <w:lang w:eastAsia="es-ES"/>
        </w:rPr>
        <w:t xml:space="preserve">enmienda al proyecto de ley aprobado </w:t>
      </w:r>
      <w:r w:rsidRPr="005B2EEB">
        <w:rPr>
          <w:rFonts w:eastAsia="Times New Roman" w:cs="Times New Roman"/>
          <w:szCs w:val="24"/>
          <w:lang w:eastAsia="es-ES"/>
        </w:rPr>
        <w:t>en general</w:t>
      </w:r>
      <w:r>
        <w:rPr>
          <w:rFonts w:eastAsia="Times New Roman" w:cs="Times New Roman"/>
          <w:szCs w:val="24"/>
          <w:lang w:eastAsia="es-ES"/>
        </w:rPr>
        <w:t xml:space="preserve"> </w:t>
      </w:r>
      <w:r w:rsidRPr="00FF63AC">
        <w:rPr>
          <w:rFonts w:eastAsia="Times New Roman" w:cs="Times New Roman"/>
          <w:szCs w:val="24"/>
          <w:lang w:eastAsia="es-ES"/>
        </w:rPr>
        <w:t xml:space="preserve">por la Comisión </w:t>
      </w:r>
      <w:r w:rsidR="008B3B0F">
        <w:rPr>
          <w:rFonts w:eastAsia="Times New Roman" w:cs="Times New Roman"/>
          <w:szCs w:val="24"/>
          <w:lang w:val="es-ES_tradnl" w:eastAsia="es-ES"/>
        </w:rPr>
        <w:t>de Constitución, Legislación, Justicia y Reglamento</w:t>
      </w:r>
      <w:r w:rsidR="008B3B0F" w:rsidRPr="008B3B0F">
        <w:rPr>
          <w:rFonts w:eastAsia="Times New Roman" w:cs="Times New Roman"/>
          <w:szCs w:val="24"/>
          <w:lang w:val="es-ES_tradnl" w:eastAsia="es-ES"/>
        </w:rPr>
        <w:t>:</w:t>
      </w:r>
    </w:p>
    <w:p w:rsidR="008B3B0F" w:rsidRPr="008B3B0F" w:rsidRDefault="008B3B0F" w:rsidP="008B3B0F">
      <w:pPr>
        <w:jc w:val="both"/>
        <w:rPr>
          <w:rFonts w:eastAsia="Times New Roman" w:cs="Times New Roman"/>
          <w:szCs w:val="24"/>
          <w:highlight w:val="green"/>
          <w:lang w:val="es-ES_tradnl" w:eastAsia="es-ES"/>
        </w:rPr>
      </w:pPr>
    </w:p>
    <w:p w:rsidR="008B3B0F" w:rsidRPr="008B3B0F" w:rsidRDefault="008B3B0F" w:rsidP="008B3B0F">
      <w:pPr>
        <w:jc w:val="center"/>
        <w:rPr>
          <w:rFonts w:eastAsia="Times New Roman" w:cs="Times New Roman"/>
          <w:b/>
          <w:szCs w:val="24"/>
          <w:lang w:val="es-ES_tradnl" w:eastAsia="es-ES"/>
        </w:rPr>
      </w:pPr>
      <w:r w:rsidRPr="008B3B0F">
        <w:rPr>
          <w:rFonts w:eastAsia="Times New Roman" w:cs="Times New Roman"/>
          <w:b/>
          <w:szCs w:val="24"/>
          <w:lang w:val="es-ES_tradnl" w:eastAsia="es-ES"/>
        </w:rPr>
        <w:t>Artículo 1</w:t>
      </w:r>
      <w:r w:rsidR="00761CFC">
        <w:rPr>
          <w:rFonts w:eastAsia="Times New Roman" w:cs="Times New Roman"/>
          <w:b/>
          <w:szCs w:val="24"/>
          <w:lang w:val="es-ES_tradnl" w:eastAsia="es-ES"/>
        </w:rPr>
        <w:t>°</w:t>
      </w:r>
    </w:p>
    <w:p w:rsidR="008B3B0F" w:rsidRPr="008B3B0F" w:rsidRDefault="008B3B0F" w:rsidP="008B3B0F">
      <w:pPr>
        <w:jc w:val="center"/>
        <w:rPr>
          <w:rFonts w:eastAsia="Times New Roman" w:cs="Times New Roman"/>
          <w:szCs w:val="24"/>
          <w:lang w:val="es-ES_tradnl" w:eastAsia="es-ES"/>
        </w:rPr>
      </w:pPr>
    </w:p>
    <w:p w:rsidR="008B3B0F" w:rsidRPr="008B3B0F" w:rsidRDefault="00AD4DA2" w:rsidP="008B3B0F">
      <w:pPr>
        <w:jc w:val="center"/>
        <w:rPr>
          <w:rFonts w:eastAsia="Times New Roman" w:cs="Times New Roman"/>
          <w:b/>
          <w:szCs w:val="24"/>
          <w:lang w:val="es-ES_tradnl" w:eastAsia="es-ES"/>
        </w:rPr>
      </w:pPr>
      <w:r>
        <w:rPr>
          <w:rFonts w:eastAsia="Times New Roman" w:cs="Times New Roman"/>
          <w:b/>
          <w:szCs w:val="24"/>
          <w:lang w:val="es-ES_tradnl" w:eastAsia="es-ES"/>
        </w:rPr>
        <w:t>Número 3</w:t>
      </w:r>
    </w:p>
    <w:p w:rsidR="008B3B0F" w:rsidRPr="008B3B0F" w:rsidRDefault="008B3B0F" w:rsidP="008B3B0F">
      <w:pPr>
        <w:ind w:firstLine="2835"/>
        <w:jc w:val="both"/>
        <w:rPr>
          <w:rFonts w:eastAsia="Times New Roman" w:cs="Arial"/>
          <w:bCs/>
          <w:szCs w:val="24"/>
          <w:lang w:val="es-ES" w:eastAsia="es-ES"/>
        </w:rPr>
      </w:pPr>
    </w:p>
    <w:p w:rsidR="0086659B" w:rsidRDefault="00AD4DA2" w:rsidP="00946DEE">
      <w:pPr>
        <w:ind w:firstLine="2835"/>
        <w:jc w:val="both"/>
      </w:pPr>
      <w:r>
        <w:t>Interc</w:t>
      </w:r>
      <w:r w:rsidR="00761CFC">
        <w:t>alar</w:t>
      </w:r>
      <w:r>
        <w:t xml:space="preserve">, </w:t>
      </w:r>
      <w:r w:rsidR="00761CFC">
        <w:t xml:space="preserve">a continuación </w:t>
      </w:r>
      <w:r>
        <w:t xml:space="preserve">de la expresión </w:t>
      </w:r>
      <w:r w:rsidR="00761CFC">
        <w:t>“</w:t>
      </w:r>
      <w:r>
        <w:t>comuna de Bulnes</w:t>
      </w:r>
      <w:r>
        <w:t>,</w:t>
      </w:r>
      <w:r w:rsidR="00761CFC">
        <w:t>”</w:t>
      </w:r>
      <w:r>
        <w:t xml:space="preserve">, la </w:t>
      </w:r>
      <w:r w:rsidR="00761CFC">
        <w:t>frase “</w:t>
      </w:r>
      <w:r>
        <w:t>con dos jueces</w:t>
      </w:r>
      <w:r w:rsidR="00761CFC">
        <w:t>,”</w:t>
      </w:r>
      <w:r>
        <w:t>.</w:t>
      </w:r>
    </w:p>
    <w:p w:rsidR="00761CFC" w:rsidRDefault="00761CFC" w:rsidP="00946DEE">
      <w:pPr>
        <w:ind w:firstLine="2835"/>
        <w:jc w:val="both"/>
      </w:pPr>
    </w:p>
    <w:p w:rsidR="00761CFC" w:rsidRPr="00761CFC" w:rsidRDefault="00761CFC" w:rsidP="00946DEE">
      <w:pPr>
        <w:ind w:firstLine="2835"/>
        <w:jc w:val="both"/>
        <w:rPr>
          <w:b/>
        </w:rPr>
      </w:pPr>
      <w:r>
        <w:rPr>
          <w:b/>
        </w:rPr>
        <w:t>(</w:t>
      </w:r>
      <w:r w:rsidR="005B2EEB">
        <w:rPr>
          <w:b/>
        </w:rPr>
        <w:t>Indicación. Unanimidad 3x0</w:t>
      </w:r>
      <w:r>
        <w:rPr>
          <w:b/>
        </w:rPr>
        <w:t>)</w:t>
      </w:r>
    </w:p>
    <w:p w:rsidR="00AD4DA2" w:rsidRPr="00946DEE" w:rsidRDefault="00AD4DA2" w:rsidP="00946DEE">
      <w:pPr>
        <w:ind w:firstLine="2835"/>
        <w:jc w:val="both"/>
        <w:rPr>
          <w:rFonts w:eastAsia="Times New Roman" w:cs="Arial"/>
          <w:szCs w:val="20"/>
          <w:lang w:eastAsia="es-ES"/>
        </w:rPr>
      </w:pPr>
    </w:p>
    <w:p w:rsidR="00946DEE" w:rsidRPr="00946DEE" w:rsidRDefault="00946DEE" w:rsidP="00946DEE">
      <w:pPr>
        <w:tabs>
          <w:tab w:val="left" w:pos="2835"/>
        </w:tabs>
        <w:jc w:val="center"/>
        <w:rPr>
          <w:rFonts w:eastAsia="Times New Roman" w:cs="Times New Roman"/>
          <w:szCs w:val="20"/>
          <w:lang w:eastAsia="es-ES"/>
        </w:rPr>
      </w:pPr>
      <w:r w:rsidRPr="00946DEE">
        <w:rPr>
          <w:rFonts w:eastAsia="Times New Roman" w:cs="Times New Roman"/>
          <w:szCs w:val="20"/>
          <w:lang w:eastAsia="es-ES"/>
        </w:rPr>
        <w:t>- - -</w:t>
      </w:r>
    </w:p>
    <w:p w:rsidR="00946DEE" w:rsidRPr="00946DEE" w:rsidRDefault="00946DEE" w:rsidP="00946DEE">
      <w:pPr>
        <w:jc w:val="center"/>
        <w:rPr>
          <w:rFonts w:eastAsia="Times New Roman" w:cs="Arial"/>
          <w:b/>
          <w:szCs w:val="24"/>
          <w:lang w:val="es-ES" w:eastAsia="es-ES"/>
        </w:rPr>
      </w:pPr>
    </w:p>
    <w:p w:rsidR="00946DEE" w:rsidRPr="00946DEE" w:rsidRDefault="00946DEE" w:rsidP="00946DEE">
      <w:pPr>
        <w:tabs>
          <w:tab w:val="left" w:pos="2835"/>
        </w:tabs>
        <w:jc w:val="center"/>
        <w:rPr>
          <w:rFonts w:eastAsia="Times New Roman" w:cs="Times New Roman"/>
          <w:b/>
          <w:szCs w:val="20"/>
          <w:lang w:val="es-ES" w:eastAsia="es-ES"/>
        </w:rPr>
      </w:pPr>
      <w:r w:rsidRPr="00946DEE">
        <w:rPr>
          <w:rFonts w:eastAsia="Times New Roman" w:cs="Times New Roman"/>
          <w:b/>
          <w:szCs w:val="20"/>
          <w:lang w:val="es-ES" w:eastAsia="es-ES"/>
        </w:rPr>
        <w:t>TEXTO DEL PROYECTO</w:t>
      </w:r>
    </w:p>
    <w:p w:rsidR="00946DEE" w:rsidRPr="00946DEE" w:rsidRDefault="00946DEE" w:rsidP="00946DEE">
      <w:pPr>
        <w:tabs>
          <w:tab w:val="left" w:pos="2835"/>
        </w:tabs>
        <w:jc w:val="center"/>
        <w:rPr>
          <w:rFonts w:eastAsia="Times New Roman" w:cs="Times New Roman"/>
          <w:b/>
          <w:szCs w:val="20"/>
          <w:lang w:val="es-ES" w:eastAsia="es-ES"/>
        </w:rPr>
      </w:pPr>
    </w:p>
    <w:p w:rsidR="00946DEE" w:rsidRPr="00946DEE" w:rsidRDefault="00FF63AC" w:rsidP="00FF63AC">
      <w:pPr>
        <w:tabs>
          <w:tab w:val="left" w:pos="2835"/>
        </w:tabs>
        <w:ind w:firstLine="2835"/>
        <w:jc w:val="both"/>
        <w:rPr>
          <w:rFonts w:eastAsia="Times New Roman" w:cs="Arial"/>
          <w:szCs w:val="20"/>
          <w:lang w:val="es-ES_tradnl" w:eastAsia="es-ES"/>
        </w:rPr>
      </w:pPr>
      <w:r w:rsidRPr="00761CFC">
        <w:rPr>
          <w:rFonts w:eastAsia="Times New Roman" w:cs="Times New Roman"/>
          <w:szCs w:val="20"/>
          <w:lang w:val="es-ES" w:eastAsia="es-ES"/>
        </w:rPr>
        <w:t>En virtud de la modificaci</w:t>
      </w:r>
      <w:r w:rsidR="00761CFC">
        <w:rPr>
          <w:rFonts w:eastAsia="Times New Roman" w:cs="Times New Roman"/>
          <w:szCs w:val="20"/>
          <w:lang w:val="es-ES" w:eastAsia="es-ES"/>
        </w:rPr>
        <w:t>ón</w:t>
      </w:r>
      <w:r w:rsidRPr="00761CFC">
        <w:rPr>
          <w:rFonts w:eastAsia="Times New Roman" w:cs="Times New Roman"/>
          <w:szCs w:val="20"/>
          <w:lang w:val="es-ES" w:eastAsia="es-ES"/>
        </w:rPr>
        <w:t xml:space="preserve"> anterior, el proyecto de ley queda como sigue</w:t>
      </w:r>
      <w:r w:rsidRPr="00761CFC">
        <w:rPr>
          <w:rFonts w:eastAsia="Times New Roman" w:cs="Times New Roman"/>
          <w:szCs w:val="20"/>
          <w:lang w:val="es-ES_tradnl" w:eastAsia="es-ES"/>
        </w:rPr>
        <w:t>:</w:t>
      </w:r>
    </w:p>
    <w:p w:rsidR="00946DEE" w:rsidRPr="00946DEE" w:rsidRDefault="00946DEE" w:rsidP="00946DEE">
      <w:pPr>
        <w:tabs>
          <w:tab w:val="left" w:pos="2835"/>
        </w:tabs>
        <w:rPr>
          <w:rFonts w:eastAsia="Times New Roman" w:cs="Arial"/>
          <w:szCs w:val="20"/>
          <w:lang w:val="es-ES_tradnl" w:eastAsia="es-ES"/>
        </w:rPr>
      </w:pPr>
    </w:p>
    <w:p w:rsidR="00946DEE" w:rsidRPr="00946DEE" w:rsidRDefault="00946DEE" w:rsidP="00946DEE">
      <w:pPr>
        <w:tabs>
          <w:tab w:val="left" w:pos="2835"/>
        </w:tabs>
        <w:ind w:firstLine="2835"/>
        <w:jc w:val="both"/>
        <w:rPr>
          <w:rFonts w:eastAsia="Times New Roman" w:cs="Arial"/>
          <w:szCs w:val="20"/>
          <w:lang w:val="es-ES_tradnl" w:eastAsia="es-ES"/>
        </w:rPr>
      </w:pPr>
      <w:r w:rsidRPr="00946DEE">
        <w:rPr>
          <w:rFonts w:eastAsia="Times New Roman" w:cs="Arial"/>
          <w:bCs/>
          <w:szCs w:val="24"/>
          <w:lang w:val="es-ES_tradnl" w:eastAsia="es-ES"/>
        </w:rPr>
        <w:t>PROYECTO DE LEY</w:t>
      </w:r>
    </w:p>
    <w:p w:rsidR="00946DEE" w:rsidRPr="00946DEE" w:rsidRDefault="00946DEE" w:rsidP="00946DEE">
      <w:pPr>
        <w:tabs>
          <w:tab w:val="left" w:pos="2268"/>
        </w:tabs>
        <w:jc w:val="both"/>
        <w:rPr>
          <w:rFonts w:eastAsia="Times New Roman" w:cs="Arial"/>
          <w:szCs w:val="20"/>
          <w:lang w:val="es-ES_tradnl"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“Artículo 1°. </w:t>
      </w:r>
      <w:proofErr w:type="spellStart"/>
      <w:r w:rsidRPr="00FF63AC">
        <w:rPr>
          <w:rFonts w:eastAsia="Times New Roman" w:cs="Arial"/>
          <w:szCs w:val="24"/>
          <w:lang w:val="es-MX" w:eastAsia="es-ES"/>
        </w:rPr>
        <w:t>Introdúcense</w:t>
      </w:r>
      <w:proofErr w:type="spellEnd"/>
      <w:r w:rsidRPr="00FF63AC">
        <w:rPr>
          <w:rFonts w:eastAsia="Times New Roman" w:cs="Arial"/>
          <w:szCs w:val="24"/>
          <w:lang w:val="es-MX" w:eastAsia="es-ES"/>
        </w:rPr>
        <w:t xml:space="preserve"> las siguientes modificaciones en el artículo 6° de la ley N° 21.033, que crea la XVI Región de Ñuble y las provincias de Diguillín, Punilla e Itata:</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1. </w:t>
      </w:r>
      <w:proofErr w:type="spellStart"/>
      <w:r w:rsidRPr="00FF63AC">
        <w:rPr>
          <w:rFonts w:eastAsia="Times New Roman" w:cs="Arial"/>
          <w:szCs w:val="24"/>
          <w:lang w:val="es-MX" w:eastAsia="es-ES"/>
        </w:rPr>
        <w:t>Reemplázase</w:t>
      </w:r>
      <w:proofErr w:type="spellEnd"/>
      <w:r w:rsidRPr="00FF63AC">
        <w:rPr>
          <w:rFonts w:eastAsia="Times New Roman" w:cs="Arial"/>
          <w:szCs w:val="24"/>
          <w:lang w:val="es-MX" w:eastAsia="es-ES"/>
        </w:rPr>
        <w:t xml:space="preserve"> el literal b del numeral 1 por el siguiente:</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“b) </w:t>
      </w:r>
      <w:proofErr w:type="spellStart"/>
      <w:r w:rsidRPr="00FF63AC">
        <w:rPr>
          <w:rFonts w:eastAsia="Times New Roman" w:cs="Arial"/>
          <w:szCs w:val="24"/>
          <w:lang w:val="es-MX" w:eastAsia="es-ES"/>
        </w:rPr>
        <w:t>Agrégase</w:t>
      </w:r>
      <w:proofErr w:type="spellEnd"/>
      <w:r w:rsidRPr="00FF63AC">
        <w:rPr>
          <w:rFonts w:eastAsia="Times New Roman" w:cs="Arial"/>
          <w:szCs w:val="24"/>
          <w:lang w:val="es-MX" w:eastAsia="es-ES"/>
        </w:rPr>
        <w:t>, a continuación del acápite correspondiente a la “Región Metropolitana de Santiago”, lo siguiente:</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“Región de Ñuble:</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lastRenderedPageBreak/>
        <w:t>San Carlos, con dos jueces, con competencia sobre las comunas de San Carlos, Ñiquén y San Fabián.</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Chillán, con cuatro jueces, con competencia sobre las comunas de San Nicolás, Chillán, Coihueco, Pinto y Chillán Viejo.</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Yungay, con un juez, con competencia sobre las comunas de El Carmen, Pemuco, Yungay y Tucapel.”.”.</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2. </w:t>
      </w:r>
      <w:proofErr w:type="spellStart"/>
      <w:r w:rsidRPr="00FF63AC">
        <w:rPr>
          <w:rFonts w:eastAsia="Times New Roman" w:cs="Arial"/>
          <w:szCs w:val="24"/>
          <w:lang w:val="es-MX" w:eastAsia="es-ES"/>
        </w:rPr>
        <w:t>Reemplázase</w:t>
      </w:r>
      <w:proofErr w:type="spellEnd"/>
      <w:r w:rsidRPr="00FF63AC">
        <w:rPr>
          <w:rFonts w:eastAsia="Times New Roman" w:cs="Arial"/>
          <w:szCs w:val="24"/>
          <w:lang w:val="es-MX" w:eastAsia="es-ES"/>
        </w:rPr>
        <w:t xml:space="preserve"> el literal b del numeral 2 por el siguiente:</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“b) </w:t>
      </w:r>
      <w:proofErr w:type="spellStart"/>
      <w:r w:rsidRPr="00FF63AC">
        <w:rPr>
          <w:rFonts w:eastAsia="Times New Roman" w:cs="Arial"/>
          <w:szCs w:val="24"/>
          <w:lang w:val="es-MX" w:eastAsia="es-ES"/>
        </w:rPr>
        <w:t>Agrégase</w:t>
      </w:r>
      <w:proofErr w:type="spellEnd"/>
      <w:r w:rsidRPr="00FF63AC">
        <w:rPr>
          <w:rFonts w:eastAsia="Times New Roman" w:cs="Arial"/>
          <w:szCs w:val="24"/>
          <w:lang w:val="es-MX" w:eastAsia="es-ES"/>
        </w:rPr>
        <w:t>, a continuación del acápite correspondiente a la “Región Metropolitana de Santiago”, lo siguiente:</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“Región de Ñuble:</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Chillán, con siete jueces, con competencia sobre las comunas de Cobquecura, Quirihue, </w:t>
      </w:r>
      <w:proofErr w:type="spellStart"/>
      <w:r w:rsidRPr="00FF63AC">
        <w:rPr>
          <w:rFonts w:eastAsia="Times New Roman" w:cs="Arial"/>
          <w:szCs w:val="24"/>
          <w:lang w:val="es-MX" w:eastAsia="es-ES"/>
        </w:rPr>
        <w:t>Ninhue</w:t>
      </w:r>
      <w:proofErr w:type="spellEnd"/>
      <w:r w:rsidRPr="00FF63AC">
        <w:rPr>
          <w:rFonts w:eastAsia="Times New Roman" w:cs="Arial"/>
          <w:szCs w:val="24"/>
          <w:lang w:val="es-MX" w:eastAsia="es-ES"/>
        </w:rPr>
        <w:t xml:space="preserve">, San Carlos, Ñiquén, San Fabián, San Nicolás, </w:t>
      </w:r>
      <w:proofErr w:type="spellStart"/>
      <w:r w:rsidRPr="00FF63AC">
        <w:rPr>
          <w:rFonts w:eastAsia="Times New Roman" w:cs="Arial"/>
          <w:szCs w:val="24"/>
          <w:lang w:val="es-MX" w:eastAsia="es-ES"/>
        </w:rPr>
        <w:t>Treguaco</w:t>
      </w:r>
      <w:proofErr w:type="spellEnd"/>
      <w:r w:rsidRPr="00FF63AC">
        <w:rPr>
          <w:rFonts w:eastAsia="Times New Roman" w:cs="Arial"/>
          <w:szCs w:val="24"/>
          <w:lang w:val="es-MX" w:eastAsia="es-ES"/>
        </w:rPr>
        <w:t xml:space="preserve">, Portezuelo, Chillán, Coihueco, Coelemu, </w:t>
      </w:r>
      <w:proofErr w:type="spellStart"/>
      <w:r w:rsidRPr="00FF63AC">
        <w:rPr>
          <w:rFonts w:eastAsia="Times New Roman" w:cs="Arial"/>
          <w:szCs w:val="24"/>
          <w:lang w:val="es-MX" w:eastAsia="es-ES"/>
        </w:rPr>
        <w:t>Ránquil</w:t>
      </w:r>
      <w:proofErr w:type="spellEnd"/>
      <w:r w:rsidRPr="00FF63AC">
        <w:rPr>
          <w:rFonts w:eastAsia="Times New Roman" w:cs="Arial"/>
          <w:szCs w:val="24"/>
          <w:lang w:val="es-MX" w:eastAsia="es-ES"/>
        </w:rPr>
        <w:t>, Pinto, Quillón, Bulnes, San Ignacio, El Carmen, Pemuco, Yungay, Tucapel y Chillán Viejo.”.”.</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3. </w:t>
      </w:r>
      <w:proofErr w:type="spellStart"/>
      <w:r w:rsidRPr="00FF63AC">
        <w:rPr>
          <w:rFonts w:eastAsia="Times New Roman" w:cs="Arial"/>
          <w:szCs w:val="24"/>
          <w:lang w:val="es-MX" w:eastAsia="es-ES"/>
        </w:rPr>
        <w:t>Reemplázase</w:t>
      </w:r>
      <w:proofErr w:type="spellEnd"/>
      <w:r w:rsidRPr="00FF63AC">
        <w:rPr>
          <w:rFonts w:eastAsia="Times New Roman" w:cs="Arial"/>
          <w:szCs w:val="24"/>
          <w:lang w:val="es-MX" w:eastAsia="es-ES"/>
        </w:rPr>
        <w:t xml:space="preserve"> el numeral 4 por el siguiente: </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“4) </w:t>
      </w:r>
      <w:proofErr w:type="spellStart"/>
      <w:r w:rsidRPr="00FF63AC">
        <w:rPr>
          <w:rFonts w:eastAsia="Times New Roman" w:cs="Arial"/>
          <w:szCs w:val="24"/>
          <w:lang w:val="es-MX" w:eastAsia="es-ES"/>
        </w:rPr>
        <w:t>Agrégase</w:t>
      </w:r>
      <w:proofErr w:type="spellEnd"/>
      <w:r w:rsidRPr="00FF63AC">
        <w:rPr>
          <w:rFonts w:eastAsia="Times New Roman" w:cs="Arial"/>
          <w:szCs w:val="24"/>
          <w:lang w:val="es-MX" w:eastAsia="es-ES"/>
        </w:rPr>
        <w:t xml:space="preserve"> el siguiente artículo 39 </w:t>
      </w:r>
      <w:proofErr w:type="spellStart"/>
      <w:r w:rsidRPr="00FF63AC">
        <w:rPr>
          <w:rFonts w:eastAsia="Times New Roman" w:cs="Arial"/>
          <w:szCs w:val="24"/>
          <w:lang w:val="es-MX" w:eastAsia="es-ES"/>
        </w:rPr>
        <w:t>quáter</w:t>
      </w:r>
      <w:proofErr w:type="spellEnd"/>
      <w:r w:rsidRPr="00FF63AC">
        <w:rPr>
          <w:rFonts w:eastAsia="Times New Roman" w:cs="Arial"/>
          <w:szCs w:val="24"/>
          <w:lang w:val="es-MX" w:eastAsia="es-ES"/>
        </w:rPr>
        <w:t>:</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“Artículo 39 </w:t>
      </w:r>
      <w:proofErr w:type="spellStart"/>
      <w:r w:rsidRPr="00FF63AC">
        <w:rPr>
          <w:rFonts w:eastAsia="Times New Roman" w:cs="Arial"/>
          <w:szCs w:val="24"/>
          <w:lang w:val="es-MX" w:eastAsia="es-ES"/>
        </w:rPr>
        <w:t>quáter</w:t>
      </w:r>
      <w:proofErr w:type="spellEnd"/>
      <w:r w:rsidRPr="00FF63AC">
        <w:rPr>
          <w:rFonts w:eastAsia="Times New Roman" w:cs="Arial"/>
          <w:szCs w:val="24"/>
          <w:lang w:val="es-MX" w:eastAsia="es-ES"/>
        </w:rPr>
        <w:t>. En la Región de Ñuble existirán los siguientes juzgados de letras, que tendrán competencia en los territorios que se indican:</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A.- JUZGADOS CIVILES:</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Dos juzgados de letras en lo civil, con asiento en la comuna de Chillán, con competencia sobre las comunas de Chillán, Pinto, Coihueco y Chillán Viejo.</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B.- JUZGADOS CON COMPETENCIA COMÚN:</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Un juzgado con asiento en la comuna de San Carlos, con dos jueces, con competencia sobre las comunas de San Carlos, Ñiquén, San Fabián y San Nicolás.</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Un juzgado con asiento en la comuna de Yungay, con dos jueces, con competencia sobre las comunas de Yungay, Pemuco, El Carmen y Tucapel.</w:t>
      </w:r>
    </w:p>
    <w:p w:rsid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lastRenderedPageBreak/>
        <w:t>Un juzgado con asiento en la comuna de Bulnes,</w:t>
      </w:r>
      <w:r w:rsidR="00AD4DA2" w:rsidRPr="00AD4DA2">
        <w:t xml:space="preserve"> </w:t>
      </w:r>
      <w:r w:rsidR="00AD4DA2" w:rsidRPr="00AD4DA2">
        <w:rPr>
          <w:b/>
        </w:rPr>
        <w:t>con dos jueces,</w:t>
      </w:r>
      <w:r w:rsidRPr="00FF63AC">
        <w:rPr>
          <w:rFonts w:eastAsia="Times New Roman" w:cs="Arial"/>
          <w:szCs w:val="24"/>
          <w:lang w:val="es-MX" w:eastAsia="es-ES"/>
        </w:rPr>
        <w:t xml:space="preserve"> con competencia sobre las comunas de Bulnes, Quillón y San Ignacio.</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Un juzgado con asiento en la comuna de Coelemu, con competencia sobre las comunas de Coelemu y </w:t>
      </w:r>
      <w:proofErr w:type="spellStart"/>
      <w:r w:rsidRPr="00FF63AC">
        <w:rPr>
          <w:rFonts w:eastAsia="Times New Roman" w:cs="Arial"/>
          <w:szCs w:val="24"/>
          <w:lang w:val="es-MX" w:eastAsia="es-ES"/>
        </w:rPr>
        <w:t>Ránquil</w:t>
      </w:r>
      <w:proofErr w:type="spellEnd"/>
      <w:r w:rsidRPr="00FF63AC">
        <w:rPr>
          <w:rFonts w:eastAsia="Times New Roman" w:cs="Arial"/>
          <w:szCs w:val="24"/>
          <w:lang w:val="es-MX" w:eastAsia="es-ES"/>
        </w:rPr>
        <w:t>.</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Un juzgado con asiento en la comuna de Quirihue, con competencia sobre las comunas de Quirihue, </w:t>
      </w:r>
      <w:proofErr w:type="spellStart"/>
      <w:r w:rsidRPr="00FF63AC">
        <w:rPr>
          <w:rFonts w:eastAsia="Times New Roman" w:cs="Arial"/>
          <w:szCs w:val="24"/>
          <w:lang w:val="es-MX" w:eastAsia="es-ES"/>
        </w:rPr>
        <w:t>Ninhue</w:t>
      </w:r>
      <w:proofErr w:type="spellEnd"/>
      <w:r w:rsidRPr="00FF63AC">
        <w:rPr>
          <w:rFonts w:eastAsia="Times New Roman" w:cs="Arial"/>
          <w:szCs w:val="24"/>
          <w:lang w:val="es-MX" w:eastAsia="es-ES"/>
        </w:rPr>
        <w:t xml:space="preserve">, Portezuelo, </w:t>
      </w:r>
      <w:proofErr w:type="spellStart"/>
      <w:r w:rsidRPr="00FF63AC">
        <w:rPr>
          <w:rFonts w:eastAsia="Times New Roman" w:cs="Arial"/>
          <w:szCs w:val="24"/>
          <w:lang w:val="es-MX" w:eastAsia="es-ES"/>
        </w:rPr>
        <w:t>Treguaco</w:t>
      </w:r>
      <w:proofErr w:type="spellEnd"/>
      <w:r w:rsidRPr="00FF63AC">
        <w:rPr>
          <w:rFonts w:eastAsia="Times New Roman" w:cs="Arial"/>
          <w:szCs w:val="24"/>
          <w:lang w:val="es-MX" w:eastAsia="es-ES"/>
        </w:rPr>
        <w:t xml:space="preserve"> y Cobquecura.”.”.</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Artículo 2°. </w:t>
      </w:r>
      <w:proofErr w:type="spellStart"/>
      <w:r w:rsidRPr="00FF63AC">
        <w:rPr>
          <w:rFonts w:eastAsia="Times New Roman" w:cs="Arial"/>
          <w:szCs w:val="24"/>
          <w:lang w:val="es-MX" w:eastAsia="es-ES"/>
        </w:rPr>
        <w:t>Introdúcense</w:t>
      </w:r>
      <w:proofErr w:type="spellEnd"/>
      <w:r w:rsidRPr="00FF63AC">
        <w:rPr>
          <w:rFonts w:eastAsia="Times New Roman" w:cs="Arial"/>
          <w:szCs w:val="24"/>
          <w:lang w:val="es-MX" w:eastAsia="es-ES"/>
        </w:rPr>
        <w:t xml:space="preserve"> las siguientes modificaciones en el artículo primero transitorio de la ley N° 21.057, que regula entrevistas grabadas en video y, otras medidas de resguardo a menores de edad, víctimas de delitos sexuales:</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1. </w:t>
      </w:r>
      <w:proofErr w:type="spellStart"/>
      <w:r w:rsidRPr="00FF63AC">
        <w:rPr>
          <w:rFonts w:eastAsia="Times New Roman" w:cs="Arial"/>
          <w:szCs w:val="24"/>
          <w:lang w:val="es-MX" w:eastAsia="es-ES"/>
        </w:rPr>
        <w:t>Sustitúyese</w:t>
      </w:r>
      <w:proofErr w:type="spellEnd"/>
      <w:r w:rsidRPr="00FF63AC">
        <w:rPr>
          <w:rFonts w:eastAsia="Times New Roman" w:cs="Arial"/>
          <w:szCs w:val="24"/>
          <w:lang w:val="es-MX" w:eastAsia="es-ES"/>
        </w:rPr>
        <w:t xml:space="preserve"> en el párrafo primero la expresión “XV, I, II, VII, XI Y XII.” por la siguiente: “de Arica y Parinacota, de Tarapacá, de Antofagasta, del Maule, de Aysén del General Carlos Ibáñez del Campo, y de Magallanes y de la Antártica Chilena.”.</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2. </w:t>
      </w:r>
      <w:proofErr w:type="spellStart"/>
      <w:r w:rsidRPr="00FF63AC">
        <w:rPr>
          <w:rFonts w:eastAsia="Times New Roman" w:cs="Arial"/>
          <w:szCs w:val="24"/>
          <w:lang w:val="es-MX" w:eastAsia="es-ES"/>
        </w:rPr>
        <w:t>Sustitúyese</w:t>
      </w:r>
      <w:proofErr w:type="spellEnd"/>
      <w:r w:rsidRPr="00FF63AC">
        <w:rPr>
          <w:rFonts w:eastAsia="Times New Roman" w:cs="Arial"/>
          <w:szCs w:val="24"/>
          <w:lang w:val="es-MX" w:eastAsia="es-ES"/>
        </w:rPr>
        <w:t xml:space="preserve"> en el párrafo segundo la expresión “III, IV, VIII, IX y XIV.” por la siguiente: “de Atacama, de Coquimbo, de Ñuble, del Biobío, de La Araucanía y de Los Ríos.”.</w:t>
      </w:r>
    </w:p>
    <w:p w:rsidR="00FF63AC" w:rsidRPr="00FF63AC" w:rsidRDefault="00FF63AC" w:rsidP="00FF63AC">
      <w:pPr>
        <w:tabs>
          <w:tab w:val="left" w:pos="2835"/>
        </w:tabs>
        <w:ind w:firstLine="2835"/>
        <w:jc w:val="both"/>
        <w:rPr>
          <w:rFonts w:eastAsia="Times New Roman" w:cs="Arial"/>
          <w:szCs w:val="24"/>
          <w:lang w:val="es-MX" w:eastAsia="es-ES"/>
        </w:rPr>
      </w:pPr>
    </w:p>
    <w:p w:rsidR="00FF63AC" w:rsidRPr="00FF63AC" w:rsidRDefault="00FF63AC" w:rsidP="00FF63AC">
      <w:pPr>
        <w:tabs>
          <w:tab w:val="left" w:pos="2835"/>
        </w:tabs>
        <w:ind w:firstLine="2835"/>
        <w:jc w:val="both"/>
        <w:rPr>
          <w:rFonts w:eastAsia="Times New Roman" w:cs="Arial"/>
          <w:szCs w:val="24"/>
          <w:lang w:val="es-MX" w:eastAsia="es-ES"/>
        </w:rPr>
      </w:pPr>
      <w:r w:rsidRPr="00FF63AC">
        <w:rPr>
          <w:rFonts w:eastAsia="Times New Roman" w:cs="Arial"/>
          <w:szCs w:val="24"/>
          <w:lang w:val="es-MX" w:eastAsia="es-ES"/>
        </w:rPr>
        <w:t xml:space="preserve">3. </w:t>
      </w:r>
      <w:proofErr w:type="spellStart"/>
      <w:r w:rsidRPr="00FF63AC">
        <w:rPr>
          <w:rFonts w:eastAsia="Times New Roman" w:cs="Arial"/>
          <w:szCs w:val="24"/>
          <w:lang w:val="es-MX" w:eastAsia="es-ES"/>
        </w:rPr>
        <w:t>Sustitúyese</w:t>
      </w:r>
      <w:proofErr w:type="spellEnd"/>
      <w:r w:rsidRPr="00FF63AC">
        <w:rPr>
          <w:rFonts w:eastAsia="Times New Roman" w:cs="Arial"/>
          <w:szCs w:val="24"/>
          <w:lang w:val="es-MX" w:eastAsia="es-ES"/>
        </w:rPr>
        <w:t xml:space="preserve"> en el párrafo tercero la expresión “V, VI, X y Metropolitana” por la siguiente: “de Valparaíso, Metropolitana de Santiago, del Libertador General Bernardo O’Higgins y de Los Lagos.”.”.</w:t>
      </w:r>
    </w:p>
    <w:p w:rsidR="00946DEE" w:rsidRPr="00946DEE" w:rsidRDefault="00946DEE" w:rsidP="00946DEE">
      <w:pPr>
        <w:ind w:firstLine="2835"/>
        <w:jc w:val="both"/>
        <w:rPr>
          <w:rFonts w:eastAsia="Times New Roman" w:cs="Arial"/>
          <w:szCs w:val="20"/>
          <w:lang w:val="es-ES" w:eastAsia="es-ES"/>
        </w:rPr>
      </w:pPr>
    </w:p>
    <w:p w:rsidR="00946DEE" w:rsidRPr="00946DEE" w:rsidRDefault="00946DEE" w:rsidP="00946DEE">
      <w:pPr>
        <w:jc w:val="center"/>
        <w:rPr>
          <w:rFonts w:eastAsia="Times New Roman" w:cs="Arial"/>
          <w:szCs w:val="20"/>
          <w:lang w:val="es-ES" w:eastAsia="es-ES"/>
        </w:rPr>
      </w:pPr>
      <w:r w:rsidRPr="00946DEE">
        <w:rPr>
          <w:rFonts w:eastAsia="Times New Roman" w:cs="Arial"/>
          <w:szCs w:val="20"/>
          <w:lang w:val="es-ES" w:eastAsia="es-ES"/>
        </w:rPr>
        <w:t>- - -</w:t>
      </w:r>
    </w:p>
    <w:p w:rsidR="00946DEE" w:rsidRPr="00946DEE" w:rsidRDefault="00946DEE" w:rsidP="00946DEE">
      <w:pPr>
        <w:jc w:val="center"/>
        <w:rPr>
          <w:rFonts w:eastAsia="Times New Roman" w:cs="Arial"/>
          <w:szCs w:val="20"/>
          <w:lang w:val="es-ES" w:eastAsia="es-ES"/>
        </w:rPr>
      </w:pPr>
    </w:p>
    <w:p w:rsidR="00946DEE" w:rsidRPr="00946DEE" w:rsidRDefault="00946DEE" w:rsidP="00946DEE">
      <w:pPr>
        <w:tabs>
          <w:tab w:val="left" w:pos="2835"/>
        </w:tabs>
        <w:jc w:val="right"/>
        <w:rPr>
          <w:rFonts w:eastAsia="Times New Roman" w:cs="Times New Roman"/>
          <w:szCs w:val="20"/>
          <w:lang w:val="es-ES_tradnl" w:eastAsia="es-ES"/>
        </w:rPr>
      </w:pPr>
      <w:r w:rsidRPr="00946DEE">
        <w:rPr>
          <w:rFonts w:eastAsia="Times New Roman" w:cs="Times New Roman"/>
          <w:szCs w:val="20"/>
          <w:lang w:val="es-ES_tradnl" w:eastAsia="es-ES"/>
        </w:rPr>
        <w:t xml:space="preserve">Sala de la Comisión, a </w:t>
      </w:r>
      <w:r w:rsidR="008B3B0F">
        <w:rPr>
          <w:rFonts w:eastAsia="Times New Roman" w:cs="Times New Roman"/>
          <w:szCs w:val="20"/>
          <w:lang w:val="es-ES_tradnl" w:eastAsia="es-ES"/>
        </w:rPr>
        <w:t>1</w:t>
      </w:r>
      <w:r w:rsidRPr="00946DEE">
        <w:rPr>
          <w:rFonts w:eastAsia="Times New Roman" w:cs="Times New Roman"/>
          <w:szCs w:val="20"/>
          <w:lang w:val="es-ES" w:eastAsia="es-ES"/>
        </w:rPr>
        <w:t xml:space="preserve"> de </w:t>
      </w:r>
      <w:r w:rsidR="008B3B0F">
        <w:rPr>
          <w:rFonts w:eastAsia="Times New Roman" w:cs="Times New Roman"/>
          <w:szCs w:val="20"/>
          <w:lang w:val="es-ES" w:eastAsia="es-ES"/>
        </w:rPr>
        <w:t xml:space="preserve">agosto </w:t>
      </w:r>
      <w:r w:rsidRPr="00946DEE">
        <w:rPr>
          <w:rFonts w:eastAsia="Times New Roman" w:cs="Times New Roman"/>
          <w:szCs w:val="20"/>
          <w:lang w:val="es-ES" w:eastAsia="es-ES"/>
        </w:rPr>
        <w:t>de 2018</w:t>
      </w:r>
      <w:r w:rsidRPr="00946DEE">
        <w:rPr>
          <w:rFonts w:eastAsia="Times New Roman" w:cs="Times New Roman"/>
          <w:szCs w:val="20"/>
          <w:lang w:val="es-ES_tradnl" w:eastAsia="es-ES"/>
        </w:rPr>
        <w:t>.</w:t>
      </w:r>
    </w:p>
    <w:p w:rsidR="00946DEE" w:rsidRPr="00946DEE" w:rsidRDefault="00946DEE" w:rsidP="00946DEE">
      <w:pPr>
        <w:tabs>
          <w:tab w:val="left" w:pos="2835"/>
        </w:tabs>
        <w:jc w:val="right"/>
        <w:rPr>
          <w:rFonts w:eastAsia="Times New Roman" w:cs="Times New Roman"/>
          <w:szCs w:val="20"/>
          <w:lang w:val="es-ES_tradnl" w:eastAsia="es-ES"/>
        </w:rPr>
      </w:pPr>
    </w:p>
    <w:p w:rsidR="00946DEE" w:rsidRPr="00946DEE" w:rsidRDefault="00946DEE" w:rsidP="00946DEE">
      <w:pPr>
        <w:ind w:firstLine="2844"/>
        <w:jc w:val="both"/>
        <w:rPr>
          <w:rFonts w:eastAsia="Times New Roman" w:cs="Times New Roman"/>
          <w:szCs w:val="20"/>
          <w:lang w:val="es-ES" w:eastAsia="es-ES"/>
        </w:rPr>
      </w:pPr>
    </w:p>
    <w:p w:rsidR="00946DEE" w:rsidRPr="00946DEE" w:rsidRDefault="00946DEE" w:rsidP="00946DEE">
      <w:pPr>
        <w:ind w:firstLine="2844"/>
        <w:jc w:val="both"/>
        <w:rPr>
          <w:rFonts w:eastAsia="Times New Roman" w:cs="Times New Roman"/>
          <w:szCs w:val="20"/>
          <w:lang w:val="es-ES" w:eastAsia="es-ES"/>
        </w:rPr>
      </w:pPr>
    </w:p>
    <w:p w:rsidR="00946DEE" w:rsidRPr="00946DEE" w:rsidRDefault="00946DEE" w:rsidP="00946DEE">
      <w:pPr>
        <w:ind w:firstLine="2844"/>
        <w:jc w:val="both"/>
        <w:rPr>
          <w:rFonts w:eastAsia="Times New Roman" w:cs="Times New Roman"/>
          <w:szCs w:val="20"/>
          <w:lang w:val="es-ES" w:eastAsia="es-ES"/>
        </w:rPr>
      </w:pPr>
    </w:p>
    <w:p w:rsidR="00946DEE" w:rsidRPr="00946DEE" w:rsidRDefault="008B3B0F" w:rsidP="00946DEE">
      <w:pPr>
        <w:tabs>
          <w:tab w:val="left" w:pos="2835"/>
        </w:tabs>
        <w:jc w:val="center"/>
        <w:rPr>
          <w:rFonts w:eastAsia="Times New Roman" w:cs="Times New Roman"/>
          <w:b/>
          <w:szCs w:val="20"/>
          <w:lang w:val="es-ES_tradnl" w:eastAsia="es-ES"/>
        </w:rPr>
      </w:pPr>
      <w:r>
        <w:rPr>
          <w:rFonts w:eastAsia="Times New Roman" w:cs="Times New Roman"/>
          <w:b/>
          <w:szCs w:val="20"/>
          <w:lang w:val="es-ES_tradnl" w:eastAsia="es-ES"/>
        </w:rPr>
        <w:t>JULIO CÁMARA OYAR</w:t>
      </w:r>
      <w:r w:rsidR="00FF63AC">
        <w:rPr>
          <w:rFonts w:eastAsia="Times New Roman" w:cs="Times New Roman"/>
          <w:b/>
          <w:szCs w:val="20"/>
          <w:lang w:val="es-ES_tradnl" w:eastAsia="es-ES"/>
        </w:rPr>
        <w:t>ZO</w:t>
      </w:r>
    </w:p>
    <w:p w:rsidR="00946DEE" w:rsidRPr="00946DEE" w:rsidRDefault="00946DEE" w:rsidP="00946DEE">
      <w:pPr>
        <w:tabs>
          <w:tab w:val="left" w:pos="2835"/>
        </w:tabs>
        <w:jc w:val="center"/>
        <w:rPr>
          <w:rFonts w:eastAsia="Times New Roman" w:cs="Arial"/>
          <w:b/>
          <w:szCs w:val="24"/>
          <w:lang w:val="es-ES_tradnl" w:eastAsia="es-ES"/>
        </w:rPr>
      </w:pPr>
      <w:r w:rsidRPr="00946DEE">
        <w:rPr>
          <w:rFonts w:eastAsia="Times New Roman" w:cs="Times New Roman"/>
          <w:b/>
          <w:szCs w:val="20"/>
          <w:lang w:val="es-ES_tradnl" w:eastAsia="es-ES"/>
        </w:rPr>
        <w:t xml:space="preserve">Secretario </w:t>
      </w:r>
      <w:r w:rsidR="008B3B0F">
        <w:rPr>
          <w:rFonts w:eastAsia="Times New Roman" w:cs="Times New Roman"/>
          <w:b/>
          <w:szCs w:val="20"/>
          <w:lang w:val="es-ES_tradnl" w:eastAsia="es-ES"/>
        </w:rPr>
        <w:t xml:space="preserve">(A) </w:t>
      </w:r>
      <w:r w:rsidRPr="00946DEE">
        <w:rPr>
          <w:rFonts w:eastAsia="Times New Roman" w:cs="Times New Roman"/>
          <w:b/>
          <w:szCs w:val="20"/>
          <w:lang w:val="es-ES_tradnl" w:eastAsia="es-ES"/>
        </w:rPr>
        <w:t xml:space="preserve">de </w:t>
      </w:r>
      <w:r w:rsidRPr="00946DEE">
        <w:rPr>
          <w:rFonts w:eastAsia="Times New Roman" w:cs="Times New Roman"/>
          <w:b/>
          <w:szCs w:val="20"/>
          <w:lang w:val="es-ES" w:eastAsia="es-ES"/>
        </w:rPr>
        <w:t>la Comisión</w:t>
      </w:r>
    </w:p>
    <w:p w:rsidR="00933AB5" w:rsidRPr="00946DEE" w:rsidRDefault="00933AB5" w:rsidP="009D0092">
      <w:pPr>
        <w:rPr>
          <w:lang w:val="es-ES_tradnl"/>
        </w:rPr>
      </w:pPr>
    </w:p>
    <w:sectPr w:rsidR="00933AB5" w:rsidRPr="00946DEE" w:rsidSect="00356FEC">
      <w:headerReference w:type="default" r:id="rId6"/>
      <w:footerReference w:type="even" r:id="rId7"/>
      <w:footerReference w:type="default" r:id="rId8"/>
      <w:pgSz w:w="12240" w:h="18720" w:code="14"/>
      <w:pgMar w:top="2835" w:right="1701" w:bottom="2835" w:left="2268" w:header="709" w:footer="709" w:gutter="0"/>
      <w:paperSrc w:first="2" w:other="2"/>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2E6" w:rsidRDefault="009E6F13" w:rsidP="00A955A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942E6" w:rsidRDefault="009E6F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6CA" w:rsidRDefault="009E6F13">
    <w:pPr>
      <w:pStyle w:val="Piedepgina"/>
      <w:jc w:val="center"/>
    </w:pPr>
  </w:p>
  <w:p w:rsidR="008942E6" w:rsidRDefault="009E6F13">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AE" w:rsidRDefault="009E6F13">
    <w:pPr>
      <w:pStyle w:val="Encabezado"/>
      <w:jc w:val="right"/>
    </w:pPr>
    <w:r>
      <w:fldChar w:fldCharType="begin"/>
    </w:r>
    <w:r>
      <w:instrText>PAGE   \* MERGEFORMAT</w:instrText>
    </w:r>
    <w:r>
      <w:fldChar w:fldCharType="separate"/>
    </w:r>
    <w:r>
      <w:rPr>
        <w:noProof/>
      </w:rPr>
      <w:t>6</w:t>
    </w:r>
    <w:r>
      <w:fldChar w:fldCharType="end"/>
    </w:r>
  </w:p>
  <w:p w:rsidR="006D56CA" w:rsidRDefault="009E6F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35"/>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EE"/>
    <w:rsid w:val="00356FEC"/>
    <w:rsid w:val="003A3B66"/>
    <w:rsid w:val="005B2EEB"/>
    <w:rsid w:val="005C67A4"/>
    <w:rsid w:val="00761CFC"/>
    <w:rsid w:val="0086659B"/>
    <w:rsid w:val="008970D2"/>
    <w:rsid w:val="008B3B0F"/>
    <w:rsid w:val="00933AB5"/>
    <w:rsid w:val="00946DEE"/>
    <w:rsid w:val="009D0092"/>
    <w:rsid w:val="009E6F13"/>
    <w:rsid w:val="00AD4DA2"/>
    <w:rsid w:val="00CB0803"/>
    <w:rsid w:val="00FF63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2FA8"/>
  <w15:chartTrackingRefBased/>
  <w15:docId w15:val="{F89C1400-A383-4164-8332-9E0836A7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46DEE"/>
    <w:pPr>
      <w:tabs>
        <w:tab w:val="center" w:pos="4419"/>
        <w:tab w:val="right" w:pos="8838"/>
      </w:tabs>
    </w:pPr>
  </w:style>
  <w:style w:type="character" w:customStyle="1" w:styleId="EncabezadoCar">
    <w:name w:val="Encabezado Car"/>
    <w:basedOn w:val="Fuentedeprrafopredeter"/>
    <w:link w:val="Encabezado"/>
    <w:uiPriority w:val="99"/>
    <w:semiHidden/>
    <w:rsid w:val="00946DEE"/>
  </w:style>
  <w:style w:type="paragraph" w:styleId="Piedepgina">
    <w:name w:val="footer"/>
    <w:basedOn w:val="Normal"/>
    <w:link w:val="PiedepginaCar"/>
    <w:uiPriority w:val="99"/>
    <w:semiHidden/>
    <w:unhideWhenUsed/>
    <w:rsid w:val="00946DEE"/>
    <w:pPr>
      <w:tabs>
        <w:tab w:val="center" w:pos="4419"/>
        <w:tab w:val="right" w:pos="8838"/>
      </w:tabs>
    </w:pPr>
  </w:style>
  <w:style w:type="character" w:customStyle="1" w:styleId="PiedepginaCar">
    <w:name w:val="Pie de página Car"/>
    <w:basedOn w:val="Fuentedeprrafopredeter"/>
    <w:link w:val="Piedepgina"/>
    <w:uiPriority w:val="99"/>
    <w:semiHidden/>
    <w:rsid w:val="00946DEE"/>
  </w:style>
  <w:style w:type="character" w:styleId="Nmerodepgina">
    <w:name w:val="page number"/>
    <w:basedOn w:val="Fuentedeprrafopredeter"/>
    <w:rsid w:val="00946DEE"/>
  </w:style>
  <w:style w:type="paragraph" w:styleId="Textodeglobo">
    <w:name w:val="Balloon Text"/>
    <w:basedOn w:val="Normal"/>
    <w:link w:val="TextodegloboCar"/>
    <w:uiPriority w:val="99"/>
    <w:semiHidden/>
    <w:unhideWhenUsed/>
    <w:rsid w:val="005B2E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2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1836</Words>
  <Characters>10101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LFIGUEROA</cp:lastModifiedBy>
  <cp:revision>1</cp:revision>
  <cp:lastPrinted>2018-08-01T21:12:00Z</cp:lastPrinted>
  <dcterms:created xsi:type="dcterms:W3CDTF">2018-08-01T18:44:00Z</dcterms:created>
  <dcterms:modified xsi:type="dcterms:W3CDTF">2018-08-01T21:13:00Z</dcterms:modified>
</cp:coreProperties>
</file>