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98" w:rsidRDefault="00060416" w:rsidP="008434BB">
      <w:pPr>
        <w:tabs>
          <w:tab w:val="left" w:pos="2520"/>
        </w:tabs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I</w:t>
      </w:r>
      <w:r w:rsidR="008434BB" w:rsidRPr="008434BB">
        <w:rPr>
          <w:rFonts w:ascii="Arial" w:hAnsi="Arial" w:cs="Arial"/>
          <w:b/>
          <w:bCs/>
          <w:sz w:val="24"/>
          <w:szCs w:val="24"/>
        </w:rPr>
        <w:t xml:space="preserve">NFORME </w:t>
      </w:r>
      <w:r w:rsidR="00E12B77">
        <w:rPr>
          <w:rFonts w:ascii="Arial" w:hAnsi="Arial" w:cs="Arial"/>
          <w:b/>
          <w:sz w:val="24"/>
          <w:szCs w:val="24"/>
        </w:rPr>
        <w:t xml:space="preserve">SOBRE </w:t>
      </w:r>
      <w:r w:rsidR="003224DA">
        <w:rPr>
          <w:rFonts w:ascii="Arial" w:hAnsi="Arial" w:cs="Arial"/>
          <w:b/>
          <w:sz w:val="24"/>
          <w:szCs w:val="24"/>
        </w:rPr>
        <w:t xml:space="preserve">DICTAMEN DE CONSTITUCIONALIDAD </w:t>
      </w:r>
      <w:r w:rsidR="00FA22AE">
        <w:rPr>
          <w:rFonts w:ascii="Arial" w:hAnsi="Arial" w:cs="Arial"/>
          <w:b/>
          <w:sz w:val="24"/>
          <w:szCs w:val="24"/>
        </w:rPr>
        <w:t xml:space="preserve">SOLICITADO POR LOS COMITÉS PARLAMENTARIOS </w:t>
      </w:r>
      <w:r w:rsidR="00C31EF9">
        <w:rPr>
          <w:rFonts w:ascii="Arial" w:hAnsi="Arial" w:cs="Arial"/>
          <w:b/>
          <w:sz w:val="24"/>
          <w:szCs w:val="24"/>
        </w:rPr>
        <w:t>RELATIVO</w:t>
      </w:r>
      <w:r w:rsidR="00FA22AE">
        <w:rPr>
          <w:rFonts w:ascii="Arial" w:hAnsi="Arial" w:cs="Arial"/>
          <w:b/>
          <w:sz w:val="24"/>
          <w:szCs w:val="24"/>
        </w:rPr>
        <w:t xml:space="preserve"> </w:t>
      </w:r>
      <w:r w:rsidR="00C31EF9">
        <w:rPr>
          <w:rFonts w:ascii="Arial" w:hAnsi="Arial" w:cs="Arial"/>
          <w:b/>
          <w:sz w:val="24"/>
          <w:szCs w:val="24"/>
        </w:rPr>
        <w:t>A</w:t>
      </w:r>
      <w:r w:rsidR="003224DA">
        <w:rPr>
          <w:rFonts w:ascii="Arial" w:hAnsi="Arial" w:cs="Arial"/>
          <w:b/>
          <w:sz w:val="24"/>
          <w:szCs w:val="24"/>
        </w:rPr>
        <w:t>L PROYECTO DE LEY INICIADO EN MOCIONES REFUNDIDAS, QUE AGREGA A LA LEY N° 19.981, SOBRE FOMENTO AUDIOVISUAL, UN CAPÍTULO IV SOBRE CUOTAS DE PANTALLA (BOLETINES 8620-24 Y 11.867-24).</w:t>
      </w:r>
    </w:p>
    <w:p w:rsidR="008434BB" w:rsidRPr="008434BB" w:rsidRDefault="008434BB" w:rsidP="008434BB">
      <w:pPr>
        <w:tabs>
          <w:tab w:val="left" w:pos="252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434BB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="00DB2AE5">
        <w:rPr>
          <w:rFonts w:ascii="Arial" w:hAnsi="Arial" w:cs="Arial"/>
          <w:sz w:val="24"/>
          <w:szCs w:val="24"/>
        </w:rPr>
        <w:t>_____</w:t>
      </w:r>
    </w:p>
    <w:p w:rsidR="008434BB" w:rsidRPr="008434BB" w:rsidRDefault="008434BB" w:rsidP="008434BB">
      <w:pPr>
        <w:tabs>
          <w:tab w:val="left" w:pos="2520"/>
        </w:tabs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8434BB" w:rsidRPr="008434BB" w:rsidRDefault="008434BB" w:rsidP="008434BB">
      <w:pPr>
        <w:tabs>
          <w:tab w:val="left" w:pos="2520"/>
        </w:tabs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B4337C" w:rsidRDefault="00FA22AE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Comisión de Constitución, Legi</w:t>
      </w:r>
      <w:r w:rsidR="00C31EF9">
        <w:rPr>
          <w:rFonts w:ascii="Arial" w:hAnsi="Arial" w:cs="Arial"/>
          <w:sz w:val="24"/>
          <w:szCs w:val="24"/>
        </w:rPr>
        <w:t>slación, Justicia y Reglamento i</w:t>
      </w:r>
      <w:r>
        <w:rPr>
          <w:rFonts w:ascii="Arial" w:hAnsi="Arial" w:cs="Arial"/>
          <w:sz w:val="24"/>
          <w:szCs w:val="24"/>
        </w:rPr>
        <w:t>nforma</w:t>
      </w:r>
      <w:r w:rsidR="00E12B77">
        <w:rPr>
          <w:rFonts w:ascii="Arial" w:hAnsi="Arial" w:cs="Arial"/>
          <w:sz w:val="24"/>
          <w:szCs w:val="24"/>
        </w:rPr>
        <w:t xml:space="preserve"> de conformidad con lo solici</w:t>
      </w:r>
      <w:r w:rsidR="003224DA">
        <w:rPr>
          <w:rFonts w:ascii="Arial" w:hAnsi="Arial" w:cs="Arial"/>
          <w:sz w:val="24"/>
          <w:szCs w:val="24"/>
        </w:rPr>
        <w:t>tado mediante oficio N° 14.422</w:t>
      </w:r>
      <w:r w:rsidR="00B4337C">
        <w:rPr>
          <w:rFonts w:ascii="Arial" w:hAnsi="Arial" w:cs="Arial"/>
          <w:sz w:val="24"/>
          <w:szCs w:val="24"/>
        </w:rPr>
        <w:t>,</w:t>
      </w:r>
      <w:r w:rsidR="003224DA">
        <w:rPr>
          <w:rFonts w:ascii="Arial" w:hAnsi="Arial" w:cs="Arial"/>
          <w:sz w:val="24"/>
          <w:szCs w:val="24"/>
        </w:rPr>
        <w:t xml:space="preserve"> de  20 de diciembre de 2019</w:t>
      </w:r>
      <w:r w:rsidR="00E12B77">
        <w:rPr>
          <w:rFonts w:ascii="Arial" w:hAnsi="Arial" w:cs="Arial"/>
          <w:sz w:val="24"/>
          <w:szCs w:val="24"/>
        </w:rPr>
        <w:t xml:space="preserve">, </w:t>
      </w:r>
      <w:r w:rsidR="003224DA">
        <w:rPr>
          <w:rFonts w:ascii="Arial" w:hAnsi="Arial" w:cs="Arial"/>
          <w:sz w:val="24"/>
          <w:szCs w:val="24"/>
        </w:rPr>
        <w:t>motivado en un acuerdo de los Comités Parlamentarios, los que ac</w:t>
      </w:r>
      <w:r>
        <w:rPr>
          <w:rFonts w:ascii="Arial" w:hAnsi="Arial" w:cs="Arial"/>
          <w:sz w:val="24"/>
          <w:szCs w:val="24"/>
        </w:rPr>
        <w:t>ordaron remitir a esta Comisión</w:t>
      </w:r>
      <w:r w:rsidR="003224DA">
        <w:rPr>
          <w:rFonts w:ascii="Arial" w:hAnsi="Arial" w:cs="Arial"/>
          <w:sz w:val="24"/>
          <w:szCs w:val="24"/>
        </w:rPr>
        <w:t xml:space="preserve">, por el plazo de diez días, el proyecto indicado en el epígrafe para que </w:t>
      </w:r>
      <w:r>
        <w:rPr>
          <w:rFonts w:ascii="Arial" w:hAnsi="Arial" w:cs="Arial"/>
          <w:sz w:val="24"/>
          <w:szCs w:val="24"/>
        </w:rPr>
        <w:t>la misma</w:t>
      </w:r>
      <w:r w:rsidR="003224DA">
        <w:rPr>
          <w:rFonts w:ascii="Arial" w:hAnsi="Arial" w:cs="Arial"/>
          <w:sz w:val="24"/>
          <w:szCs w:val="24"/>
        </w:rPr>
        <w:t xml:space="preserve"> emita un dictamen sobre su constitucionalidad.</w:t>
      </w:r>
    </w:p>
    <w:p w:rsidR="00B4337C" w:rsidRDefault="00B4337C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3224DA" w:rsidRDefault="003224DA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4337C" w:rsidRPr="00B4337C" w:rsidRDefault="00B4337C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4337C">
        <w:rPr>
          <w:rFonts w:ascii="Arial" w:hAnsi="Arial" w:cs="Arial"/>
          <w:b/>
          <w:sz w:val="24"/>
          <w:szCs w:val="24"/>
        </w:rPr>
        <w:t>ANTECEDENTES</w:t>
      </w:r>
      <w:r w:rsidR="00464E3A">
        <w:rPr>
          <w:rFonts w:ascii="Arial" w:hAnsi="Arial" w:cs="Arial"/>
          <w:b/>
          <w:sz w:val="24"/>
          <w:szCs w:val="24"/>
        </w:rPr>
        <w:t xml:space="preserve">  DE HECHO.</w:t>
      </w:r>
    </w:p>
    <w:p w:rsidR="00EA1C13" w:rsidRDefault="00EA1C13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8B58CD" w:rsidRDefault="008B58CD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Proyecto </w:t>
      </w:r>
      <w:r w:rsidR="00105093">
        <w:rPr>
          <w:rFonts w:ascii="Arial" w:hAnsi="Arial" w:cs="Arial"/>
          <w:sz w:val="24"/>
          <w:szCs w:val="24"/>
        </w:rPr>
        <w:t xml:space="preserve">de ley </w:t>
      </w:r>
      <w:r>
        <w:rPr>
          <w:rFonts w:ascii="Arial" w:hAnsi="Arial" w:cs="Arial"/>
          <w:sz w:val="24"/>
          <w:szCs w:val="24"/>
        </w:rPr>
        <w:t>que “Agrega a la ley N° 19.981, sobre Fomento Audiovisual, un Capítulo IV sobre Cuotas de Pantalla” (boletín N° 8620-24).</w:t>
      </w:r>
    </w:p>
    <w:p w:rsidR="008B58CD" w:rsidRDefault="008B58CD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8B58CD" w:rsidRDefault="008B58CD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A02E1F" w:rsidRDefault="008B58CD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originó en una moción de los diputados (as) señores (as) Marcelo Díaz; </w:t>
      </w:r>
      <w:r w:rsidRPr="008B58CD">
        <w:rPr>
          <w:rFonts w:ascii="Arial" w:hAnsi="Arial" w:cs="Arial"/>
          <w:sz w:val="24"/>
          <w:szCs w:val="24"/>
        </w:rPr>
        <w:t>Alfonso De Urresti Longton</w:t>
      </w:r>
      <w:r>
        <w:rPr>
          <w:rFonts w:ascii="Arial" w:hAnsi="Arial" w:cs="Arial"/>
          <w:sz w:val="24"/>
          <w:szCs w:val="24"/>
        </w:rPr>
        <w:t xml:space="preserve"> (ex);  </w:t>
      </w:r>
      <w:r w:rsidRPr="008B58CD">
        <w:rPr>
          <w:rFonts w:ascii="Arial" w:hAnsi="Arial" w:cs="Arial"/>
          <w:sz w:val="24"/>
          <w:szCs w:val="24"/>
        </w:rPr>
        <w:t>Ramón Farías Ponce</w:t>
      </w:r>
      <w:r>
        <w:rPr>
          <w:rFonts w:ascii="Arial" w:hAnsi="Arial" w:cs="Arial"/>
          <w:sz w:val="24"/>
          <w:szCs w:val="24"/>
        </w:rPr>
        <w:t xml:space="preserve"> (ex); </w:t>
      </w:r>
      <w:r w:rsidRPr="008B58CD">
        <w:rPr>
          <w:rFonts w:ascii="Arial" w:hAnsi="Arial" w:cs="Arial"/>
          <w:sz w:val="24"/>
          <w:szCs w:val="24"/>
        </w:rPr>
        <w:t>María José Hoffmann Opazo</w:t>
      </w:r>
      <w:r>
        <w:rPr>
          <w:rFonts w:ascii="Arial" w:hAnsi="Arial" w:cs="Arial"/>
          <w:sz w:val="24"/>
          <w:szCs w:val="24"/>
        </w:rPr>
        <w:t xml:space="preserve">; </w:t>
      </w:r>
      <w:r w:rsidRPr="008B58CD">
        <w:rPr>
          <w:rFonts w:ascii="Arial" w:hAnsi="Arial" w:cs="Arial"/>
          <w:sz w:val="24"/>
          <w:szCs w:val="24"/>
        </w:rPr>
        <w:t>Marcelo Schilling Rodríguez</w:t>
      </w:r>
      <w:r>
        <w:rPr>
          <w:rFonts w:ascii="Arial" w:hAnsi="Arial" w:cs="Arial"/>
          <w:sz w:val="24"/>
          <w:szCs w:val="24"/>
        </w:rPr>
        <w:t xml:space="preserve">; </w:t>
      </w:r>
      <w:r w:rsidRPr="008B58CD">
        <w:rPr>
          <w:rFonts w:ascii="Arial" w:hAnsi="Arial" w:cs="Arial"/>
          <w:sz w:val="24"/>
          <w:szCs w:val="24"/>
        </w:rPr>
        <w:t>Víctor Torres Jeldes</w:t>
      </w:r>
      <w:r>
        <w:rPr>
          <w:rFonts w:ascii="Arial" w:hAnsi="Arial" w:cs="Arial"/>
          <w:sz w:val="24"/>
          <w:szCs w:val="24"/>
        </w:rPr>
        <w:t xml:space="preserve"> y </w:t>
      </w:r>
      <w:r w:rsidRPr="008B58CD">
        <w:rPr>
          <w:rFonts w:ascii="Arial" w:hAnsi="Arial" w:cs="Arial"/>
          <w:sz w:val="24"/>
          <w:szCs w:val="24"/>
        </w:rPr>
        <w:t>Ximena Vidal Lázaro</w:t>
      </w:r>
      <w:r w:rsidR="00C17C8E">
        <w:rPr>
          <w:rFonts w:ascii="Arial" w:hAnsi="Arial" w:cs="Arial"/>
          <w:sz w:val="24"/>
          <w:szCs w:val="24"/>
        </w:rPr>
        <w:t xml:space="preserve"> (ex)</w:t>
      </w:r>
      <w:r>
        <w:rPr>
          <w:rFonts w:ascii="Arial" w:hAnsi="Arial" w:cs="Arial"/>
          <w:sz w:val="24"/>
          <w:szCs w:val="24"/>
        </w:rPr>
        <w:t>.  Se dio cuenta en sesión 89° de 11 de octubre de 2012, pasando a la Comisión de Cultura, Artes y Comunicaciones.</w:t>
      </w:r>
    </w:p>
    <w:p w:rsidR="008B58CD" w:rsidRDefault="008B58CD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8B58CD" w:rsidRDefault="008B58CD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8B58CD" w:rsidRDefault="008B58CD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Proyecto </w:t>
      </w:r>
      <w:r w:rsidR="00105093">
        <w:rPr>
          <w:rFonts w:ascii="Arial" w:hAnsi="Arial" w:cs="Arial"/>
          <w:sz w:val="24"/>
          <w:szCs w:val="24"/>
        </w:rPr>
        <w:t>de ley que “</w:t>
      </w:r>
      <w:r w:rsidRPr="008B58CD">
        <w:rPr>
          <w:rFonts w:ascii="Arial" w:hAnsi="Arial" w:cs="Arial"/>
          <w:sz w:val="24"/>
          <w:szCs w:val="24"/>
        </w:rPr>
        <w:t>Modifica la ley N°18.838, que Crea el Consejo Nacional de Televisión, para asegurar la exhibición de producción cinematográfica chilena en el porcentaje y horario que indica</w:t>
      </w:r>
      <w:r w:rsidR="00105093">
        <w:rPr>
          <w:rFonts w:ascii="Arial" w:hAnsi="Arial" w:cs="Arial"/>
          <w:sz w:val="24"/>
          <w:szCs w:val="24"/>
        </w:rPr>
        <w:t>” (boletín N° 11.867-24).</w:t>
      </w:r>
    </w:p>
    <w:p w:rsidR="00105093" w:rsidRDefault="00105093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105093" w:rsidRDefault="00105093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originó en una moción de la diputada Carolina Marzán. Se dio cuenta en sesión  de</w:t>
      </w:r>
      <w:r w:rsidR="00C17C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 de julio de 2018, pasando a la Comisión de Cultura, Artes y Comunicaciones.</w:t>
      </w:r>
    </w:p>
    <w:p w:rsidR="00105093" w:rsidRDefault="00105093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105093" w:rsidRDefault="00105093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3.- Fusión de los proyectos de ley.</w:t>
      </w:r>
    </w:p>
    <w:p w:rsidR="00105093" w:rsidRDefault="00105093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105093" w:rsidRDefault="00105093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sesión de fecha 31 de julio de 2018, se dio cuenta de oficio de la Comisión de Cultura, Artes y Comunicaciones, mediante el cual se solicitó refundir los dos proyectos más arriba referidos. Se recibió acuerdo favorable de la Sala de la corporación, el cual fue comunicado mediante oficio N° 14.094 de 31 de julio de 2018, a la Comisión respectiva.</w:t>
      </w:r>
    </w:p>
    <w:p w:rsidR="00105093" w:rsidRDefault="00105093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105093" w:rsidRDefault="00105093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Informe de los proyectos refundidos.</w:t>
      </w:r>
    </w:p>
    <w:p w:rsidR="00105093" w:rsidRDefault="00105093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105093" w:rsidRDefault="00105093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sesión de Sala de  11 de diciembre de 2018 se dio cuenta del informe de la Comisión de Cultura, Artes y Comunicaciones.</w:t>
      </w:r>
    </w:p>
    <w:p w:rsidR="00105093" w:rsidRDefault="00105093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105093" w:rsidRDefault="00105093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Dictamen sobre la constitucionalidad del proyecto.</w:t>
      </w:r>
    </w:p>
    <w:p w:rsidR="00105093" w:rsidRDefault="00105093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105093" w:rsidRDefault="00105093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fecha 20 de diciembre de 2018, los Comités Parlamentarios acordaron remitir el proyecto a la Comisión de Constitución, Legislación, Justicia y </w:t>
      </w:r>
      <w:r w:rsidR="005147E4">
        <w:rPr>
          <w:rFonts w:ascii="Arial" w:hAnsi="Arial" w:cs="Arial"/>
          <w:sz w:val="24"/>
          <w:szCs w:val="24"/>
        </w:rPr>
        <w:t>Reglamento, por el plazo de diez días, para que emita un dictamen sobre su constitucionalidad.</w:t>
      </w:r>
    </w:p>
    <w:p w:rsidR="00A02E1F" w:rsidRDefault="00A02E1F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5543EF" w:rsidRDefault="005543EF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172137" w:rsidRDefault="00172137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TRAMITACIÓN DE LA SOLICITUD ANTE LA COMISION</w:t>
      </w:r>
    </w:p>
    <w:p w:rsidR="00B4337C" w:rsidRDefault="00B4337C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17C8E" w:rsidRDefault="00C17C8E" w:rsidP="00C31EF9">
      <w:pPr>
        <w:widowControl w:val="0"/>
        <w:tabs>
          <w:tab w:val="left" w:pos="2160"/>
          <w:tab w:val="left" w:pos="3402"/>
          <w:tab w:val="left" w:pos="3969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172137" w:rsidRPr="00AB6F5E" w:rsidRDefault="00172137" w:rsidP="00C31EF9">
      <w:pPr>
        <w:widowControl w:val="0"/>
        <w:tabs>
          <w:tab w:val="left" w:pos="2160"/>
          <w:tab w:val="left" w:pos="3402"/>
          <w:tab w:val="left" w:pos="3969"/>
        </w:tabs>
        <w:ind w:firstLine="851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AB6F5E">
        <w:rPr>
          <w:rFonts w:ascii="Arial" w:hAnsi="Arial" w:cs="Arial"/>
          <w:sz w:val="24"/>
          <w:szCs w:val="24"/>
        </w:rPr>
        <w:t xml:space="preserve">1.- En sesión </w:t>
      </w:r>
      <w:r w:rsidR="00EC39D0" w:rsidRPr="00AB6F5E">
        <w:rPr>
          <w:rFonts w:ascii="Arial" w:hAnsi="Arial" w:cs="Arial"/>
          <w:sz w:val="24"/>
          <w:szCs w:val="24"/>
        </w:rPr>
        <w:t xml:space="preserve">N° 66 </w:t>
      </w:r>
      <w:r w:rsidRPr="00AB6F5E">
        <w:rPr>
          <w:rFonts w:ascii="Arial" w:hAnsi="Arial" w:cs="Arial"/>
          <w:sz w:val="24"/>
          <w:szCs w:val="24"/>
        </w:rPr>
        <w:t xml:space="preserve">de fecha 7 de enero de 2019, ante solicitud de la </w:t>
      </w:r>
      <w:r w:rsidRPr="00AB6F5E">
        <w:rPr>
          <w:rFonts w:ascii="Arial" w:hAnsi="Arial" w:cs="Arial"/>
          <w:bCs/>
          <w:sz w:val="24"/>
          <w:szCs w:val="24"/>
        </w:rPr>
        <w:t>Cámara de Exhibidores Multisalas de Chile A.G (</w:t>
      </w:r>
      <w:r w:rsidRPr="00AB6F5E">
        <w:rPr>
          <w:rFonts w:ascii="Arial" w:hAnsi="Arial" w:cs="Arial"/>
          <w:sz w:val="24"/>
          <w:szCs w:val="24"/>
        </w:rPr>
        <w:t xml:space="preserve">CAEM)   la Comisión recibió </w:t>
      </w:r>
      <w:r w:rsidR="00C17C8E">
        <w:rPr>
          <w:rFonts w:ascii="Arial" w:hAnsi="Arial" w:cs="Arial"/>
          <w:sz w:val="24"/>
          <w:szCs w:val="24"/>
        </w:rPr>
        <w:t xml:space="preserve">al señor </w:t>
      </w:r>
      <w:r w:rsidRPr="00AB6F5E">
        <w:rPr>
          <w:rFonts w:ascii="Arial" w:hAnsi="Arial" w:cs="Arial"/>
          <w:bCs/>
          <w:sz w:val="24"/>
          <w:szCs w:val="24"/>
        </w:rPr>
        <w:t>Alejandro</w:t>
      </w:r>
      <w:r w:rsidR="00C17C8E">
        <w:rPr>
          <w:rFonts w:ascii="Arial" w:hAnsi="Arial" w:cs="Arial"/>
          <w:bCs/>
          <w:sz w:val="24"/>
          <w:szCs w:val="24"/>
        </w:rPr>
        <w:t xml:space="preserve"> Caloguerea, Gerente de CAEM y a</w:t>
      </w:r>
      <w:r w:rsidRPr="00AB6F5E">
        <w:rPr>
          <w:rFonts w:ascii="Arial" w:hAnsi="Arial" w:cs="Arial"/>
          <w:bCs/>
          <w:sz w:val="24"/>
          <w:szCs w:val="24"/>
        </w:rPr>
        <w:t xml:space="preserve">l asesor </w:t>
      </w:r>
      <w:r w:rsidR="00C17C8E">
        <w:rPr>
          <w:rFonts w:ascii="Arial" w:hAnsi="Arial" w:cs="Arial"/>
          <w:bCs/>
          <w:sz w:val="24"/>
          <w:szCs w:val="24"/>
        </w:rPr>
        <w:t>jurídico</w:t>
      </w:r>
      <w:r w:rsidRPr="00AB6F5E">
        <w:rPr>
          <w:rFonts w:ascii="Arial" w:hAnsi="Arial" w:cs="Arial"/>
          <w:bCs/>
          <w:sz w:val="24"/>
          <w:szCs w:val="24"/>
        </w:rPr>
        <w:t xml:space="preserve"> de la mi</w:t>
      </w:r>
      <w:r w:rsidR="00AB6F5E" w:rsidRPr="00AB6F5E">
        <w:rPr>
          <w:rFonts w:ascii="Arial" w:hAnsi="Arial" w:cs="Arial"/>
          <w:bCs/>
          <w:sz w:val="24"/>
          <w:szCs w:val="24"/>
        </w:rPr>
        <w:t>sma entidad</w:t>
      </w:r>
      <w:r w:rsidR="00C17C8E">
        <w:rPr>
          <w:rFonts w:ascii="Arial" w:hAnsi="Arial" w:cs="Arial"/>
          <w:bCs/>
          <w:sz w:val="24"/>
          <w:szCs w:val="24"/>
        </w:rPr>
        <w:t>,</w:t>
      </w:r>
      <w:r w:rsidR="00AB6F5E" w:rsidRPr="00AB6F5E">
        <w:rPr>
          <w:rFonts w:ascii="Arial" w:hAnsi="Arial" w:cs="Arial"/>
          <w:bCs/>
          <w:sz w:val="24"/>
          <w:szCs w:val="24"/>
        </w:rPr>
        <w:t xml:space="preserve"> don Andrés Alvarez. La entidad argumentó la inconstitucionalidad de los proyectos refundidos. El texto íntegro del acta se puede consultar en el siguiente hipervínculo</w:t>
      </w:r>
      <w:r w:rsidR="00AB6F5E">
        <w:rPr>
          <w:rFonts w:ascii="Arial" w:hAnsi="Arial" w:cs="Arial"/>
          <w:bCs/>
          <w:sz w:val="24"/>
          <w:szCs w:val="24"/>
        </w:rPr>
        <w:t>:</w:t>
      </w:r>
      <w:r w:rsidR="00AB6F5E" w:rsidRPr="00AB6F5E">
        <w:rPr>
          <w:rFonts w:ascii="Arial" w:hAnsi="Arial" w:cs="Arial"/>
          <w:bCs/>
          <w:sz w:val="24"/>
          <w:szCs w:val="24"/>
        </w:rPr>
        <w:t xml:space="preserve"> </w:t>
      </w:r>
      <w:hyperlink r:id="rId11" w:history="1">
        <w:r w:rsidR="00AB6F5E" w:rsidRPr="00AB6F5E">
          <w:rPr>
            <w:rStyle w:val="Hipervnculo"/>
            <w:rFonts w:ascii="Arial" w:hAnsi="Arial" w:cs="Arial"/>
            <w:bCs/>
            <w:sz w:val="24"/>
            <w:szCs w:val="24"/>
          </w:rPr>
          <w:t>https://www.camara.cl/pdf.aspx?prmID=60086&amp;prmTIPO=ACTACOMISION</w:t>
        </w:r>
      </w:hyperlink>
    </w:p>
    <w:p w:rsidR="00C17C8E" w:rsidRDefault="00C17C8E" w:rsidP="00C31EF9">
      <w:pPr>
        <w:tabs>
          <w:tab w:val="left" w:pos="0"/>
        </w:tabs>
        <w:ind w:right="48" w:firstLine="851"/>
        <w:jc w:val="both"/>
        <w:rPr>
          <w:rFonts w:ascii="Arial" w:hAnsi="Arial" w:cs="Arial"/>
          <w:sz w:val="24"/>
          <w:szCs w:val="24"/>
        </w:rPr>
      </w:pPr>
    </w:p>
    <w:p w:rsidR="00AB6F5E" w:rsidRDefault="00EC39D0" w:rsidP="00C31EF9">
      <w:pPr>
        <w:tabs>
          <w:tab w:val="left" w:pos="0"/>
        </w:tabs>
        <w:ind w:right="48" w:firstLine="851"/>
        <w:jc w:val="both"/>
        <w:rPr>
          <w:rFonts w:ascii="Arial" w:hAnsi="Arial" w:cs="Arial"/>
          <w:bCs/>
          <w:sz w:val="24"/>
          <w:szCs w:val="24"/>
        </w:rPr>
      </w:pPr>
      <w:r w:rsidRPr="00AB6F5E">
        <w:rPr>
          <w:rFonts w:ascii="Arial" w:hAnsi="Arial" w:cs="Arial"/>
          <w:sz w:val="24"/>
          <w:szCs w:val="24"/>
        </w:rPr>
        <w:lastRenderedPageBreak/>
        <w:t>2.- En sesión N° 72 de 16 de enero de 2019, la Comisión procedió a discutir sobre la constitucionalidad del proyecto</w:t>
      </w:r>
      <w:r w:rsidR="00AB6F5E" w:rsidRPr="00AB6F5E">
        <w:rPr>
          <w:rFonts w:ascii="Arial" w:hAnsi="Arial" w:cs="Arial"/>
          <w:sz w:val="24"/>
          <w:szCs w:val="24"/>
        </w:rPr>
        <w:t xml:space="preserve"> y sometió a votación sin una proposición, solo estableciendo que se pronunciaran sus miembros a favor o en contra de la constitucionalidad sin lograrse un acuerdo al respecto, reglamentariamente. </w:t>
      </w:r>
      <w:r w:rsidR="00AB6F5E" w:rsidRPr="00AB6F5E">
        <w:rPr>
          <w:rFonts w:ascii="Arial" w:hAnsi="Arial" w:cs="Arial"/>
          <w:bCs/>
          <w:sz w:val="24"/>
          <w:szCs w:val="24"/>
        </w:rPr>
        <w:t>El texto íntegro del acta se puede consultar en el siguiente hipervínculo</w:t>
      </w:r>
      <w:r w:rsidR="00AB6F5E">
        <w:rPr>
          <w:rFonts w:ascii="Arial" w:hAnsi="Arial" w:cs="Arial"/>
          <w:bCs/>
          <w:sz w:val="24"/>
          <w:szCs w:val="24"/>
        </w:rPr>
        <w:t>:</w:t>
      </w:r>
    </w:p>
    <w:p w:rsidR="00172137" w:rsidRPr="00AB6F5E" w:rsidRDefault="00D80184" w:rsidP="00C31EF9">
      <w:pPr>
        <w:tabs>
          <w:tab w:val="left" w:pos="0"/>
        </w:tabs>
        <w:ind w:right="48"/>
        <w:jc w:val="both"/>
        <w:rPr>
          <w:rFonts w:ascii="Arial" w:hAnsi="Arial" w:cs="Arial"/>
          <w:sz w:val="24"/>
          <w:szCs w:val="24"/>
        </w:rPr>
      </w:pPr>
      <w:hyperlink r:id="rId12" w:history="1">
        <w:r w:rsidR="00AB6F5E" w:rsidRPr="00AB6F5E">
          <w:rPr>
            <w:rStyle w:val="Hipervnculo"/>
            <w:rFonts w:ascii="Arial" w:hAnsi="Arial" w:cs="Arial"/>
            <w:bCs/>
            <w:sz w:val="24"/>
            <w:szCs w:val="24"/>
          </w:rPr>
          <w:t>https://www.camara.cl/pdf.aspx?prmID=60214&amp;prmTIPO=ACTACOMISION</w:t>
        </w:r>
      </w:hyperlink>
    </w:p>
    <w:p w:rsidR="00C17C8E" w:rsidRDefault="00C17C8E" w:rsidP="00C31EF9">
      <w:pPr>
        <w:tabs>
          <w:tab w:val="left" w:pos="0"/>
        </w:tabs>
        <w:ind w:right="48" w:firstLine="851"/>
        <w:jc w:val="both"/>
        <w:rPr>
          <w:rFonts w:ascii="Arial" w:hAnsi="Arial" w:cs="Arial"/>
          <w:sz w:val="24"/>
          <w:szCs w:val="24"/>
        </w:rPr>
      </w:pPr>
    </w:p>
    <w:p w:rsidR="00C17C8E" w:rsidRDefault="0096135C" w:rsidP="00C31EF9">
      <w:pPr>
        <w:tabs>
          <w:tab w:val="left" w:pos="0"/>
        </w:tabs>
        <w:ind w:right="48" w:firstLine="851"/>
        <w:jc w:val="both"/>
        <w:rPr>
          <w:rFonts w:ascii="Arial" w:hAnsi="Arial" w:cs="Arial"/>
          <w:bCs/>
          <w:sz w:val="24"/>
          <w:szCs w:val="24"/>
        </w:rPr>
      </w:pPr>
      <w:r w:rsidRPr="002F37FF">
        <w:rPr>
          <w:rFonts w:ascii="Arial" w:hAnsi="Arial" w:cs="Arial"/>
          <w:sz w:val="24"/>
          <w:szCs w:val="24"/>
        </w:rPr>
        <w:t>3.- En s</w:t>
      </w:r>
      <w:r w:rsidR="00EC39D0" w:rsidRPr="002F37FF">
        <w:rPr>
          <w:rFonts w:ascii="Arial" w:hAnsi="Arial" w:cs="Arial"/>
          <w:sz w:val="24"/>
          <w:szCs w:val="24"/>
        </w:rPr>
        <w:t>esión N° 74 de 22 de enero de 2019</w:t>
      </w:r>
      <w:r w:rsidRPr="002F37FF">
        <w:rPr>
          <w:rFonts w:ascii="Arial" w:hAnsi="Arial" w:cs="Arial"/>
          <w:sz w:val="24"/>
          <w:szCs w:val="24"/>
        </w:rPr>
        <w:t>, la Comisión continuó con el debate del reque</w:t>
      </w:r>
      <w:r w:rsidR="002F37FF">
        <w:rPr>
          <w:rFonts w:ascii="Arial" w:hAnsi="Arial" w:cs="Arial"/>
          <w:sz w:val="24"/>
          <w:szCs w:val="24"/>
        </w:rPr>
        <w:t>rimiento hecho por los Comités P</w:t>
      </w:r>
      <w:r w:rsidRPr="002F37FF">
        <w:rPr>
          <w:rFonts w:ascii="Arial" w:hAnsi="Arial" w:cs="Arial"/>
          <w:sz w:val="24"/>
          <w:szCs w:val="24"/>
        </w:rPr>
        <w:t>arlamentarios, adoptando un acuerdo al respecto, que se desarrolla a continuación.</w:t>
      </w:r>
      <w:r w:rsidR="002F37FF" w:rsidRPr="002F37FF">
        <w:rPr>
          <w:rFonts w:ascii="Arial" w:hAnsi="Arial" w:cs="Arial"/>
          <w:bCs/>
          <w:sz w:val="24"/>
          <w:szCs w:val="24"/>
        </w:rPr>
        <w:t xml:space="preserve"> </w:t>
      </w:r>
    </w:p>
    <w:p w:rsidR="002F37FF" w:rsidRDefault="002F37FF" w:rsidP="00C31EF9">
      <w:pPr>
        <w:tabs>
          <w:tab w:val="left" w:pos="0"/>
        </w:tabs>
        <w:ind w:right="48" w:firstLine="851"/>
        <w:jc w:val="both"/>
        <w:rPr>
          <w:rFonts w:ascii="Arial" w:hAnsi="Arial" w:cs="Arial"/>
          <w:bCs/>
          <w:sz w:val="24"/>
          <w:szCs w:val="24"/>
        </w:rPr>
      </w:pPr>
      <w:r w:rsidRPr="002F37FF">
        <w:rPr>
          <w:rFonts w:ascii="Arial" w:hAnsi="Arial" w:cs="Arial"/>
          <w:bCs/>
          <w:sz w:val="24"/>
          <w:szCs w:val="24"/>
        </w:rPr>
        <w:t>El texto íntegro del acta se puede consultar en el siguiente hipervínculo:</w:t>
      </w:r>
    </w:p>
    <w:p w:rsidR="002F37FF" w:rsidRPr="002F37FF" w:rsidRDefault="00D80184" w:rsidP="00C31EF9">
      <w:pPr>
        <w:tabs>
          <w:tab w:val="left" w:pos="0"/>
        </w:tabs>
        <w:ind w:right="48"/>
        <w:jc w:val="both"/>
        <w:rPr>
          <w:rFonts w:ascii="Arial" w:hAnsi="Arial" w:cs="Arial"/>
          <w:bCs/>
          <w:sz w:val="24"/>
          <w:szCs w:val="24"/>
        </w:rPr>
      </w:pPr>
      <w:hyperlink r:id="rId13" w:history="1">
        <w:r w:rsidR="002F37FF" w:rsidRPr="002F37FF">
          <w:rPr>
            <w:rStyle w:val="Hipervnculo"/>
            <w:rFonts w:ascii="Arial" w:hAnsi="Arial" w:cs="Arial"/>
            <w:bCs/>
            <w:sz w:val="24"/>
            <w:szCs w:val="24"/>
          </w:rPr>
          <w:t>https://www.camara.cl/pdf.aspx?prmID=60276&amp;prmTIPO=ACTACOMISION</w:t>
        </w:r>
      </w:hyperlink>
    </w:p>
    <w:p w:rsidR="00464E3A" w:rsidRDefault="00464E3A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7B2D88" w:rsidRDefault="007B2D88" w:rsidP="00C31EF9">
      <w:pPr>
        <w:tabs>
          <w:tab w:val="left" w:pos="2520"/>
        </w:tabs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C17C8E" w:rsidRDefault="00C17C8E" w:rsidP="00C31EF9">
      <w:pPr>
        <w:tabs>
          <w:tab w:val="left" w:pos="2520"/>
        </w:tabs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2417AE" w:rsidRPr="003224DA" w:rsidRDefault="003224DA" w:rsidP="00C31EF9">
      <w:pPr>
        <w:tabs>
          <w:tab w:val="left" w:pos="2520"/>
        </w:tabs>
        <w:spacing w:after="0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3224DA">
        <w:rPr>
          <w:rFonts w:ascii="Arial" w:hAnsi="Arial" w:cs="Arial"/>
          <w:b/>
          <w:bCs/>
          <w:sz w:val="24"/>
          <w:szCs w:val="24"/>
        </w:rPr>
        <w:t>CONSIDERACIONES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224DA" w:rsidRDefault="003224DA" w:rsidP="00C31EF9">
      <w:pPr>
        <w:tabs>
          <w:tab w:val="left" w:pos="2520"/>
        </w:tabs>
        <w:spacing w:after="0"/>
        <w:ind w:firstLine="85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D36DB" w:rsidRDefault="00ED36DB" w:rsidP="00C31EF9">
      <w:pPr>
        <w:tabs>
          <w:tab w:val="left" w:pos="2552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1.- En el seno de la Comisión se efectuó un</w:t>
      </w:r>
      <w:r w:rsidRPr="00ED36DB">
        <w:rPr>
          <w:rFonts w:ascii="Arial" w:hAnsi="Arial" w:cs="Arial"/>
          <w:bCs/>
          <w:sz w:val="24"/>
          <w:szCs w:val="24"/>
        </w:rPr>
        <w:t xml:space="preserve"> extenso debate</w:t>
      </w:r>
      <w:r>
        <w:rPr>
          <w:rFonts w:ascii="Arial" w:hAnsi="Arial" w:cs="Arial"/>
          <w:bCs/>
          <w:sz w:val="24"/>
          <w:szCs w:val="24"/>
        </w:rPr>
        <w:t xml:space="preserve"> en relación con el mandato hecho a la Comisión por los Comités  en orden a emitir un dictamen sobre la constitucionalidad de los proyectos de ley refundidos</w:t>
      </w:r>
      <w:r>
        <w:rPr>
          <w:rFonts w:ascii="Arial" w:hAnsi="Arial" w:cs="Arial"/>
          <w:sz w:val="24"/>
          <w:szCs w:val="24"/>
        </w:rPr>
        <w:t xml:space="preserve"> que “Agrega a la ley N° 19.981, sobre Fomento Audiovisual, un Capítulo IV sobre Cuotas de Pantalla” (boletín N° 8620-24) y que “</w:t>
      </w:r>
      <w:r w:rsidRPr="008B58CD">
        <w:rPr>
          <w:rFonts w:ascii="Arial" w:hAnsi="Arial" w:cs="Arial"/>
          <w:sz w:val="24"/>
          <w:szCs w:val="24"/>
        </w:rPr>
        <w:t>Modifica la ley N°18.838, que Crea el Consejo Nacional de Televisión, para asegurar la exhibición de producción cinematográfica chilena en el porcentaje y horario que indica</w:t>
      </w:r>
      <w:r>
        <w:rPr>
          <w:rFonts w:ascii="Arial" w:hAnsi="Arial" w:cs="Arial"/>
          <w:sz w:val="24"/>
          <w:szCs w:val="24"/>
        </w:rPr>
        <w:t>” (boletín N° 11.867-24).</w:t>
      </w:r>
    </w:p>
    <w:p w:rsidR="00ED36DB" w:rsidRPr="00ED36DB" w:rsidRDefault="00ED36DB" w:rsidP="00C31EF9">
      <w:pPr>
        <w:tabs>
          <w:tab w:val="left" w:pos="2520"/>
        </w:tabs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ED36DB" w:rsidRPr="00ED36DB" w:rsidRDefault="00ED36DB" w:rsidP="00C31EF9">
      <w:pPr>
        <w:widowControl w:val="0"/>
        <w:tabs>
          <w:tab w:val="left" w:pos="2160"/>
          <w:tab w:val="left" w:pos="3402"/>
          <w:tab w:val="left" w:pos="3969"/>
        </w:tabs>
        <w:ind w:firstLine="851"/>
        <w:jc w:val="both"/>
        <w:rPr>
          <w:rFonts w:ascii="Arial" w:hAnsi="Arial" w:cs="Arial"/>
          <w:bCs/>
          <w:sz w:val="24"/>
          <w:szCs w:val="24"/>
          <w:highlight w:val="yellow"/>
        </w:rPr>
      </w:pPr>
      <w:r>
        <w:rPr>
          <w:rFonts w:ascii="Arial" w:hAnsi="Arial" w:cs="Arial"/>
          <w:bCs/>
          <w:sz w:val="24"/>
          <w:szCs w:val="24"/>
        </w:rPr>
        <w:t xml:space="preserve">2.- </w:t>
      </w:r>
      <w:r w:rsidRPr="00ED36DB">
        <w:rPr>
          <w:rFonts w:ascii="Arial" w:hAnsi="Arial" w:cs="Arial"/>
          <w:sz w:val="24"/>
          <w:szCs w:val="24"/>
        </w:rPr>
        <w:t xml:space="preserve">En sesión N° 66 de fecha 7 de enero de 2019, ante solicitud de la </w:t>
      </w:r>
      <w:r w:rsidRPr="00ED36DB">
        <w:rPr>
          <w:rFonts w:ascii="Arial" w:hAnsi="Arial" w:cs="Arial"/>
          <w:bCs/>
          <w:sz w:val="24"/>
          <w:szCs w:val="24"/>
        </w:rPr>
        <w:t>Cámara de Exhibidores Multisalas de Chile A.G (</w:t>
      </w:r>
      <w:r w:rsidRPr="00ED36DB">
        <w:rPr>
          <w:rFonts w:ascii="Arial" w:hAnsi="Arial" w:cs="Arial"/>
          <w:sz w:val="24"/>
          <w:szCs w:val="24"/>
        </w:rPr>
        <w:t xml:space="preserve">CAEM)   la Comisión recibió </w:t>
      </w:r>
      <w:r w:rsidR="00C17C8E">
        <w:rPr>
          <w:rFonts w:ascii="Arial" w:hAnsi="Arial" w:cs="Arial"/>
          <w:sz w:val="24"/>
          <w:szCs w:val="24"/>
        </w:rPr>
        <w:t xml:space="preserve">al señor </w:t>
      </w:r>
      <w:r w:rsidRPr="00ED36DB">
        <w:rPr>
          <w:rFonts w:ascii="Arial" w:hAnsi="Arial" w:cs="Arial"/>
          <w:bCs/>
          <w:sz w:val="24"/>
          <w:szCs w:val="24"/>
        </w:rPr>
        <w:t>Alejandro Caloguerea, Gerente de CAEM</w:t>
      </w:r>
      <w:r w:rsidR="00C17C8E">
        <w:rPr>
          <w:rFonts w:ascii="Arial" w:hAnsi="Arial" w:cs="Arial"/>
          <w:bCs/>
          <w:sz w:val="24"/>
          <w:szCs w:val="24"/>
        </w:rPr>
        <w:t>, y al asesor jurídico</w:t>
      </w:r>
      <w:r w:rsidRPr="00ED36DB">
        <w:rPr>
          <w:rFonts w:ascii="Arial" w:hAnsi="Arial" w:cs="Arial"/>
          <w:bCs/>
          <w:sz w:val="24"/>
          <w:szCs w:val="24"/>
        </w:rPr>
        <w:t xml:space="preserve"> de la mi</w:t>
      </w:r>
      <w:r>
        <w:rPr>
          <w:rFonts w:ascii="Arial" w:hAnsi="Arial" w:cs="Arial"/>
          <w:bCs/>
          <w:sz w:val="24"/>
          <w:szCs w:val="24"/>
        </w:rPr>
        <w:t>sma entidad</w:t>
      </w:r>
      <w:r w:rsidR="00C17C8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don Andrés </w:t>
      </w:r>
      <w:r w:rsidR="000277AE">
        <w:rPr>
          <w:rFonts w:ascii="Arial" w:hAnsi="Arial" w:cs="Arial"/>
          <w:bCs/>
          <w:sz w:val="24"/>
          <w:szCs w:val="24"/>
        </w:rPr>
        <w:t>Álvarez,</w:t>
      </w:r>
      <w:r>
        <w:rPr>
          <w:rFonts w:ascii="Arial" w:hAnsi="Arial" w:cs="Arial"/>
          <w:bCs/>
          <w:sz w:val="24"/>
          <w:szCs w:val="24"/>
        </w:rPr>
        <w:t xml:space="preserve"> quienes expusieron la visión de dicha entidad, la cual sostuvo la inconstitucionalidad del proyecto.</w:t>
      </w:r>
    </w:p>
    <w:p w:rsidR="00ED36DB" w:rsidRDefault="00ED36DB" w:rsidP="00C31EF9">
      <w:pPr>
        <w:tabs>
          <w:tab w:val="left" w:pos="0"/>
        </w:tabs>
        <w:ind w:right="4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Pr="00ED36DB">
        <w:rPr>
          <w:rFonts w:ascii="Arial" w:hAnsi="Arial" w:cs="Arial"/>
          <w:sz w:val="24"/>
          <w:szCs w:val="24"/>
        </w:rPr>
        <w:t>En sesión N° 72 de 16 de enero de 2019, la Comisión procedió a discutir sobre la constitucionalidad del proyecto.</w:t>
      </w:r>
      <w:r>
        <w:rPr>
          <w:rFonts w:ascii="Arial" w:hAnsi="Arial" w:cs="Arial"/>
          <w:sz w:val="24"/>
          <w:szCs w:val="24"/>
        </w:rPr>
        <w:t xml:space="preserve"> Finalmente se llegó a una votación </w:t>
      </w:r>
      <w:r w:rsidR="000277AE">
        <w:rPr>
          <w:rFonts w:ascii="Arial" w:hAnsi="Arial" w:cs="Arial"/>
          <w:sz w:val="24"/>
          <w:szCs w:val="24"/>
        </w:rPr>
        <w:t>en la</w:t>
      </w:r>
      <w:r>
        <w:rPr>
          <w:rFonts w:ascii="Arial" w:hAnsi="Arial" w:cs="Arial"/>
          <w:sz w:val="24"/>
          <w:szCs w:val="24"/>
        </w:rPr>
        <w:t xml:space="preserve"> cual no se reunió el quórum necesa</w:t>
      </w:r>
      <w:r w:rsidR="000277AE">
        <w:rPr>
          <w:rFonts w:ascii="Arial" w:hAnsi="Arial" w:cs="Arial"/>
          <w:sz w:val="24"/>
          <w:szCs w:val="24"/>
        </w:rPr>
        <w:t xml:space="preserve">rio </w:t>
      </w:r>
      <w:r>
        <w:rPr>
          <w:rFonts w:ascii="Arial" w:hAnsi="Arial" w:cs="Arial"/>
          <w:sz w:val="24"/>
          <w:szCs w:val="24"/>
        </w:rPr>
        <w:t>para adoptar un acuerdo.</w:t>
      </w:r>
      <w:r w:rsidR="000277AE">
        <w:rPr>
          <w:rFonts w:ascii="Arial" w:hAnsi="Arial" w:cs="Arial"/>
          <w:sz w:val="24"/>
          <w:szCs w:val="24"/>
        </w:rPr>
        <w:t xml:space="preserve"> Trabándose una discusión acerca de la aplicabilidad del criterio de entenderse o no rechazada la proposición en este caso particular.</w:t>
      </w:r>
    </w:p>
    <w:p w:rsidR="000277AE" w:rsidRDefault="000277AE" w:rsidP="00C31EF9">
      <w:pPr>
        <w:tabs>
          <w:tab w:val="left" w:pos="0"/>
        </w:tabs>
        <w:ind w:right="4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En s</w:t>
      </w:r>
      <w:r w:rsidRPr="000277AE">
        <w:rPr>
          <w:rFonts w:ascii="Arial" w:hAnsi="Arial" w:cs="Arial"/>
          <w:sz w:val="24"/>
          <w:szCs w:val="24"/>
        </w:rPr>
        <w:t>esi</w:t>
      </w:r>
      <w:r>
        <w:rPr>
          <w:rFonts w:ascii="Arial" w:hAnsi="Arial" w:cs="Arial"/>
          <w:sz w:val="24"/>
          <w:szCs w:val="24"/>
        </w:rPr>
        <w:t>ón N° 74 de 22 de enero de 2019 se continuó la discusión sobre los efectos de la votación en este caso en particular, planteándose las siguientes consideraciones:</w:t>
      </w:r>
    </w:p>
    <w:p w:rsidR="000277AE" w:rsidRDefault="000277AE" w:rsidP="00C31EF9">
      <w:pPr>
        <w:tabs>
          <w:tab w:val="left" w:pos="0"/>
        </w:tabs>
        <w:ind w:right="4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6223F">
        <w:rPr>
          <w:rFonts w:ascii="Arial" w:hAnsi="Arial" w:cs="Arial"/>
          <w:sz w:val="24"/>
          <w:szCs w:val="24"/>
        </w:rPr>
        <w:t>Corresponde a la Mesa de la C</w:t>
      </w:r>
      <w:r w:rsidR="00F76A51">
        <w:rPr>
          <w:rFonts w:ascii="Arial" w:hAnsi="Arial" w:cs="Arial"/>
          <w:sz w:val="24"/>
          <w:szCs w:val="24"/>
        </w:rPr>
        <w:t xml:space="preserve">orporación la facultad de declarar la inadmisibilidad de un proyecto de ley que vulnere la Constitución Política de la República, en su defecto </w:t>
      </w:r>
      <w:r w:rsidR="00757E0B">
        <w:rPr>
          <w:rFonts w:ascii="Arial" w:hAnsi="Arial" w:cs="Arial"/>
          <w:sz w:val="24"/>
          <w:szCs w:val="24"/>
        </w:rPr>
        <w:t>a la Sala de la C</w:t>
      </w:r>
      <w:r w:rsidR="00F76A51">
        <w:rPr>
          <w:rFonts w:ascii="Arial" w:hAnsi="Arial" w:cs="Arial"/>
          <w:sz w:val="24"/>
          <w:szCs w:val="24"/>
        </w:rPr>
        <w:t xml:space="preserve">orporación o a la Comisión </w:t>
      </w:r>
      <w:r w:rsidR="002F778E">
        <w:rPr>
          <w:rFonts w:ascii="Arial" w:hAnsi="Arial" w:cs="Arial"/>
          <w:sz w:val="24"/>
          <w:szCs w:val="24"/>
        </w:rPr>
        <w:t xml:space="preserve">Técnica a la cual se ha derivado </w:t>
      </w:r>
      <w:r w:rsidR="00F76A51">
        <w:rPr>
          <w:rFonts w:ascii="Arial" w:hAnsi="Arial" w:cs="Arial"/>
          <w:sz w:val="24"/>
          <w:szCs w:val="24"/>
        </w:rPr>
        <w:t>el respectivo proyecto de ley</w:t>
      </w:r>
      <w:r w:rsidR="002F778E">
        <w:rPr>
          <w:rFonts w:ascii="Arial" w:hAnsi="Arial" w:cs="Arial"/>
          <w:sz w:val="24"/>
          <w:szCs w:val="24"/>
        </w:rPr>
        <w:t xml:space="preserve"> para su informe</w:t>
      </w:r>
      <w:r w:rsidR="00F76A51">
        <w:rPr>
          <w:rFonts w:ascii="Arial" w:hAnsi="Arial" w:cs="Arial"/>
          <w:sz w:val="24"/>
          <w:szCs w:val="24"/>
        </w:rPr>
        <w:t xml:space="preserve">. Lo anterior concordando los dispuesto en el artículo </w:t>
      </w:r>
      <w:r w:rsidR="001C2DE4">
        <w:rPr>
          <w:rFonts w:ascii="Arial" w:hAnsi="Arial" w:cs="Arial"/>
          <w:sz w:val="24"/>
          <w:szCs w:val="24"/>
        </w:rPr>
        <w:t>15 d</w:t>
      </w:r>
      <w:r w:rsidR="00757E0B">
        <w:rPr>
          <w:rFonts w:ascii="Arial" w:hAnsi="Arial" w:cs="Arial"/>
          <w:sz w:val="24"/>
          <w:szCs w:val="24"/>
        </w:rPr>
        <w:t>e la ley N° 18.918, Orgánica Constitucional del Congreso Naci</w:t>
      </w:r>
      <w:r w:rsidR="005D431C">
        <w:rPr>
          <w:rFonts w:ascii="Arial" w:hAnsi="Arial" w:cs="Arial"/>
          <w:sz w:val="24"/>
          <w:szCs w:val="24"/>
        </w:rPr>
        <w:t>onal, con el artículo 6° de la C</w:t>
      </w:r>
      <w:r w:rsidR="00757E0B">
        <w:rPr>
          <w:rFonts w:ascii="Arial" w:hAnsi="Arial" w:cs="Arial"/>
          <w:sz w:val="24"/>
          <w:szCs w:val="24"/>
        </w:rPr>
        <w:t>arta Fundamental, la cual establece que los órganos del Estado deben someter  su acción a la Constitución  y a las normas dictadas conforme a ella.</w:t>
      </w:r>
    </w:p>
    <w:p w:rsidR="000A66FA" w:rsidRDefault="000A66FA" w:rsidP="00C31EF9">
      <w:pPr>
        <w:tabs>
          <w:tab w:val="left" w:pos="0"/>
        </w:tabs>
        <w:ind w:right="4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Que los proyectos </w:t>
      </w:r>
      <w:r w:rsidR="005A45AD">
        <w:rPr>
          <w:rFonts w:ascii="Arial" w:hAnsi="Arial" w:cs="Arial"/>
          <w:sz w:val="24"/>
          <w:szCs w:val="24"/>
        </w:rPr>
        <w:t xml:space="preserve">de ley </w:t>
      </w:r>
      <w:r>
        <w:rPr>
          <w:rFonts w:ascii="Arial" w:hAnsi="Arial" w:cs="Arial"/>
          <w:sz w:val="24"/>
          <w:szCs w:val="24"/>
        </w:rPr>
        <w:t xml:space="preserve">refundidos no fueron objeto de una declaración de inadmisibilidad </w:t>
      </w:r>
      <w:r w:rsidR="005A45AD">
        <w:rPr>
          <w:rFonts w:ascii="Arial" w:hAnsi="Arial" w:cs="Arial"/>
          <w:sz w:val="24"/>
          <w:szCs w:val="24"/>
        </w:rPr>
        <w:t xml:space="preserve">por inconstitucionalidad </w:t>
      </w:r>
      <w:r>
        <w:rPr>
          <w:rFonts w:ascii="Arial" w:hAnsi="Arial" w:cs="Arial"/>
          <w:sz w:val="24"/>
          <w:szCs w:val="24"/>
        </w:rPr>
        <w:t>ni por la Mesa de la Corporación, ni por la Sala de la misma</w:t>
      </w:r>
      <w:r w:rsidR="005D431C">
        <w:rPr>
          <w:rFonts w:ascii="Arial" w:hAnsi="Arial" w:cs="Arial"/>
          <w:sz w:val="24"/>
          <w:szCs w:val="24"/>
        </w:rPr>
        <w:t xml:space="preserve">, ni por la Comisión Técnica que abordó </w:t>
      </w:r>
      <w:r w:rsidR="005A45AD">
        <w:rPr>
          <w:rFonts w:ascii="Arial" w:hAnsi="Arial" w:cs="Arial"/>
          <w:sz w:val="24"/>
          <w:szCs w:val="24"/>
        </w:rPr>
        <w:t xml:space="preserve">los </w:t>
      </w:r>
      <w:r w:rsidR="005D431C">
        <w:rPr>
          <w:rFonts w:ascii="Arial" w:hAnsi="Arial" w:cs="Arial"/>
          <w:sz w:val="24"/>
          <w:szCs w:val="24"/>
        </w:rPr>
        <w:t>proyecto</w:t>
      </w:r>
      <w:r w:rsidR="005A45AD">
        <w:rPr>
          <w:rFonts w:ascii="Arial" w:hAnsi="Arial" w:cs="Arial"/>
          <w:sz w:val="24"/>
          <w:szCs w:val="24"/>
        </w:rPr>
        <w:t>s</w:t>
      </w:r>
      <w:r w:rsidR="005D431C">
        <w:rPr>
          <w:rFonts w:ascii="Arial" w:hAnsi="Arial" w:cs="Arial"/>
          <w:sz w:val="24"/>
          <w:szCs w:val="24"/>
        </w:rPr>
        <w:t xml:space="preserve"> por mandato de la Sala. Siendo estas las instancias que la Ley Orgánica establece para declarar la inadmisibilidad de un proyecto de ley.</w:t>
      </w:r>
    </w:p>
    <w:p w:rsidR="005D431C" w:rsidRDefault="005D431C" w:rsidP="00C31EF9">
      <w:pPr>
        <w:tabs>
          <w:tab w:val="left" w:pos="0"/>
        </w:tabs>
        <w:ind w:right="4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Que los Comités Parlamentarios encargaron a la Comisión de Constitución, Legislación,  Justicia y Reglamento que emitiera un dictamen sobre la constitucionalidad de los proyectos refundidos en cuestión.</w:t>
      </w:r>
    </w:p>
    <w:p w:rsidR="005D431C" w:rsidRDefault="005D431C" w:rsidP="00C31EF9">
      <w:pPr>
        <w:tabs>
          <w:tab w:val="left" w:pos="0"/>
        </w:tabs>
        <w:ind w:right="4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Que un dictamen conforme con la Real Academia de a Lengua Española, es “una o</w:t>
      </w:r>
      <w:r w:rsidRPr="005D431C">
        <w:rPr>
          <w:rFonts w:ascii="Arial" w:hAnsi="Arial" w:cs="Arial"/>
          <w:sz w:val="24"/>
          <w:szCs w:val="24"/>
        </w:rPr>
        <w:t>pinión y juicio que se forma o emite sobre algo</w:t>
      </w:r>
      <w:r>
        <w:rPr>
          <w:rFonts w:ascii="Arial" w:hAnsi="Arial" w:cs="Arial"/>
          <w:sz w:val="24"/>
          <w:szCs w:val="24"/>
        </w:rPr>
        <w:t xml:space="preserve">”. Esto implica que si se solicita a un ente colegiado que entregue una opinión o juicio sobre un punto, ésta debe ser fundada, fruto del respectivo debate interno, y </w:t>
      </w:r>
      <w:r>
        <w:rPr>
          <w:rFonts w:ascii="Arial" w:hAnsi="Arial" w:cs="Arial"/>
          <w:sz w:val="24"/>
          <w:szCs w:val="24"/>
        </w:rPr>
        <w:lastRenderedPageBreak/>
        <w:t>adoptada por la mayoría de los integrantes de ese ente col</w:t>
      </w:r>
      <w:r w:rsidR="00044033">
        <w:rPr>
          <w:rFonts w:ascii="Arial" w:hAnsi="Arial" w:cs="Arial"/>
          <w:sz w:val="24"/>
          <w:szCs w:val="24"/>
        </w:rPr>
        <w:t xml:space="preserve">egiado sin perjuicio de consignarse los votos u opiniones de minoría. </w:t>
      </w:r>
    </w:p>
    <w:p w:rsidR="00044033" w:rsidRDefault="00044033" w:rsidP="00C31EF9">
      <w:pPr>
        <w:tabs>
          <w:tab w:val="left" w:pos="0"/>
        </w:tabs>
        <w:ind w:right="4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El que se le encomiende a esta Comisión el pronunciarse sobre la Constitucionalidad de un proyecto de ley ent</w:t>
      </w:r>
      <w:r w:rsidR="006C07A4">
        <w:rPr>
          <w:rFonts w:ascii="Arial" w:hAnsi="Arial" w:cs="Arial"/>
          <w:sz w:val="24"/>
          <w:szCs w:val="24"/>
        </w:rPr>
        <w:t>ra en pugna con la norma de la Ley O</w:t>
      </w:r>
      <w:r>
        <w:rPr>
          <w:rFonts w:ascii="Arial" w:hAnsi="Arial" w:cs="Arial"/>
          <w:sz w:val="24"/>
          <w:szCs w:val="24"/>
        </w:rPr>
        <w:t>rgánica</w:t>
      </w:r>
      <w:r w:rsidR="006C07A4">
        <w:rPr>
          <w:rFonts w:ascii="Arial" w:hAnsi="Arial" w:cs="Arial"/>
          <w:sz w:val="24"/>
          <w:szCs w:val="24"/>
        </w:rPr>
        <w:t xml:space="preserve"> Constitucional del Congreso Nacional </w:t>
      </w:r>
      <w:r>
        <w:rPr>
          <w:rFonts w:ascii="Arial" w:hAnsi="Arial" w:cs="Arial"/>
          <w:sz w:val="24"/>
          <w:szCs w:val="24"/>
        </w:rPr>
        <w:t xml:space="preserve"> (artículo 15) conco</w:t>
      </w:r>
      <w:r w:rsidR="006C07A4">
        <w:rPr>
          <w:rFonts w:ascii="Arial" w:hAnsi="Arial" w:cs="Arial"/>
          <w:sz w:val="24"/>
          <w:szCs w:val="24"/>
        </w:rPr>
        <w:t>rdada con el artículo 6° de la C</w:t>
      </w:r>
      <w:r>
        <w:rPr>
          <w:rFonts w:ascii="Arial" w:hAnsi="Arial" w:cs="Arial"/>
          <w:sz w:val="24"/>
          <w:szCs w:val="24"/>
        </w:rPr>
        <w:t>arta Fundamental, que faculta a la M</w:t>
      </w:r>
      <w:r w:rsidR="002F778E">
        <w:rPr>
          <w:rFonts w:ascii="Arial" w:hAnsi="Arial" w:cs="Arial"/>
          <w:sz w:val="24"/>
          <w:szCs w:val="24"/>
        </w:rPr>
        <w:t>esa, a la Sala o a la Comisión T</w:t>
      </w:r>
      <w:r>
        <w:rPr>
          <w:rFonts w:ascii="Arial" w:hAnsi="Arial" w:cs="Arial"/>
          <w:sz w:val="24"/>
          <w:szCs w:val="24"/>
        </w:rPr>
        <w:t xml:space="preserve">écnica, en su caso, </w:t>
      </w:r>
      <w:r w:rsidR="006C07A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pronunciarse sobre este punto.</w:t>
      </w:r>
      <w:r w:rsidR="002F778E">
        <w:rPr>
          <w:rFonts w:ascii="Arial" w:hAnsi="Arial" w:cs="Arial"/>
          <w:sz w:val="24"/>
          <w:szCs w:val="24"/>
        </w:rPr>
        <w:t xml:space="preserve"> Ninguna</w:t>
      </w:r>
      <w:r w:rsidR="009C7F26">
        <w:rPr>
          <w:rFonts w:ascii="Arial" w:hAnsi="Arial" w:cs="Arial"/>
          <w:sz w:val="24"/>
          <w:szCs w:val="24"/>
        </w:rPr>
        <w:t xml:space="preserve"> de estas instancias declaró tal inadmisibilidad</w:t>
      </w:r>
      <w:r w:rsidR="006C07A4">
        <w:rPr>
          <w:rFonts w:ascii="Arial" w:hAnsi="Arial" w:cs="Arial"/>
          <w:sz w:val="24"/>
          <w:szCs w:val="24"/>
        </w:rPr>
        <w:t xml:space="preserve"> por </w:t>
      </w:r>
      <w:r w:rsidR="00806FF8">
        <w:rPr>
          <w:rFonts w:ascii="Arial" w:hAnsi="Arial" w:cs="Arial"/>
          <w:sz w:val="24"/>
          <w:szCs w:val="24"/>
        </w:rPr>
        <w:t>inconstitucionalidad</w:t>
      </w:r>
      <w:r w:rsidR="009C7F26">
        <w:rPr>
          <w:rFonts w:ascii="Arial" w:hAnsi="Arial" w:cs="Arial"/>
          <w:sz w:val="24"/>
          <w:szCs w:val="24"/>
        </w:rPr>
        <w:t>, de manera que si esta Comisión hubiese declarado inconstitucional los proyectos refundidos en cuestión, se hubiese producido un conflicto evidente con todas la</w:t>
      </w:r>
      <w:r w:rsidR="006C07A4">
        <w:rPr>
          <w:rFonts w:ascii="Arial" w:hAnsi="Arial" w:cs="Arial"/>
          <w:sz w:val="24"/>
          <w:szCs w:val="24"/>
        </w:rPr>
        <w:t>s instancias facultadas por la l</w:t>
      </w:r>
      <w:r w:rsidR="002F778E">
        <w:rPr>
          <w:rFonts w:ascii="Arial" w:hAnsi="Arial" w:cs="Arial"/>
          <w:sz w:val="24"/>
          <w:szCs w:val="24"/>
        </w:rPr>
        <w:t xml:space="preserve">ey N° 18.918 </w:t>
      </w:r>
      <w:r w:rsidR="009C7F26">
        <w:rPr>
          <w:rFonts w:ascii="Arial" w:hAnsi="Arial" w:cs="Arial"/>
          <w:sz w:val="24"/>
          <w:szCs w:val="24"/>
        </w:rPr>
        <w:t>para ello. De tal manera que un acuerdo de los Comités Parlamentarios no puede pasar por sobre las disposiciones contempladas en la Ley Orgánica Constitucional y en la Carta Fundamental concordadas, que establecen prec</w:t>
      </w:r>
      <w:r w:rsidR="006C07A4">
        <w:rPr>
          <w:rFonts w:ascii="Arial" w:hAnsi="Arial" w:cs="Arial"/>
          <w:sz w:val="24"/>
          <w:szCs w:val="24"/>
        </w:rPr>
        <w:t>isamente las entidades facultada</w:t>
      </w:r>
      <w:r w:rsidR="009C7F26">
        <w:rPr>
          <w:rFonts w:ascii="Arial" w:hAnsi="Arial" w:cs="Arial"/>
          <w:sz w:val="24"/>
          <w:szCs w:val="24"/>
        </w:rPr>
        <w:t>s para pronunciarse sobre la inadmisibilidad por inconstitucionalidad de un proyecto de ley.</w:t>
      </w:r>
    </w:p>
    <w:p w:rsidR="00B47D60" w:rsidRDefault="00044033" w:rsidP="00C31EF9">
      <w:pPr>
        <w:tabs>
          <w:tab w:val="left" w:pos="0"/>
        </w:tabs>
        <w:ind w:right="4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="009C7F26">
        <w:rPr>
          <w:rFonts w:ascii="Arial" w:hAnsi="Arial" w:cs="Arial"/>
          <w:sz w:val="24"/>
          <w:szCs w:val="24"/>
        </w:rPr>
        <w:t>Que además tal acuerdo de los Comités Parlamentarios también colisiona con otra norma de la Carta Fundamental. En efecto, el artículo 93 N° 3 de la misma, se refiere a la facultad que tienen las Cámaras</w:t>
      </w:r>
      <w:r w:rsidR="00B47D60">
        <w:rPr>
          <w:rFonts w:ascii="Arial" w:hAnsi="Arial" w:cs="Arial"/>
          <w:sz w:val="24"/>
          <w:szCs w:val="24"/>
        </w:rPr>
        <w:t xml:space="preserve"> o una cuarta parte de sus miembros en ejercicio, para que durante la tramitación de un proyecto de ley, puedan formular un requerimiento ante el Tribuna</w:t>
      </w:r>
      <w:r w:rsidR="00806FF8">
        <w:rPr>
          <w:rFonts w:ascii="Arial" w:hAnsi="Arial" w:cs="Arial"/>
          <w:sz w:val="24"/>
          <w:szCs w:val="24"/>
        </w:rPr>
        <w:t>l Constitucional, para que é</w:t>
      </w:r>
      <w:r w:rsidR="00B47D60">
        <w:rPr>
          <w:rFonts w:ascii="Arial" w:hAnsi="Arial" w:cs="Arial"/>
          <w:sz w:val="24"/>
          <w:szCs w:val="24"/>
        </w:rPr>
        <w:t xml:space="preserve">ste se pronuncie respecto a la constitucionalidad de un proyecto de ley o de algunos de los preceptos que éste contenga. </w:t>
      </w:r>
    </w:p>
    <w:p w:rsidR="00044033" w:rsidRDefault="0096135C" w:rsidP="00C31EF9">
      <w:pPr>
        <w:tabs>
          <w:tab w:val="left" w:pos="0"/>
        </w:tabs>
        <w:ind w:right="4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="00B47D60">
        <w:rPr>
          <w:rFonts w:ascii="Arial" w:hAnsi="Arial" w:cs="Arial"/>
          <w:sz w:val="24"/>
          <w:szCs w:val="24"/>
        </w:rPr>
        <w:t xml:space="preserve">De esta manera, el acuerdo de los Comités Parlamentarios lo  que hace es </w:t>
      </w:r>
      <w:r w:rsidR="002F778E">
        <w:rPr>
          <w:rFonts w:ascii="Arial" w:hAnsi="Arial" w:cs="Arial"/>
          <w:sz w:val="24"/>
          <w:szCs w:val="24"/>
        </w:rPr>
        <w:t>introducir el</w:t>
      </w:r>
      <w:r w:rsidR="00B47D60">
        <w:rPr>
          <w:rFonts w:ascii="Arial" w:hAnsi="Arial" w:cs="Arial"/>
          <w:sz w:val="24"/>
          <w:szCs w:val="24"/>
        </w:rPr>
        <w:t xml:space="preserve"> debate de un tema que no fue planteado por la Mesa, ni por la Sala ni por la Comisión Técnica, </w:t>
      </w:r>
      <w:r w:rsidR="002F778E">
        <w:rPr>
          <w:rFonts w:ascii="Arial" w:hAnsi="Arial" w:cs="Arial"/>
          <w:sz w:val="24"/>
          <w:szCs w:val="24"/>
        </w:rPr>
        <w:t>que están facultadas para resolver el punto de la constitucionalidad de un proyecto de ley</w:t>
      </w:r>
      <w:r w:rsidR="00806FF8">
        <w:rPr>
          <w:rFonts w:ascii="Arial" w:hAnsi="Arial" w:cs="Arial"/>
          <w:sz w:val="24"/>
          <w:szCs w:val="24"/>
        </w:rPr>
        <w:t xml:space="preserve"> vía inadmisiblidad</w:t>
      </w:r>
      <w:r w:rsidR="002F778E">
        <w:rPr>
          <w:rFonts w:ascii="Arial" w:hAnsi="Arial" w:cs="Arial"/>
          <w:sz w:val="24"/>
          <w:szCs w:val="24"/>
        </w:rPr>
        <w:t xml:space="preserve">, </w:t>
      </w:r>
      <w:r w:rsidR="00B47D60">
        <w:rPr>
          <w:rFonts w:ascii="Arial" w:hAnsi="Arial" w:cs="Arial"/>
          <w:sz w:val="24"/>
          <w:szCs w:val="24"/>
        </w:rPr>
        <w:t>como tampoco por los parlamentarios</w:t>
      </w:r>
      <w:r w:rsidR="002F778E">
        <w:rPr>
          <w:rFonts w:ascii="Arial" w:hAnsi="Arial" w:cs="Arial"/>
          <w:sz w:val="24"/>
          <w:szCs w:val="24"/>
        </w:rPr>
        <w:t xml:space="preserve"> ante el Tribunal Constitucional, </w:t>
      </w:r>
      <w:r w:rsidR="00B47D60">
        <w:rPr>
          <w:rFonts w:ascii="Arial" w:hAnsi="Arial" w:cs="Arial"/>
          <w:sz w:val="24"/>
          <w:szCs w:val="24"/>
        </w:rPr>
        <w:t xml:space="preserve"> conforme con la norma constitucional recién citada.</w:t>
      </w:r>
    </w:p>
    <w:p w:rsidR="00B47D60" w:rsidRPr="00ED36DB" w:rsidRDefault="0096135C" w:rsidP="00C31EF9">
      <w:pPr>
        <w:tabs>
          <w:tab w:val="left" w:pos="0"/>
        </w:tabs>
        <w:ind w:right="4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B47D60">
        <w:rPr>
          <w:rFonts w:ascii="Arial" w:hAnsi="Arial" w:cs="Arial"/>
          <w:sz w:val="24"/>
          <w:szCs w:val="24"/>
        </w:rPr>
        <w:t>) Es claro</w:t>
      </w:r>
      <w:r w:rsidR="004673DD">
        <w:rPr>
          <w:rFonts w:ascii="Arial" w:hAnsi="Arial" w:cs="Arial"/>
          <w:sz w:val="24"/>
          <w:szCs w:val="24"/>
        </w:rPr>
        <w:t xml:space="preserve"> para la Comisión, </w:t>
      </w:r>
      <w:r w:rsidR="00B47D60">
        <w:rPr>
          <w:rFonts w:ascii="Arial" w:hAnsi="Arial" w:cs="Arial"/>
          <w:sz w:val="24"/>
          <w:szCs w:val="24"/>
        </w:rPr>
        <w:t>en consecuencia</w:t>
      </w:r>
      <w:r w:rsidR="004673DD">
        <w:rPr>
          <w:rFonts w:ascii="Arial" w:hAnsi="Arial" w:cs="Arial"/>
          <w:sz w:val="24"/>
          <w:szCs w:val="24"/>
        </w:rPr>
        <w:t xml:space="preserve">, </w:t>
      </w:r>
      <w:r w:rsidR="00B47D60">
        <w:rPr>
          <w:rFonts w:ascii="Arial" w:hAnsi="Arial" w:cs="Arial"/>
          <w:sz w:val="24"/>
          <w:szCs w:val="24"/>
        </w:rPr>
        <w:t xml:space="preserve"> que existen canales definidos por la Ley Orgánica</w:t>
      </w:r>
      <w:r w:rsidR="00806FF8">
        <w:rPr>
          <w:rFonts w:ascii="Arial" w:hAnsi="Arial" w:cs="Arial"/>
          <w:sz w:val="24"/>
          <w:szCs w:val="24"/>
        </w:rPr>
        <w:t xml:space="preserve"> Constitucional </w:t>
      </w:r>
      <w:r w:rsidR="00806FF8">
        <w:rPr>
          <w:rFonts w:ascii="Arial" w:hAnsi="Arial" w:cs="Arial"/>
          <w:sz w:val="24"/>
          <w:szCs w:val="24"/>
        </w:rPr>
        <w:lastRenderedPageBreak/>
        <w:t xml:space="preserve">del Congreso Nacional </w:t>
      </w:r>
      <w:r w:rsidR="00B47D60">
        <w:rPr>
          <w:rFonts w:ascii="Arial" w:hAnsi="Arial" w:cs="Arial"/>
          <w:sz w:val="24"/>
          <w:szCs w:val="24"/>
        </w:rPr>
        <w:t xml:space="preserve"> y la C</w:t>
      </w:r>
      <w:r w:rsidR="004673DD">
        <w:rPr>
          <w:rFonts w:ascii="Arial" w:hAnsi="Arial" w:cs="Arial"/>
          <w:sz w:val="24"/>
          <w:szCs w:val="24"/>
        </w:rPr>
        <w:t>arta Fundamental para debatir , votar y</w:t>
      </w:r>
      <w:r w:rsidR="00B47D60">
        <w:rPr>
          <w:rFonts w:ascii="Arial" w:hAnsi="Arial" w:cs="Arial"/>
          <w:sz w:val="24"/>
          <w:szCs w:val="24"/>
        </w:rPr>
        <w:t xml:space="preserve"> resolver acerca de la constitucionalidad de un proyecto de ley, y en consecuencia la creación de esta instancia de   llevar el tema a la Comisión de Constitución, Legislación, Justicia y Reglamento, para que dictamine sobre la constitucionalidad de un proyecto de ley</w:t>
      </w:r>
      <w:r>
        <w:rPr>
          <w:rFonts w:ascii="Arial" w:hAnsi="Arial" w:cs="Arial"/>
          <w:sz w:val="24"/>
          <w:szCs w:val="24"/>
        </w:rPr>
        <w:t>,</w:t>
      </w:r>
      <w:r w:rsidR="00B47D60">
        <w:rPr>
          <w:rFonts w:ascii="Arial" w:hAnsi="Arial" w:cs="Arial"/>
          <w:sz w:val="24"/>
          <w:szCs w:val="24"/>
        </w:rPr>
        <w:t xml:space="preserve"> entra en pugna con todas las normas antes señaladas y entorpece el proceso de formación de la ley</w:t>
      </w:r>
      <w:r>
        <w:rPr>
          <w:rFonts w:ascii="Arial" w:hAnsi="Arial" w:cs="Arial"/>
          <w:sz w:val="24"/>
          <w:szCs w:val="24"/>
        </w:rPr>
        <w:t>, cuyo flujo está claramente establecido por la Carta Fundamental y la Ley Orgánica Constitucional respectiva.</w:t>
      </w:r>
    </w:p>
    <w:p w:rsidR="00ED36DB" w:rsidRPr="00ED36DB" w:rsidRDefault="00ED36DB" w:rsidP="00C31EF9">
      <w:pPr>
        <w:tabs>
          <w:tab w:val="left" w:pos="2520"/>
        </w:tabs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3224DA" w:rsidRDefault="003224DA" w:rsidP="00C31EF9">
      <w:pPr>
        <w:tabs>
          <w:tab w:val="left" w:pos="2520"/>
        </w:tabs>
        <w:spacing w:after="0"/>
        <w:ind w:firstLine="85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224DA" w:rsidRPr="003224DA" w:rsidRDefault="003224DA" w:rsidP="00C31EF9">
      <w:pPr>
        <w:tabs>
          <w:tab w:val="left" w:pos="2520"/>
        </w:tabs>
        <w:spacing w:after="0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3224DA">
        <w:rPr>
          <w:rFonts w:ascii="Arial" w:hAnsi="Arial" w:cs="Arial"/>
          <w:b/>
          <w:bCs/>
          <w:sz w:val="24"/>
          <w:szCs w:val="24"/>
        </w:rPr>
        <w:t>CONCLUSIÓN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1203D2" w:rsidRDefault="001203D2" w:rsidP="00C31EF9">
      <w:pPr>
        <w:tabs>
          <w:tab w:val="left" w:pos="2520"/>
        </w:tabs>
        <w:spacing w:after="0"/>
        <w:ind w:firstLine="85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31EF9" w:rsidRDefault="00C31EF9" w:rsidP="00C31EF9">
      <w:pPr>
        <w:tabs>
          <w:tab w:val="left" w:pos="2520"/>
        </w:tabs>
        <w:spacing w:after="0"/>
        <w:ind w:firstLine="85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E3D60" w:rsidRPr="006C07A4" w:rsidRDefault="006C07A4" w:rsidP="00C31EF9">
      <w:pPr>
        <w:tabs>
          <w:tab w:val="left" w:pos="2520"/>
        </w:tabs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6C07A4">
        <w:rPr>
          <w:rFonts w:ascii="Arial" w:hAnsi="Arial" w:cs="Arial"/>
          <w:bCs/>
          <w:sz w:val="24"/>
          <w:szCs w:val="24"/>
        </w:rPr>
        <w:t>La Comisión de</w:t>
      </w:r>
      <w:r>
        <w:rPr>
          <w:rFonts w:ascii="Arial" w:hAnsi="Arial" w:cs="Arial"/>
          <w:bCs/>
          <w:sz w:val="24"/>
          <w:szCs w:val="24"/>
        </w:rPr>
        <w:t xml:space="preserve"> Constitución, Legislación, Justicia y Reglamento por la unanimidad de sus miembros presentes, </w:t>
      </w:r>
      <w:r w:rsidR="00806FF8">
        <w:rPr>
          <w:rFonts w:ascii="Arial" w:hAnsi="Arial" w:cs="Arial"/>
          <w:bCs/>
          <w:sz w:val="24"/>
          <w:szCs w:val="24"/>
        </w:rPr>
        <w:t xml:space="preserve">en sesión de fecha 22 de enero de 2019, </w:t>
      </w:r>
      <w:r>
        <w:rPr>
          <w:rFonts w:ascii="Arial" w:hAnsi="Arial" w:cs="Arial"/>
          <w:bCs/>
          <w:sz w:val="24"/>
          <w:szCs w:val="24"/>
        </w:rPr>
        <w:t>acordó que no corresponde que esta Comisión se pronuncie sobre la constitucionalidad o inconstitucionalidad de un proyecto de ley ya informado por la respectiva Comisión Técnica, por cuanto de conformidad con los artículos 6</w:t>
      </w:r>
      <w:r w:rsidR="00FA22AE">
        <w:rPr>
          <w:rFonts w:ascii="Arial" w:hAnsi="Arial" w:cs="Arial"/>
          <w:bCs/>
          <w:sz w:val="24"/>
          <w:szCs w:val="24"/>
        </w:rPr>
        <w:t>°</w:t>
      </w:r>
      <w:r>
        <w:rPr>
          <w:rFonts w:ascii="Arial" w:hAnsi="Arial" w:cs="Arial"/>
          <w:bCs/>
          <w:sz w:val="24"/>
          <w:szCs w:val="24"/>
        </w:rPr>
        <w:t xml:space="preserve"> y 93 N° 3  de la Carta Fundamental, y el artículo 15 de la Ley Orgánica Constitucional del Congre</w:t>
      </w:r>
      <w:r w:rsidR="00FA22AE">
        <w:rPr>
          <w:rFonts w:ascii="Arial" w:hAnsi="Arial" w:cs="Arial"/>
          <w:bCs/>
          <w:sz w:val="24"/>
          <w:szCs w:val="24"/>
        </w:rPr>
        <w:t>so Nacional , corresponde a la Mesa de la Corporación, la Sala de la misma o la Comisión T</w:t>
      </w:r>
      <w:r>
        <w:rPr>
          <w:rFonts w:ascii="Arial" w:hAnsi="Arial" w:cs="Arial"/>
          <w:bCs/>
          <w:sz w:val="24"/>
          <w:szCs w:val="24"/>
        </w:rPr>
        <w:t>écnica encargada de informar un proyecto, o finalmente al propio Tribunal Constitucional</w:t>
      </w:r>
      <w:r w:rsidR="00FA22A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pronunciarse sobre si un proyecto de ley se ajusta o no a la</w:t>
      </w:r>
      <w:r w:rsidR="00FA22AE">
        <w:rPr>
          <w:rFonts w:ascii="Arial" w:hAnsi="Arial" w:cs="Arial"/>
          <w:bCs/>
          <w:sz w:val="24"/>
          <w:szCs w:val="24"/>
        </w:rPr>
        <w:t xml:space="preserve"> carta Fundamental . C</w:t>
      </w:r>
      <w:r>
        <w:rPr>
          <w:rFonts w:ascii="Arial" w:hAnsi="Arial" w:cs="Arial"/>
          <w:bCs/>
          <w:sz w:val="24"/>
          <w:szCs w:val="24"/>
        </w:rPr>
        <w:t>oncluyendo que no corresponde que se pase por sobre las normas antes citadas creando un trámite no previsto ni a nivel constitucional ni legal, cual es remitir un proyect</w:t>
      </w:r>
      <w:r w:rsidR="004673DD">
        <w:rPr>
          <w:rFonts w:ascii="Arial" w:hAnsi="Arial" w:cs="Arial"/>
          <w:bCs/>
          <w:sz w:val="24"/>
          <w:szCs w:val="24"/>
        </w:rPr>
        <w:t>o ya informado por la Comisión T</w:t>
      </w:r>
      <w:r>
        <w:rPr>
          <w:rFonts w:ascii="Arial" w:hAnsi="Arial" w:cs="Arial"/>
          <w:bCs/>
          <w:sz w:val="24"/>
          <w:szCs w:val="24"/>
        </w:rPr>
        <w:t xml:space="preserve">écnica, para que otra Comisión se pronuncie sobre la constitucionalidad o inconstitucionalidad del proyecto </w:t>
      </w:r>
      <w:r w:rsidR="00806FF8">
        <w:rPr>
          <w:rFonts w:ascii="Arial" w:hAnsi="Arial" w:cs="Arial"/>
          <w:bCs/>
          <w:sz w:val="24"/>
          <w:szCs w:val="24"/>
        </w:rPr>
        <w:t xml:space="preserve">ya </w:t>
      </w:r>
      <w:r>
        <w:rPr>
          <w:rFonts w:ascii="Arial" w:hAnsi="Arial" w:cs="Arial"/>
          <w:bCs/>
          <w:sz w:val="24"/>
          <w:szCs w:val="24"/>
        </w:rPr>
        <w:t>informado por la anterior.</w:t>
      </w:r>
    </w:p>
    <w:p w:rsidR="005E3D60" w:rsidRDefault="005E3D60" w:rsidP="00C31EF9">
      <w:pPr>
        <w:tabs>
          <w:tab w:val="left" w:pos="2520"/>
        </w:tabs>
        <w:spacing w:after="0"/>
        <w:ind w:firstLine="85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E3D60" w:rsidRDefault="005E3D60" w:rsidP="008434BB">
      <w:pPr>
        <w:tabs>
          <w:tab w:val="left" w:pos="2520"/>
        </w:tabs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E3D60" w:rsidRDefault="005E3D60" w:rsidP="008434BB">
      <w:pPr>
        <w:tabs>
          <w:tab w:val="left" w:pos="2520"/>
        </w:tabs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22AE" w:rsidRDefault="00FA22AE" w:rsidP="008434BB">
      <w:pPr>
        <w:tabs>
          <w:tab w:val="left" w:pos="2520"/>
        </w:tabs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31EF9" w:rsidRDefault="00C31EF9" w:rsidP="008434BB">
      <w:pPr>
        <w:tabs>
          <w:tab w:val="left" w:pos="2520"/>
        </w:tabs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A45AD" w:rsidRPr="005A45AD" w:rsidRDefault="005A45AD" w:rsidP="005A45AD">
      <w:pPr>
        <w:tabs>
          <w:tab w:val="left" w:pos="2552"/>
        </w:tabs>
        <w:spacing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la Comisión, a   22 de enero</w:t>
      </w:r>
      <w:r w:rsidRPr="005A45AD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9</w:t>
      </w:r>
      <w:r w:rsidRPr="005A45AD">
        <w:rPr>
          <w:rFonts w:ascii="Arial" w:hAnsi="Arial" w:cs="Arial"/>
          <w:sz w:val="24"/>
          <w:szCs w:val="24"/>
        </w:rPr>
        <w:t>.</w:t>
      </w:r>
    </w:p>
    <w:p w:rsidR="00C31EF9" w:rsidRDefault="00C31EF9" w:rsidP="008434BB">
      <w:pPr>
        <w:tabs>
          <w:tab w:val="left" w:pos="2520"/>
        </w:tabs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31EF9" w:rsidRDefault="00C31EF9" w:rsidP="008434BB">
      <w:pPr>
        <w:tabs>
          <w:tab w:val="left" w:pos="2520"/>
        </w:tabs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A45AD" w:rsidRDefault="005A45AD" w:rsidP="008434BB">
      <w:pPr>
        <w:tabs>
          <w:tab w:val="left" w:pos="2520"/>
        </w:tabs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A45AD" w:rsidRDefault="003C3C1B" w:rsidP="003C3C1B">
      <w:pPr>
        <w:tabs>
          <w:tab w:val="left" w:pos="2520"/>
        </w:tabs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C3C1B">
        <w:rPr>
          <w:rFonts w:ascii="Arial" w:hAnsi="Arial" w:cs="Arial"/>
          <w:b/>
          <w:bCs/>
          <w:noProof/>
          <w:sz w:val="24"/>
          <w:szCs w:val="24"/>
          <w:u w:val="single"/>
          <w:lang w:eastAsia="es-CL"/>
        </w:rPr>
        <w:drawing>
          <wp:inline distT="0" distB="0" distL="0" distR="0">
            <wp:extent cx="2494280" cy="1588135"/>
            <wp:effectExtent l="19050" t="0" r="1270" b="0"/>
            <wp:docPr id="2" name="Imagen 1" descr="C:\Users\ccespede\Desktop\Firma P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espede\Desktop\Firma Pato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5AD" w:rsidSect="00060416">
      <w:headerReference w:type="default" r:id="rId15"/>
      <w:pgSz w:w="12242" w:h="20163" w:code="5"/>
      <w:pgMar w:top="2835" w:right="1701" w:bottom="34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84" w:rsidRDefault="00D80184" w:rsidP="00FB1FAF">
      <w:pPr>
        <w:spacing w:after="0" w:line="240" w:lineRule="auto"/>
      </w:pPr>
      <w:r>
        <w:separator/>
      </w:r>
    </w:p>
  </w:endnote>
  <w:endnote w:type="continuationSeparator" w:id="0">
    <w:p w:rsidR="00D80184" w:rsidRDefault="00D80184" w:rsidP="00FB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84" w:rsidRDefault="00D80184" w:rsidP="00FB1FAF">
      <w:pPr>
        <w:spacing w:after="0" w:line="240" w:lineRule="auto"/>
      </w:pPr>
      <w:r>
        <w:separator/>
      </w:r>
    </w:p>
  </w:footnote>
  <w:footnote w:type="continuationSeparator" w:id="0">
    <w:p w:rsidR="00D80184" w:rsidRDefault="00D80184" w:rsidP="00FB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F8" w:rsidRDefault="00D80184">
    <w:pPr>
      <w:pStyle w:val="Encabezad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74AD">
      <w:rPr>
        <w:noProof/>
      </w:rPr>
      <w:t>3</w:t>
    </w:r>
    <w:r>
      <w:rPr>
        <w:noProof/>
      </w:rPr>
      <w:fldChar w:fldCharType="end"/>
    </w:r>
  </w:p>
  <w:p w:rsidR="00806FF8" w:rsidRDefault="00806F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BA14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7075F"/>
    <w:multiLevelType w:val="hybridMultilevel"/>
    <w:tmpl w:val="204439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52C90"/>
    <w:multiLevelType w:val="hybridMultilevel"/>
    <w:tmpl w:val="F3CECB32"/>
    <w:lvl w:ilvl="0" w:tplc="7440181A">
      <w:start w:val="3"/>
      <w:numFmt w:val="decimal"/>
      <w:lvlText w:val="%1)"/>
      <w:lvlJc w:val="left"/>
      <w:pPr>
        <w:ind w:left="2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40" w:hanging="360"/>
      </w:pPr>
    </w:lvl>
    <w:lvl w:ilvl="2" w:tplc="0C0A001B" w:tentative="1">
      <w:start w:val="1"/>
      <w:numFmt w:val="lowerRoman"/>
      <w:lvlText w:val="%3."/>
      <w:lvlJc w:val="right"/>
      <w:pPr>
        <w:ind w:left="4360" w:hanging="180"/>
      </w:pPr>
    </w:lvl>
    <w:lvl w:ilvl="3" w:tplc="0C0A000F" w:tentative="1">
      <w:start w:val="1"/>
      <w:numFmt w:val="decimal"/>
      <w:lvlText w:val="%4."/>
      <w:lvlJc w:val="left"/>
      <w:pPr>
        <w:ind w:left="5080" w:hanging="360"/>
      </w:pPr>
    </w:lvl>
    <w:lvl w:ilvl="4" w:tplc="0C0A0019" w:tentative="1">
      <w:start w:val="1"/>
      <w:numFmt w:val="lowerLetter"/>
      <w:lvlText w:val="%5."/>
      <w:lvlJc w:val="left"/>
      <w:pPr>
        <w:ind w:left="5800" w:hanging="360"/>
      </w:pPr>
    </w:lvl>
    <w:lvl w:ilvl="5" w:tplc="0C0A001B" w:tentative="1">
      <w:start w:val="1"/>
      <w:numFmt w:val="lowerRoman"/>
      <w:lvlText w:val="%6."/>
      <w:lvlJc w:val="right"/>
      <w:pPr>
        <w:ind w:left="6520" w:hanging="180"/>
      </w:pPr>
    </w:lvl>
    <w:lvl w:ilvl="6" w:tplc="0C0A000F" w:tentative="1">
      <w:start w:val="1"/>
      <w:numFmt w:val="decimal"/>
      <w:lvlText w:val="%7."/>
      <w:lvlJc w:val="left"/>
      <w:pPr>
        <w:ind w:left="7240" w:hanging="360"/>
      </w:pPr>
    </w:lvl>
    <w:lvl w:ilvl="7" w:tplc="0C0A0019" w:tentative="1">
      <w:start w:val="1"/>
      <w:numFmt w:val="lowerLetter"/>
      <w:lvlText w:val="%8."/>
      <w:lvlJc w:val="left"/>
      <w:pPr>
        <w:ind w:left="7960" w:hanging="360"/>
      </w:pPr>
    </w:lvl>
    <w:lvl w:ilvl="8" w:tplc="0C0A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3">
    <w:nsid w:val="2E8A0F2B"/>
    <w:multiLevelType w:val="hybridMultilevel"/>
    <w:tmpl w:val="13AC0984"/>
    <w:lvl w:ilvl="0" w:tplc="19726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9E5DDE">
      <w:start w:val="1"/>
      <w:numFmt w:val="bullet"/>
      <w:lvlText w:val="·"/>
      <w:lvlJc w:val="left"/>
      <w:pPr>
        <w:tabs>
          <w:tab w:val="num" w:pos="1477"/>
        </w:tabs>
        <w:ind w:left="1420" w:hanging="340"/>
      </w:pPr>
      <w:rPr>
        <w:rFonts w:ascii="Times New Roman" w:hAnsi="Times New Roman" w:cs="Times New Roman" w:hint="default"/>
        <w:color w:val="auto"/>
        <w:sz w:val="28"/>
      </w:rPr>
    </w:lvl>
    <w:lvl w:ilvl="2" w:tplc="A6441354">
      <w:start w:val="5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72F24052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3005D"/>
    <w:multiLevelType w:val="hybridMultilevel"/>
    <w:tmpl w:val="91E0AB9E"/>
    <w:lvl w:ilvl="0" w:tplc="494A1C56">
      <w:start w:val="3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>
    <w:nsid w:val="4D2D03E9"/>
    <w:multiLevelType w:val="hybridMultilevel"/>
    <w:tmpl w:val="50B253D0"/>
    <w:lvl w:ilvl="0" w:tplc="BEFC85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F7191"/>
    <w:multiLevelType w:val="hybridMultilevel"/>
    <w:tmpl w:val="EB3059B8"/>
    <w:lvl w:ilvl="0" w:tplc="DD943790">
      <w:start w:val="1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A5C3D38"/>
    <w:multiLevelType w:val="hybridMultilevel"/>
    <w:tmpl w:val="A7BA347A"/>
    <w:lvl w:ilvl="0" w:tplc="BEFC851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60E4447D"/>
    <w:multiLevelType w:val="hybridMultilevel"/>
    <w:tmpl w:val="F3CECB32"/>
    <w:lvl w:ilvl="0" w:tplc="7440181A">
      <w:start w:val="3"/>
      <w:numFmt w:val="decimal"/>
      <w:lvlText w:val="%1)"/>
      <w:lvlJc w:val="left"/>
      <w:pPr>
        <w:ind w:left="2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40" w:hanging="360"/>
      </w:pPr>
    </w:lvl>
    <w:lvl w:ilvl="2" w:tplc="0C0A001B" w:tentative="1">
      <w:start w:val="1"/>
      <w:numFmt w:val="lowerRoman"/>
      <w:lvlText w:val="%3."/>
      <w:lvlJc w:val="right"/>
      <w:pPr>
        <w:ind w:left="4360" w:hanging="180"/>
      </w:pPr>
    </w:lvl>
    <w:lvl w:ilvl="3" w:tplc="0C0A000F" w:tentative="1">
      <w:start w:val="1"/>
      <w:numFmt w:val="decimal"/>
      <w:lvlText w:val="%4."/>
      <w:lvlJc w:val="left"/>
      <w:pPr>
        <w:ind w:left="5080" w:hanging="360"/>
      </w:pPr>
    </w:lvl>
    <w:lvl w:ilvl="4" w:tplc="0C0A0019" w:tentative="1">
      <w:start w:val="1"/>
      <w:numFmt w:val="lowerLetter"/>
      <w:lvlText w:val="%5."/>
      <w:lvlJc w:val="left"/>
      <w:pPr>
        <w:ind w:left="5800" w:hanging="360"/>
      </w:pPr>
    </w:lvl>
    <w:lvl w:ilvl="5" w:tplc="0C0A001B" w:tentative="1">
      <w:start w:val="1"/>
      <w:numFmt w:val="lowerRoman"/>
      <w:lvlText w:val="%6."/>
      <w:lvlJc w:val="right"/>
      <w:pPr>
        <w:ind w:left="6520" w:hanging="180"/>
      </w:pPr>
    </w:lvl>
    <w:lvl w:ilvl="6" w:tplc="0C0A000F" w:tentative="1">
      <w:start w:val="1"/>
      <w:numFmt w:val="decimal"/>
      <w:lvlText w:val="%7."/>
      <w:lvlJc w:val="left"/>
      <w:pPr>
        <w:ind w:left="7240" w:hanging="360"/>
      </w:pPr>
    </w:lvl>
    <w:lvl w:ilvl="7" w:tplc="0C0A0019" w:tentative="1">
      <w:start w:val="1"/>
      <w:numFmt w:val="lowerLetter"/>
      <w:lvlText w:val="%8."/>
      <w:lvlJc w:val="left"/>
      <w:pPr>
        <w:ind w:left="7960" w:hanging="360"/>
      </w:pPr>
    </w:lvl>
    <w:lvl w:ilvl="8" w:tplc="0C0A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9">
    <w:nsid w:val="7BE30E85"/>
    <w:multiLevelType w:val="hybridMultilevel"/>
    <w:tmpl w:val="41001C66"/>
    <w:lvl w:ilvl="0" w:tplc="861A1722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92"/>
    <w:rsid w:val="0001607F"/>
    <w:rsid w:val="000277AE"/>
    <w:rsid w:val="0003404E"/>
    <w:rsid w:val="000353DD"/>
    <w:rsid w:val="00041EDE"/>
    <w:rsid w:val="00044033"/>
    <w:rsid w:val="00047EC9"/>
    <w:rsid w:val="00056DD6"/>
    <w:rsid w:val="00060416"/>
    <w:rsid w:val="000774AD"/>
    <w:rsid w:val="00080EB5"/>
    <w:rsid w:val="000912C0"/>
    <w:rsid w:val="000952F3"/>
    <w:rsid w:val="000957C5"/>
    <w:rsid w:val="000A0666"/>
    <w:rsid w:val="000A2A68"/>
    <w:rsid w:val="000A5005"/>
    <w:rsid w:val="000A66FA"/>
    <w:rsid w:val="000A6FB7"/>
    <w:rsid w:val="000C4538"/>
    <w:rsid w:val="000C70CA"/>
    <w:rsid w:val="000D0426"/>
    <w:rsid w:val="000D2A30"/>
    <w:rsid w:val="000D405F"/>
    <w:rsid w:val="000D7987"/>
    <w:rsid w:val="000E1BEF"/>
    <w:rsid w:val="000F193C"/>
    <w:rsid w:val="00105093"/>
    <w:rsid w:val="001203D2"/>
    <w:rsid w:val="00124FDA"/>
    <w:rsid w:val="0012685A"/>
    <w:rsid w:val="001303F6"/>
    <w:rsid w:val="00135ED4"/>
    <w:rsid w:val="00143179"/>
    <w:rsid w:val="00150A1D"/>
    <w:rsid w:val="00166643"/>
    <w:rsid w:val="00166DE7"/>
    <w:rsid w:val="00172137"/>
    <w:rsid w:val="001726E3"/>
    <w:rsid w:val="001741C8"/>
    <w:rsid w:val="00186825"/>
    <w:rsid w:val="001871D8"/>
    <w:rsid w:val="001909A2"/>
    <w:rsid w:val="00192F25"/>
    <w:rsid w:val="00193BDA"/>
    <w:rsid w:val="001A29D8"/>
    <w:rsid w:val="001B3F81"/>
    <w:rsid w:val="001B4F97"/>
    <w:rsid w:val="001C2DE4"/>
    <w:rsid w:val="001E110D"/>
    <w:rsid w:val="001E1A04"/>
    <w:rsid w:val="001E5918"/>
    <w:rsid w:val="001F4428"/>
    <w:rsid w:val="001F694F"/>
    <w:rsid w:val="001F72D5"/>
    <w:rsid w:val="00200812"/>
    <w:rsid w:val="00201319"/>
    <w:rsid w:val="002068DE"/>
    <w:rsid w:val="0021077F"/>
    <w:rsid w:val="002132A6"/>
    <w:rsid w:val="00216D34"/>
    <w:rsid w:val="002170C1"/>
    <w:rsid w:val="00226083"/>
    <w:rsid w:val="00230144"/>
    <w:rsid w:val="00231862"/>
    <w:rsid w:val="002401D3"/>
    <w:rsid w:val="002417AE"/>
    <w:rsid w:val="002515C2"/>
    <w:rsid w:val="00255287"/>
    <w:rsid w:val="00277B24"/>
    <w:rsid w:val="00283881"/>
    <w:rsid w:val="00285980"/>
    <w:rsid w:val="002A0093"/>
    <w:rsid w:val="002A1503"/>
    <w:rsid w:val="002A6EAD"/>
    <w:rsid w:val="002B2313"/>
    <w:rsid w:val="002B5998"/>
    <w:rsid w:val="002B6364"/>
    <w:rsid w:val="002B647F"/>
    <w:rsid w:val="002E02FB"/>
    <w:rsid w:val="002E2931"/>
    <w:rsid w:val="002E4571"/>
    <w:rsid w:val="002F2769"/>
    <w:rsid w:val="002F37C9"/>
    <w:rsid w:val="002F37FF"/>
    <w:rsid w:val="002F4C50"/>
    <w:rsid w:val="002F778E"/>
    <w:rsid w:val="00302DA0"/>
    <w:rsid w:val="0031063A"/>
    <w:rsid w:val="00320D44"/>
    <w:rsid w:val="003224DA"/>
    <w:rsid w:val="003230D0"/>
    <w:rsid w:val="00326BD0"/>
    <w:rsid w:val="00340574"/>
    <w:rsid w:val="00342F16"/>
    <w:rsid w:val="003439DD"/>
    <w:rsid w:val="0034723B"/>
    <w:rsid w:val="00351A07"/>
    <w:rsid w:val="00362ACC"/>
    <w:rsid w:val="00363435"/>
    <w:rsid w:val="00376322"/>
    <w:rsid w:val="00381ACA"/>
    <w:rsid w:val="003826DD"/>
    <w:rsid w:val="00384F84"/>
    <w:rsid w:val="00386353"/>
    <w:rsid w:val="003872DE"/>
    <w:rsid w:val="00391ACB"/>
    <w:rsid w:val="003A0C8F"/>
    <w:rsid w:val="003B045C"/>
    <w:rsid w:val="003C3C1B"/>
    <w:rsid w:val="003C7FEA"/>
    <w:rsid w:val="003D4F1F"/>
    <w:rsid w:val="003E64D3"/>
    <w:rsid w:val="003F241E"/>
    <w:rsid w:val="004131DA"/>
    <w:rsid w:val="004139E2"/>
    <w:rsid w:val="00414321"/>
    <w:rsid w:val="004158A4"/>
    <w:rsid w:val="00415B62"/>
    <w:rsid w:val="00424725"/>
    <w:rsid w:val="00425737"/>
    <w:rsid w:val="004309AB"/>
    <w:rsid w:val="00440047"/>
    <w:rsid w:val="0044246A"/>
    <w:rsid w:val="00443A5E"/>
    <w:rsid w:val="00445153"/>
    <w:rsid w:val="0044575A"/>
    <w:rsid w:val="00455279"/>
    <w:rsid w:val="0046397D"/>
    <w:rsid w:val="00464150"/>
    <w:rsid w:val="0046484E"/>
    <w:rsid w:val="00464E3A"/>
    <w:rsid w:val="004673DD"/>
    <w:rsid w:val="00471141"/>
    <w:rsid w:val="00472CB1"/>
    <w:rsid w:val="00491688"/>
    <w:rsid w:val="00494051"/>
    <w:rsid w:val="004A3635"/>
    <w:rsid w:val="004A40DE"/>
    <w:rsid w:val="004B3A26"/>
    <w:rsid w:val="004B4893"/>
    <w:rsid w:val="004B693D"/>
    <w:rsid w:val="004C12F0"/>
    <w:rsid w:val="004C194E"/>
    <w:rsid w:val="004C1C3C"/>
    <w:rsid w:val="004D7503"/>
    <w:rsid w:val="004E37DA"/>
    <w:rsid w:val="004E5006"/>
    <w:rsid w:val="004E6B18"/>
    <w:rsid w:val="004E6FFC"/>
    <w:rsid w:val="004E79CB"/>
    <w:rsid w:val="004F0AED"/>
    <w:rsid w:val="005100FC"/>
    <w:rsid w:val="00514693"/>
    <w:rsid w:val="005147E4"/>
    <w:rsid w:val="005165C3"/>
    <w:rsid w:val="00535CA1"/>
    <w:rsid w:val="005376C3"/>
    <w:rsid w:val="005450B6"/>
    <w:rsid w:val="00545D8D"/>
    <w:rsid w:val="00552730"/>
    <w:rsid w:val="00552FDC"/>
    <w:rsid w:val="005541B7"/>
    <w:rsid w:val="005543EF"/>
    <w:rsid w:val="00562339"/>
    <w:rsid w:val="00562EF7"/>
    <w:rsid w:val="00563377"/>
    <w:rsid w:val="005639AC"/>
    <w:rsid w:val="00565845"/>
    <w:rsid w:val="00566F62"/>
    <w:rsid w:val="00567A35"/>
    <w:rsid w:val="005725B3"/>
    <w:rsid w:val="00574F9C"/>
    <w:rsid w:val="005764DE"/>
    <w:rsid w:val="005765D2"/>
    <w:rsid w:val="00577E16"/>
    <w:rsid w:val="00586E43"/>
    <w:rsid w:val="00590413"/>
    <w:rsid w:val="00591370"/>
    <w:rsid w:val="005966FE"/>
    <w:rsid w:val="005A45AD"/>
    <w:rsid w:val="005B42D7"/>
    <w:rsid w:val="005B4625"/>
    <w:rsid w:val="005B74A2"/>
    <w:rsid w:val="005C5280"/>
    <w:rsid w:val="005D1640"/>
    <w:rsid w:val="005D2651"/>
    <w:rsid w:val="005D431C"/>
    <w:rsid w:val="005D7B99"/>
    <w:rsid w:val="005E3336"/>
    <w:rsid w:val="005E3D60"/>
    <w:rsid w:val="005F0D96"/>
    <w:rsid w:val="005F5EB9"/>
    <w:rsid w:val="00603527"/>
    <w:rsid w:val="00611098"/>
    <w:rsid w:val="00643D27"/>
    <w:rsid w:val="00654C45"/>
    <w:rsid w:val="00655636"/>
    <w:rsid w:val="00663619"/>
    <w:rsid w:val="006642CD"/>
    <w:rsid w:val="006704B6"/>
    <w:rsid w:val="00671C3C"/>
    <w:rsid w:val="00677959"/>
    <w:rsid w:val="00681B56"/>
    <w:rsid w:val="00686AAC"/>
    <w:rsid w:val="00687DE5"/>
    <w:rsid w:val="006911E5"/>
    <w:rsid w:val="00696D32"/>
    <w:rsid w:val="006A4A3B"/>
    <w:rsid w:val="006A5305"/>
    <w:rsid w:val="006A540A"/>
    <w:rsid w:val="006B0447"/>
    <w:rsid w:val="006B390B"/>
    <w:rsid w:val="006C07A4"/>
    <w:rsid w:val="006C2A81"/>
    <w:rsid w:val="006C2AE0"/>
    <w:rsid w:val="006D2FFB"/>
    <w:rsid w:val="006E378F"/>
    <w:rsid w:val="006E5EA1"/>
    <w:rsid w:val="006F0A7F"/>
    <w:rsid w:val="006F132F"/>
    <w:rsid w:val="006F2E35"/>
    <w:rsid w:val="006F6D90"/>
    <w:rsid w:val="00700D50"/>
    <w:rsid w:val="00711CBB"/>
    <w:rsid w:val="007130DF"/>
    <w:rsid w:val="00714D17"/>
    <w:rsid w:val="007159CB"/>
    <w:rsid w:val="00722A61"/>
    <w:rsid w:val="007331DC"/>
    <w:rsid w:val="007338BF"/>
    <w:rsid w:val="007359FD"/>
    <w:rsid w:val="0074359A"/>
    <w:rsid w:val="00750438"/>
    <w:rsid w:val="00752989"/>
    <w:rsid w:val="007529AD"/>
    <w:rsid w:val="007529DA"/>
    <w:rsid w:val="00757E0B"/>
    <w:rsid w:val="00780E5B"/>
    <w:rsid w:val="00781767"/>
    <w:rsid w:val="0078329E"/>
    <w:rsid w:val="007832DF"/>
    <w:rsid w:val="007922CB"/>
    <w:rsid w:val="007A0509"/>
    <w:rsid w:val="007B1491"/>
    <w:rsid w:val="007B2D88"/>
    <w:rsid w:val="007B4C10"/>
    <w:rsid w:val="007C0413"/>
    <w:rsid w:val="007C4215"/>
    <w:rsid w:val="007C5928"/>
    <w:rsid w:val="007D46FA"/>
    <w:rsid w:val="007E5774"/>
    <w:rsid w:val="00804A90"/>
    <w:rsid w:val="00806FF8"/>
    <w:rsid w:val="00810C61"/>
    <w:rsid w:val="0082108C"/>
    <w:rsid w:val="00825D01"/>
    <w:rsid w:val="008434BB"/>
    <w:rsid w:val="0085460A"/>
    <w:rsid w:val="00855E91"/>
    <w:rsid w:val="00860407"/>
    <w:rsid w:val="00867362"/>
    <w:rsid w:val="00870357"/>
    <w:rsid w:val="0087731E"/>
    <w:rsid w:val="0088053E"/>
    <w:rsid w:val="00880569"/>
    <w:rsid w:val="00880EC7"/>
    <w:rsid w:val="00881EC2"/>
    <w:rsid w:val="00884D86"/>
    <w:rsid w:val="00886782"/>
    <w:rsid w:val="00886FFB"/>
    <w:rsid w:val="008912F5"/>
    <w:rsid w:val="00893F27"/>
    <w:rsid w:val="0089451E"/>
    <w:rsid w:val="00897884"/>
    <w:rsid w:val="00897A69"/>
    <w:rsid w:val="008A7C41"/>
    <w:rsid w:val="008B3583"/>
    <w:rsid w:val="008B58CD"/>
    <w:rsid w:val="008B5CCC"/>
    <w:rsid w:val="008D0940"/>
    <w:rsid w:val="008D1FBF"/>
    <w:rsid w:val="008D37B2"/>
    <w:rsid w:val="008D5BFD"/>
    <w:rsid w:val="008E188B"/>
    <w:rsid w:val="008E1CA9"/>
    <w:rsid w:val="008E204E"/>
    <w:rsid w:val="008E6992"/>
    <w:rsid w:val="008F1AF6"/>
    <w:rsid w:val="008F3250"/>
    <w:rsid w:val="008F5E20"/>
    <w:rsid w:val="00903539"/>
    <w:rsid w:val="009131BB"/>
    <w:rsid w:val="009301FC"/>
    <w:rsid w:val="009321AD"/>
    <w:rsid w:val="00945EDF"/>
    <w:rsid w:val="0096135C"/>
    <w:rsid w:val="00964057"/>
    <w:rsid w:val="00973601"/>
    <w:rsid w:val="00974760"/>
    <w:rsid w:val="009772CC"/>
    <w:rsid w:val="00981432"/>
    <w:rsid w:val="00981603"/>
    <w:rsid w:val="00995368"/>
    <w:rsid w:val="00996118"/>
    <w:rsid w:val="009A022B"/>
    <w:rsid w:val="009A039C"/>
    <w:rsid w:val="009A2DE2"/>
    <w:rsid w:val="009A553C"/>
    <w:rsid w:val="009A6EC5"/>
    <w:rsid w:val="009C1B0B"/>
    <w:rsid w:val="009C1CC1"/>
    <w:rsid w:val="009C2F35"/>
    <w:rsid w:val="009C4FB7"/>
    <w:rsid w:val="009C6AED"/>
    <w:rsid w:val="009C716E"/>
    <w:rsid w:val="009C7666"/>
    <w:rsid w:val="009C7F26"/>
    <w:rsid w:val="009D1155"/>
    <w:rsid w:val="009D22C3"/>
    <w:rsid w:val="009D4FB6"/>
    <w:rsid w:val="009D6A27"/>
    <w:rsid w:val="009D796F"/>
    <w:rsid w:val="00A02E1F"/>
    <w:rsid w:val="00A05006"/>
    <w:rsid w:val="00A06833"/>
    <w:rsid w:val="00A167D4"/>
    <w:rsid w:val="00A23CB1"/>
    <w:rsid w:val="00A31857"/>
    <w:rsid w:val="00A3304A"/>
    <w:rsid w:val="00A34C73"/>
    <w:rsid w:val="00A376EE"/>
    <w:rsid w:val="00A402BA"/>
    <w:rsid w:val="00A41DAB"/>
    <w:rsid w:val="00A44D7D"/>
    <w:rsid w:val="00A575A9"/>
    <w:rsid w:val="00A601F6"/>
    <w:rsid w:val="00A60B6F"/>
    <w:rsid w:val="00A6223F"/>
    <w:rsid w:val="00A641D7"/>
    <w:rsid w:val="00A70428"/>
    <w:rsid w:val="00A709D0"/>
    <w:rsid w:val="00A75542"/>
    <w:rsid w:val="00A7609C"/>
    <w:rsid w:val="00A859D5"/>
    <w:rsid w:val="00A93598"/>
    <w:rsid w:val="00A948FF"/>
    <w:rsid w:val="00A95EEF"/>
    <w:rsid w:val="00AA48F2"/>
    <w:rsid w:val="00AA6AE7"/>
    <w:rsid w:val="00AB311A"/>
    <w:rsid w:val="00AB4607"/>
    <w:rsid w:val="00AB5193"/>
    <w:rsid w:val="00AB6F5E"/>
    <w:rsid w:val="00AC197C"/>
    <w:rsid w:val="00AE370B"/>
    <w:rsid w:val="00AE42D6"/>
    <w:rsid w:val="00AE7E7D"/>
    <w:rsid w:val="00AF6CD8"/>
    <w:rsid w:val="00B122F1"/>
    <w:rsid w:val="00B14574"/>
    <w:rsid w:val="00B16E82"/>
    <w:rsid w:val="00B25E6F"/>
    <w:rsid w:val="00B36100"/>
    <w:rsid w:val="00B36DB4"/>
    <w:rsid w:val="00B4337C"/>
    <w:rsid w:val="00B46532"/>
    <w:rsid w:val="00B47D60"/>
    <w:rsid w:val="00B51EA0"/>
    <w:rsid w:val="00B5256E"/>
    <w:rsid w:val="00B54CE2"/>
    <w:rsid w:val="00B54DB3"/>
    <w:rsid w:val="00B63FFA"/>
    <w:rsid w:val="00B64AC4"/>
    <w:rsid w:val="00B71A69"/>
    <w:rsid w:val="00B728F4"/>
    <w:rsid w:val="00B7557F"/>
    <w:rsid w:val="00B83F00"/>
    <w:rsid w:val="00B84C5A"/>
    <w:rsid w:val="00B86915"/>
    <w:rsid w:val="00B91C7C"/>
    <w:rsid w:val="00B970C9"/>
    <w:rsid w:val="00BA2928"/>
    <w:rsid w:val="00BB4831"/>
    <w:rsid w:val="00BB4919"/>
    <w:rsid w:val="00BC2051"/>
    <w:rsid w:val="00BC30FE"/>
    <w:rsid w:val="00BC5A23"/>
    <w:rsid w:val="00BD4198"/>
    <w:rsid w:val="00BD4261"/>
    <w:rsid w:val="00BD571A"/>
    <w:rsid w:val="00BE2C6E"/>
    <w:rsid w:val="00BE5DBF"/>
    <w:rsid w:val="00BF08F7"/>
    <w:rsid w:val="00C01BBC"/>
    <w:rsid w:val="00C044D3"/>
    <w:rsid w:val="00C05186"/>
    <w:rsid w:val="00C07E3C"/>
    <w:rsid w:val="00C1285C"/>
    <w:rsid w:val="00C17C8E"/>
    <w:rsid w:val="00C27ABC"/>
    <w:rsid w:val="00C31B07"/>
    <w:rsid w:val="00C31EF9"/>
    <w:rsid w:val="00C33495"/>
    <w:rsid w:val="00C33D02"/>
    <w:rsid w:val="00C34C99"/>
    <w:rsid w:val="00C35D58"/>
    <w:rsid w:val="00C4548C"/>
    <w:rsid w:val="00C4592A"/>
    <w:rsid w:val="00C45ED2"/>
    <w:rsid w:val="00C479DE"/>
    <w:rsid w:val="00C6710C"/>
    <w:rsid w:val="00C67A4C"/>
    <w:rsid w:val="00C70977"/>
    <w:rsid w:val="00C907B3"/>
    <w:rsid w:val="00C91F1B"/>
    <w:rsid w:val="00C9468C"/>
    <w:rsid w:val="00C94A42"/>
    <w:rsid w:val="00CA47C8"/>
    <w:rsid w:val="00CB7C4E"/>
    <w:rsid w:val="00CD04B1"/>
    <w:rsid w:val="00CD0CCC"/>
    <w:rsid w:val="00CD2B33"/>
    <w:rsid w:val="00CD539E"/>
    <w:rsid w:val="00CF11C4"/>
    <w:rsid w:val="00CF4898"/>
    <w:rsid w:val="00D036F2"/>
    <w:rsid w:val="00D04BC9"/>
    <w:rsid w:val="00D057F4"/>
    <w:rsid w:val="00D167CD"/>
    <w:rsid w:val="00D20ECA"/>
    <w:rsid w:val="00D24984"/>
    <w:rsid w:val="00D3032A"/>
    <w:rsid w:val="00D3128F"/>
    <w:rsid w:val="00D372CF"/>
    <w:rsid w:val="00D43EFD"/>
    <w:rsid w:val="00D45EA8"/>
    <w:rsid w:val="00D464EE"/>
    <w:rsid w:val="00D508A0"/>
    <w:rsid w:val="00D51916"/>
    <w:rsid w:val="00D6563A"/>
    <w:rsid w:val="00D65BEB"/>
    <w:rsid w:val="00D710F2"/>
    <w:rsid w:val="00D7180F"/>
    <w:rsid w:val="00D75C9E"/>
    <w:rsid w:val="00D80184"/>
    <w:rsid w:val="00D87A25"/>
    <w:rsid w:val="00D96281"/>
    <w:rsid w:val="00D969FF"/>
    <w:rsid w:val="00DA427C"/>
    <w:rsid w:val="00DA4E1C"/>
    <w:rsid w:val="00DB2AE5"/>
    <w:rsid w:val="00DB42BA"/>
    <w:rsid w:val="00DC009E"/>
    <w:rsid w:val="00DC57BC"/>
    <w:rsid w:val="00DE6EBF"/>
    <w:rsid w:val="00DF0CD2"/>
    <w:rsid w:val="00DF158B"/>
    <w:rsid w:val="00E05DBD"/>
    <w:rsid w:val="00E1243D"/>
    <w:rsid w:val="00E12B77"/>
    <w:rsid w:val="00E14F15"/>
    <w:rsid w:val="00E20097"/>
    <w:rsid w:val="00E20E1E"/>
    <w:rsid w:val="00E23905"/>
    <w:rsid w:val="00E338E9"/>
    <w:rsid w:val="00E37654"/>
    <w:rsid w:val="00E4447E"/>
    <w:rsid w:val="00E46F0F"/>
    <w:rsid w:val="00E54959"/>
    <w:rsid w:val="00E579FB"/>
    <w:rsid w:val="00E649B3"/>
    <w:rsid w:val="00E90D16"/>
    <w:rsid w:val="00E9439D"/>
    <w:rsid w:val="00E95541"/>
    <w:rsid w:val="00E972C3"/>
    <w:rsid w:val="00EA1C13"/>
    <w:rsid w:val="00EB0E95"/>
    <w:rsid w:val="00EB42FC"/>
    <w:rsid w:val="00EB6591"/>
    <w:rsid w:val="00EC1492"/>
    <w:rsid w:val="00EC39D0"/>
    <w:rsid w:val="00EC4306"/>
    <w:rsid w:val="00EC77DB"/>
    <w:rsid w:val="00EC7C2B"/>
    <w:rsid w:val="00ED36DB"/>
    <w:rsid w:val="00ED6C8A"/>
    <w:rsid w:val="00EE1C35"/>
    <w:rsid w:val="00EE3239"/>
    <w:rsid w:val="00EF088B"/>
    <w:rsid w:val="00EF37FD"/>
    <w:rsid w:val="00F00412"/>
    <w:rsid w:val="00F00637"/>
    <w:rsid w:val="00F00A63"/>
    <w:rsid w:val="00F018BF"/>
    <w:rsid w:val="00F0306F"/>
    <w:rsid w:val="00F066EB"/>
    <w:rsid w:val="00F11045"/>
    <w:rsid w:val="00F13949"/>
    <w:rsid w:val="00F14919"/>
    <w:rsid w:val="00F24956"/>
    <w:rsid w:val="00F27B59"/>
    <w:rsid w:val="00F32486"/>
    <w:rsid w:val="00F331B9"/>
    <w:rsid w:val="00F33AA0"/>
    <w:rsid w:val="00F431FC"/>
    <w:rsid w:val="00F5259F"/>
    <w:rsid w:val="00F53060"/>
    <w:rsid w:val="00F53B88"/>
    <w:rsid w:val="00F550C4"/>
    <w:rsid w:val="00F57627"/>
    <w:rsid w:val="00F60CD0"/>
    <w:rsid w:val="00F655A4"/>
    <w:rsid w:val="00F76A51"/>
    <w:rsid w:val="00F85CA2"/>
    <w:rsid w:val="00F917DB"/>
    <w:rsid w:val="00F93DB4"/>
    <w:rsid w:val="00F961DA"/>
    <w:rsid w:val="00F96DE1"/>
    <w:rsid w:val="00FA22AE"/>
    <w:rsid w:val="00FA29BB"/>
    <w:rsid w:val="00FA41E4"/>
    <w:rsid w:val="00FA5268"/>
    <w:rsid w:val="00FA5D5A"/>
    <w:rsid w:val="00FA606D"/>
    <w:rsid w:val="00FA6188"/>
    <w:rsid w:val="00FA708E"/>
    <w:rsid w:val="00FB1FAF"/>
    <w:rsid w:val="00FB4F31"/>
    <w:rsid w:val="00FB535D"/>
    <w:rsid w:val="00FB6227"/>
    <w:rsid w:val="00FC24C5"/>
    <w:rsid w:val="00FC7EAE"/>
    <w:rsid w:val="00FD19ED"/>
    <w:rsid w:val="00FD36CE"/>
    <w:rsid w:val="00FD7FC5"/>
    <w:rsid w:val="00FE0B43"/>
    <w:rsid w:val="00FE1A7F"/>
    <w:rsid w:val="00FE5D75"/>
    <w:rsid w:val="00FE67E7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1B073D-9029-470C-83C4-26E58728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83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8434BB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styleId="Ttulo2">
    <w:name w:val="heading 2"/>
    <w:aliases w:val="Título del Subcapítulo"/>
    <w:basedOn w:val="Normal"/>
    <w:next w:val="Normal"/>
    <w:link w:val="Ttulo2Car"/>
    <w:unhideWhenUsed/>
    <w:qFormat/>
    <w:rsid w:val="00E46F0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aliases w:val="Título de la Sección"/>
    <w:basedOn w:val="Normal"/>
    <w:next w:val="Normal"/>
    <w:link w:val="Ttulo3Car"/>
    <w:unhideWhenUsed/>
    <w:qFormat/>
    <w:rsid w:val="00E46F0F"/>
    <w:pPr>
      <w:keepNext/>
      <w:keepLines/>
      <w:spacing w:before="40" w:after="0" w:line="240" w:lineRule="auto"/>
      <w:jc w:val="both"/>
      <w:outlineLvl w:val="2"/>
    </w:pPr>
    <w:rPr>
      <w:rFonts w:ascii="Calibri Light" w:eastAsia="Times New Roman" w:hAnsi="Calibri Light"/>
      <w:color w:val="1F4D78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6F0F"/>
    <w:pPr>
      <w:keepNext/>
      <w:keepLines/>
      <w:spacing w:before="40" w:after="0" w:line="240" w:lineRule="auto"/>
      <w:jc w:val="both"/>
      <w:outlineLvl w:val="3"/>
    </w:pPr>
    <w:rPr>
      <w:rFonts w:ascii="Calibri Light" w:eastAsia="Times New Roman" w:hAnsi="Calibri Light"/>
      <w:i/>
      <w:iCs/>
      <w:color w:val="2E74B5"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6F0F"/>
    <w:pPr>
      <w:keepNext/>
      <w:keepLines/>
      <w:spacing w:before="40" w:after="0" w:line="240" w:lineRule="auto"/>
      <w:jc w:val="both"/>
      <w:outlineLvl w:val="4"/>
    </w:pPr>
    <w:rPr>
      <w:rFonts w:ascii="Calibri Light" w:eastAsia="Times New Roman" w:hAnsi="Calibri Light"/>
      <w:color w:val="2E74B5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F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FAF"/>
  </w:style>
  <w:style w:type="paragraph" w:styleId="Piedepgina">
    <w:name w:val="footer"/>
    <w:basedOn w:val="Normal"/>
    <w:link w:val="PiedepginaCar"/>
    <w:uiPriority w:val="99"/>
    <w:semiHidden/>
    <w:unhideWhenUsed/>
    <w:rsid w:val="00FB1F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1FAF"/>
  </w:style>
  <w:style w:type="character" w:customStyle="1" w:styleId="Ttulo1Car">
    <w:name w:val="Título 1 Car"/>
    <w:link w:val="Ttulo1"/>
    <w:rsid w:val="008434BB"/>
    <w:rPr>
      <w:rFonts w:ascii="Arial" w:eastAsia="Times New Roman" w:hAnsi="Arial" w:cs="Arial"/>
      <w:b/>
      <w:bCs/>
      <w:sz w:val="22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8434BB"/>
    <w:pPr>
      <w:tabs>
        <w:tab w:val="left" w:pos="2340"/>
      </w:tabs>
      <w:spacing w:after="0" w:line="240" w:lineRule="auto"/>
      <w:jc w:val="both"/>
    </w:pPr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8434BB"/>
    <w:rPr>
      <w:rFonts w:ascii="Arial" w:eastAsia="Times New Roman" w:hAnsi="Arial" w:cs="Arial"/>
      <w:b/>
      <w:bCs/>
      <w:sz w:val="22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4F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3D4F1F"/>
    <w:rPr>
      <w:lang w:eastAsia="en-US"/>
    </w:rPr>
  </w:style>
  <w:style w:type="character" w:styleId="Refdenotaalpie">
    <w:name w:val="footnote reference"/>
    <w:aliases w:val="Footnote Reference.SES,16 Point,Superscript 6 Point,Superscript 6 Point + 11 ...,Ref,de nota al pie"/>
    <w:semiHidden/>
    <w:unhideWhenUsed/>
    <w:rsid w:val="003D4F1F"/>
    <w:rPr>
      <w:vertAlign w:val="superscript"/>
    </w:rPr>
  </w:style>
  <w:style w:type="character" w:customStyle="1" w:styleId="Ttulo2Car">
    <w:name w:val="Título 2 Car"/>
    <w:aliases w:val="Título del Subcapítulo Car"/>
    <w:link w:val="Ttulo2"/>
    <w:uiPriority w:val="9"/>
    <w:semiHidden/>
    <w:rsid w:val="00E46F0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aliases w:val="Título de la Sección Car"/>
    <w:link w:val="Ttulo3"/>
    <w:rsid w:val="00E46F0F"/>
    <w:rPr>
      <w:rFonts w:ascii="Calibri Light" w:eastAsia="Times New Roman" w:hAnsi="Calibri Light"/>
      <w:color w:val="1F4D78"/>
      <w:sz w:val="24"/>
      <w:szCs w:val="24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E46F0F"/>
    <w:rPr>
      <w:rFonts w:ascii="Calibri Light" w:eastAsia="Times New Roman" w:hAnsi="Calibri Light"/>
      <w:i/>
      <w:iCs/>
      <w:color w:val="2E74B5"/>
      <w:szCs w:val="24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E46F0F"/>
    <w:rPr>
      <w:rFonts w:ascii="Calibri Light" w:eastAsia="Times New Roman" w:hAnsi="Calibri Light"/>
      <w:color w:val="2E74B5"/>
      <w:szCs w:val="24"/>
      <w:lang w:val="es-ES" w:eastAsia="es-ES"/>
    </w:rPr>
  </w:style>
  <w:style w:type="character" w:styleId="Textoennegrita">
    <w:name w:val="Strong"/>
    <w:qFormat/>
    <w:rsid w:val="00E46F0F"/>
    <w:rPr>
      <w:b/>
      <w:bCs/>
    </w:rPr>
  </w:style>
  <w:style w:type="paragraph" w:styleId="NormalWeb">
    <w:name w:val="Normal (Web)"/>
    <w:basedOn w:val="Normal"/>
    <w:rsid w:val="00E46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negrita">
    <w:name w:val="negrita"/>
    <w:rsid w:val="00E46F0F"/>
  </w:style>
  <w:style w:type="paragraph" w:customStyle="1" w:styleId="a">
    <w:name w:val="a"/>
    <w:basedOn w:val="Normal"/>
    <w:rsid w:val="00E46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rubrica">
    <w:name w:val="rubrica"/>
    <w:rsid w:val="00E46F0F"/>
  </w:style>
  <w:style w:type="character" w:customStyle="1" w:styleId="spipsurligne">
    <w:name w:val="spip_surligne"/>
    <w:rsid w:val="00E46F0F"/>
  </w:style>
  <w:style w:type="character" w:customStyle="1" w:styleId="footnotelist">
    <w:name w:val="footnote_list"/>
    <w:rsid w:val="00E46F0F"/>
  </w:style>
  <w:style w:type="character" w:customStyle="1" w:styleId="nowrap">
    <w:name w:val="nowrap"/>
    <w:rsid w:val="00E46F0F"/>
  </w:style>
  <w:style w:type="character" w:customStyle="1" w:styleId="italic">
    <w:name w:val="italic"/>
    <w:rsid w:val="00E46F0F"/>
  </w:style>
  <w:style w:type="character" w:customStyle="1" w:styleId="longtext">
    <w:name w:val="long_text"/>
    <w:rsid w:val="00E46F0F"/>
  </w:style>
  <w:style w:type="paragraph" w:styleId="Textodeglobo">
    <w:name w:val="Balloon Text"/>
    <w:basedOn w:val="Normal"/>
    <w:link w:val="TextodegloboCar"/>
    <w:uiPriority w:val="99"/>
    <w:semiHidden/>
    <w:unhideWhenUsed/>
    <w:rsid w:val="00E9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90D16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C70977"/>
    <w:pPr>
      <w:spacing w:after="160" w:line="259" w:lineRule="auto"/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C01BBC"/>
  </w:style>
  <w:style w:type="numbering" w:customStyle="1" w:styleId="Sinlista2">
    <w:name w:val="Sin lista2"/>
    <w:next w:val="Sinlista"/>
    <w:uiPriority w:val="99"/>
    <w:semiHidden/>
    <w:unhideWhenUsed/>
    <w:rsid w:val="00BC2051"/>
  </w:style>
  <w:style w:type="character" w:styleId="Hipervnculo">
    <w:name w:val="Hyperlink"/>
    <w:uiPriority w:val="99"/>
    <w:unhideWhenUsed/>
    <w:rsid w:val="007159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mara.cl/pdf.aspx?prmID=60276&amp;prmTIPO=ACTACOMIS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mara.cl/pdf.aspx?prmID=60214&amp;prmTIPO=ACTACOMIS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mara.cl/pdf.aspx?prmID=60086&amp;prmTIPO=ACTACOMIS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F9C7A0789B7E4DA0527EC93634D546" ma:contentTypeVersion="0" ma:contentTypeDescription="Crear nuevo documento." ma:contentTypeScope="" ma:versionID="06fbb9b2c108ee2902bf7b240fba46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BB135-F754-4A7A-AC33-B6A7BBBEB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0D066A-CF69-4EBA-9B1F-440AD322C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4D3DFB-E6F6-4D25-85F0-32F08E1ABF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28206-EAE5-495A-9830-43485CC7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1665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efoster</dc:creator>
  <cp:lastModifiedBy>Maria Soledad Moreno Lopez</cp:lastModifiedBy>
  <cp:revision>2</cp:revision>
  <cp:lastPrinted>2019-03-08T18:34:00Z</cp:lastPrinted>
  <dcterms:created xsi:type="dcterms:W3CDTF">2019-03-11T13:58:00Z</dcterms:created>
  <dcterms:modified xsi:type="dcterms:W3CDTF">2019-03-11T13:58:00Z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0x01010022F9C7A0789B7E4DA0527EC93634D546</vt:lpwstr>
  </property>
</Properties>
</file>