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99E5D" w14:textId="77777777" w:rsidR="009D4F3F" w:rsidRPr="009D4F3F" w:rsidRDefault="009D4F3F" w:rsidP="009D4F3F">
      <w:pPr>
        <w:tabs>
          <w:tab w:val="left" w:pos="2835"/>
        </w:tabs>
        <w:jc w:val="center"/>
        <w:rPr>
          <w:rFonts w:eastAsia="Times New Roman" w:cs="Times New Roman"/>
          <w:b/>
          <w:szCs w:val="24"/>
          <w:u w:val="single"/>
          <w:lang w:val="es-ES_tradnl" w:eastAsia="es-ES"/>
        </w:rPr>
      </w:pPr>
      <w:r w:rsidRPr="009D4F3F">
        <w:rPr>
          <w:rFonts w:eastAsia="Times New Roman" w:cs="Times New Roman"/>
          <w:b/>
          <w:szCs w:val="24"/>
          <w:u w:val="single"/>
          <w:lang w:val="es-ES_tradnl" w:eastAsia="es-ES"/>
        </w:rPr>
        <w:t>CERTIFICADO</w:t>
      </w:r>
    </w:p>
    <w:p w14:paraId="2E2D43DB" w14:textId="77777777" w:rsidR="009D4F3F" w:rsidRPr="009D4F3F" w:rsidRDefault="009D4F3F" w:rsidP="009D4F3F">
      <w:pPr>
        <w:tabs>
          <w:tab w:val="left" w:pos="2835"/>
        </w:tabs>
        <w:jc w:val="both"/>
        <w:rPr>
          <w:rFonts w:eastAsia="Times New Roman" w:cs="Times New Roman"/>
          <w:b/>
          <w:szCs w:val="24"/>
          <w:lang w:val="es-ES_tradnl" w:eastAsia="es-ES"/>
        </w:rPr>
      </w:pPr>
    </w:p>
    <w:p w14:paraId="1990FBE2" w14:textId="2205B8D8" w:rsidR="009D4F3F" w:rsidRPr="009D4F3F" w:rsidRDefault="009D4F3F" w:rsidP="002360C6">
      <w:pPr>
        <w:tabs>
          <w:tab w:val="left" w:pos="2835"/>
        </w:tabs>
        <w:ind w:firstLine="2835"/>
        <w:jc w:val="both"/>
        <w:rPr>
          <w:rFonts w:eastAsia="Times New Roman" w:cs="Times New Roman"/>
          <w:szCs w:val="24"/>
          <w:lang w:eastAsia="es-ES"/>
        </w:rPr>
      </w:pPr>
      <w:r w:rsidRPr="009D4F3F">
        <w:rPr>
          <w:rFonts w:eastAsia="Times New Roman" w:cs="Times New Roman"/>
          <w:szCs w:val="24"/>
          <w:lang w:val="es-ES_tradnl" w:eastAsia="es-ES"/>
        </w:rPr>
        <w:t xml:space="preserve">Certifico que el día de hoy, </w:t>
      </w:r>
      <w:r w:rsidR="00CC378D">
        <w:rPr>
          <w:rFonts w:eastAsia="Times New Roman" w:cs="Times New Roman"/>
          <w:szCs w:val="24"/>
          <w:lang w:val="es-ES_tradnl" w:eastAsia="es-ES"/>
        </w:rPr>
        <w:t>3</w:t>
      </w:r>
      <w:r w:rsidRPr="009D4F3F">
        <w:rPr>
          <w:rFonts w:eastAsia="Times New Roman" w:cs="Times New Roman"/>
          <w:szCs w:val="24"/>
          <w:lang w:val="es-ES_tradnl" w:eastAsia="es-ES"/>
        </w:rPr>
        <w:t xml:space="preserve"> de diciembre de 201</w:t>
      </w:r>
      <w:r w:rsidR="00CC378D">
        <w:rPr>
          <w:rFonts w:eastAsia="Times New Roman" w:cs="Times New Roman"/>
          <w:szCs w:val="24"/>
          <w:lang w:val="es-ES_tradnl" w:eastAsia="es-ES"/>
        </w:rPr>
        <w:t>9</w:t>
      </w:r>
      <w:r w:rsidRPr="009D4F3F">
        <w:rPr>
          <w:rFonts w:eastAsia="Times New Roman" w:cs="Times New Roman"/>
          <w:szCs w:val="24"/>
          <w:lang w:val="es-ES_tradnl" w:eastAsia="es-ES"/>
        </w:rPr>
        <w:t>,</w:t>
      </w:r>
      <w:r w:rsidR="002360C6">
        <w:rPr>
          <w:rFonts w:eastAsia="Times New Roman" w:cs="Times New Roman"/>
          <w:szCs w:val="24"/>
          <w:lang w:val="es-ES_tradnl" w:eastAsia="es-ES"/>
        </w:rPr>
        <w:t xml:space="preserve"> </w:t>
      </w:r>
      <w:r w:rsidRPr="009D4F3F">
        <w:rPr>
          <w:rFonts w:eastAsia="Times New Roman" w:cs="Times New Roman"/>
          <w:szCs w:val="24"/>
          <w:lang w:val="es-ES_tradnl" w:eastAsia="es-ES"/>
        </w:rPr>
        <w:t xml:space="preserve">la Comisión de Hacienda sesionó para tratar el proyecto de ley, en segundo trámite constitucional, que </w:t>
      </w:r>
      <w:r w:rsidR="00CC378D" w:rsidRPr="00CC378D">
        <w:rPr>
          <w:rFonts w:eastAsia="Times New Roman" w:cs="Times New Roman"/>
          <w:szCs w:val="24"/>
          <w:lang w:val="es-ES_tradnl" w:eastAsia="es-ES"/>
        </w:rPr>
        <w:t>rebaja la rentabilidad de las empresas de distribución y perfecciona el proceso tarifario de distribución eléctrica</w:t>
      </w:r>
      <w:r w:rsidRPr="009D4F3F">
        <w:rPr>
          <w:rFonts w:eastAsia="Times New Roman" w:cs="Times New Roman"/>
          <w:szCs w:val="24"/>
          <w:lang w:eastAsia="es-ES"/>
        </w:rPr>
        <w:t xml:space="preserve"> </w:t>
      </w:r>
      <w:r w:rsidRPr="009D4F3F">
        <w:rPr>
          <w:rFonts w:eastAsia="Times New Roman" w:cs="Times New Roman"/>
          <w:b/>
          <w:szCs w:val="24"/>
          <w:lang w:eastAsia="es-ES"/>
        </w:rPr>
        <w:t xml:space="preserve">(boletín </w:t>
      </w:r>
      <w:proofErr w:type="spellStart"/>
      <w:r w:rsidRPr="009D4F3F">
        <w:rPr>
          <w:rFonts w:eastAsia="Times New Roman" w:cs="Times New Roman"/>
          <w:b/>
          <w:szCs w:val="24"/>
          <w:lang w:eastAsia="es-ES"/>
        </w:rPr>
        <w:t>N°</w:t>
      </w:r>
      <w:r w:rsidR="00CC378D">
        <w:rPr>
          <w:rFonts w:eastAsia="Times New Roman" w:cs="Times New Roman"/>
          <w:b/>
          <w:szCs w:val="24"/>
          <w:lang w:eastAsia="es-ES"/>
        </w:rPr>
        <w:t>s</w:t>
      </w:r>
      <w:proofErr w:type="spellEnd"/>
      <w:r w:rsidRPr="009D4F3F">
        <w:rPr>
          <w:rFonts w:eastAsia="Times New Roman" w:cs="Times New Roman"/>
          <w:b/>
          <w:szCs w:val="24"/>
          <w:lang w:eastAsia="es-ES"/>
        </w:rPr>
        <w:t xml:space="preserve"> 12.</w:t>
      </w:r>
      <w:r w:rsidR="00CC378D">
        <w:rPr>
          <w:rFonts w:eastAsia="Times New Roman" w:cs="Times New Roman"/>
          <w:b/>
          <w:szCs w:val="24"/>
          <w:lang w:eastAsia="es-ES"/>
        </w:rPr>
        <w:t>567</w:t>
      </w:r>
      <w:r w:rsidRPr="009D4F3F">
        <w:rPr>
          <w:rFonts w:eastAsia="Times New Roman" w:cs="Times New Roman"/>
          <w:b/>
          <w:szCs w:val="24"/>
          <w:lang w:eastAsia="es-ES"/>
        </w:rPr>
        <w:t>-0</w:t>
      </w:r>
      <w:r w:rsidR="00CC378D">
        <w:rPr>
          <w:rFonts w:eastAsia="Times New Roman" w:cs="Times New Roman"/>
          <w:b/>
          <w:szCs w:val="24"/>
          <w:lang w:eastAsia="es-ES"/>
        </w:rPr>
        <w:t>8 y 12.471-08, refundidos</w:t>
      </w:r>
      <w:r w:rsidRPr="009D4F3F">
        <w:rPr>
          <w:rFonts w:eastAsia="Times New Roman" w:cs="Times New Roman"/>
          <w:b/>
          <w:szCs w:val="24"/>
          <w:lang w:eastAsia="es-ES"/>
        </w:rPr>
        <w:t>)</w:t>
      </w:r>
      <w:r w:rsidRPr="009D4F3F">
        <w:rPr>
          <w:rFonts w:eastAsia="Times New Roman" w:cs="Times New Roman"/>
          <w:szCs w:val="24"/>
          <w:lang w:eastAsia="es-ES"/>
        </w:rPr>
        <w:t>, con urgencia calificada de “discusión inmediata”.</w:t>
      </w:r>
    </w:p>
    <w:p w14:paraId="6A1BBFFA" w14:textId="77777777" w:rsidR="009D4F3F" w:rsidRPr="009D4F3F" w:rsidRDefault="009D4F3F" w:rsidP="009D4F3F">
      <w:pPr>
        <w:tabs>
          <w:tab w:val="left" w:pos="2835"/>
        </w:tabs>
        <w:jc w:val="both"/>
        <w:rPr>
          <w:rFonts w:eastAsia="Times New Roman" w:cs="Times New Roman"/>
          <w:szCs w:val="24"/>
          <w:lang w:val="es-ES_tradnl" w:eastAsia="es-ES"/>
        </w:rPr>
      </w:pPr>
      <w:r w:rsidRPr="009D4F3F">
        <w:rPr>
          <w:rFonts w:eastAsia="Times New Roman" w:cs="Times New Roman"/>
          <w:szCs w:val="24"/>
          <w:lang w:val="es-ES_tradnl" w:eastAsia="es-ES"/>
        </w:rPr>
        <w:t xml:space="preserve"> </w:t>
      </w:r>
    </w:p>
    <w:p w14:paraId="26C51CDF" w14:textId="052CBC34" w:rsidR="009D4F3F" w:rsidRPr="002360C6" w:rsidRDefault="009D4F3F" w:rsidP="009D4F3F">
      <w:pPr>
        <w:tabs>
          <w:tab w:val="left" w:pos="2835"/>
        </w:tabs>
        <w:ind w:firstLine="2835"/>
        <w:jc w:val="both"/>
        <w:rPr>
          <w:rFonts w:eastAsia="Times New Roman" w:cs="Arial"/>
          <w:szCs w:val="24"/>
          <w:lang w:val="es-ES_tradnl" w:eastAsia="es-ES"/>
        </w:rPr>
      </w:pPr>
      <w:r w:rsidRPr="009D4F3F">
        <w:rPr>
          <w:rFonts w:eastAsia="Times New Roman" w:cs="Arial"/>
          <w:szCs w:val="24"/>
          <w:lang w:val="es-ES_tradnl" w:eastAsia="es-ES"/>
        </w:rPr>
        <w:t>A la sesión en que la Comisión conoció de esta iniciativa asistieron sus miembros</w:t>
      </w:r>
      <w:r w:rsidRPr="002360C6">
        <w:rPr>
          <w:rFonts w:eastAsia="Times New Roman" w:cs="Arial"/>
          <w:szCs w:val="24"/>
          <w:lang w:val="es-ES_tradnl" w:eastAsia="es-ES"/>
        </w:rPr>
        <w:t xml:space="preserve">, Honorables Senadores señores Coloma, García, Lagos, </w:t>
      </w:r>
      <w:r w:rsidR="00CC378D">
        <w:rPr>
          <w:rFonts w:eastAsia="Times New Roman" w:cs="Arial"/>
          <w:szCs w:val="24"/>
          <w:lang w:val="es-ES_tradnl" w:eastAsia="es-ES"/>
        </w:rPr>
        <w:t xml:space="preserve">Montes </w:t>
      </w:r>
      <w:r w:rsidRPr="002360C6">
        <w:rPr>
          <w:rFonts w:eastAsia="Times New Roman" w:cs="Arial"/>
          <w:szCs w:val="24"/>
          <w:lang w:val="es-ES_tradnl" w:eastAsia="es-ES"/>
        </w:rPr>
        <w:t>y Pizarro.</w:t>
      </w:r>
    </w:p>
    <w:p w14:paraId="72F15892" w14:textId="77777777" w:rsidR="009D4F3F" w:rsidRPr="009D4F3F" w:rsidRDefault="009D4F3F" w:rsidP="009D4F3F">
      <w:pPr>
        <w:jc w:val="both"/>
        <w:rPr>
          <w:rFonts w:eastAsia="Times New Roman" w:cs="Arial"/>
          <w:szCs w:val="24"/>
          <w:highlight w:val="yellow"/>
          <w:lang w:val="es-ES_tradnl" w:eastAsia="es-ES"/>
        </w:rPr>
      </w:pPr>
    </w:p>
    <w:p w14:paraId="1574F7CF" w14:textId="47207E48" w:rsidR="00CC378D" w:rsidRDefault="00CC378D" w:rsidP="00CC378D">
      <w:pPr>
        <w:ind w:firstLine="2835"/>
        <w:jc w:val="both"/>
        <w:rPr>
          <w:rFonts w:cs="Arial"/>
          <w:szCs w:val="24"/>
        </w:rPr>
      </w:pPr>
      <w:r>
        <w:rPr>
          <w:rFonts w:cs="Arial"/>
          <w:szCs w:val="24"/>
          <w:lang w:val="es-ES_tradnl"/>
        </w:rPr>
        <w:t>Asimismo, concurrieron, d</w:t>
      </w:r>
      <w:r>
        <w:rPr>
          <w:rFonts w:cs="Arial"/>
          <w:szCs w:val="24"/>
        </w:rPr>
        <w:t xml:space="preserve">el Ministerio de Energía, el </w:t>
      </w:r>
      <w:proofErr w:type="gramStart"/>
      <w:r>
        <w:rPr>
          <w:rFonts w:cs="Arial"/>
          <w:szCs w:val="24"/>
        </w:rPr>
        <w:t>Ministro</w:t>
      </w:r>
      <w:proofErr w:type="gramEnd"/>
      <w:r>
        <w:rPr>
          <w:rFonts w:cs="Arial"/>
          <w:szCs w:val="24"/>
        </w:rPr>
        <w:t xml:space="preserve"> (S) y Subsecretario de Energía, señor Fr</w:t>
      </w:r>
      <w:r w:rsidRPr="00002197">
        <w:rPr>
          <w:rFonts w:cs="Arial"/>
          <w:szCs w:val="24"/>
        </w:rPr>
        <w:t>ancisco López</w:t>
      </w:r>
      <w:r>
        <w:rPr>
          <w:rFonts w:cs="Arial"/>
          <w:szCs w:val="24"/>
        </w:rPr>
        <w:t xml:space="preserve">; el Coordinador Legislativo del Ministro, señor </w:t>
      </w:r>
      <w:r w:rsidRPr="00002197">
        <w:rPr>
          <w:rFonts w:cs="Arial"/>
          <w:szCs w:val="24"/>
        </w:rPr>
        <w:t>Juan Ignacio Gómez</w:t>
      </w:r>
      <w:r>
        <w:rPr>
          <w:rFonts w:cs="Arial"/>
          <w:szCs w:val="24"/>
        </w:rPr>
        <w:t xml:space="preserve">, y la asesora legislativa, señora </w:t>
      </w:r>
      <w:r w:rsidRPr="00002197">
        <w:rPr>
          <w:rFonts w:cs="Arial"/>
          <w:szCs w:val="24"/>
        </w:rPr>
        <w:t>María Raquel Fuenzalida</w:t>
      </w:r>
      <w:r>
        <w:rPr>
          <w:rFonts w:cs="Arial"/>
          <w:szCs w:val="24"/>
        </w:rPr>
        <w:t>.</w:t>
      </w:r>
    </w:p>
    <w:p w14:paraId="4353721A" w14:textId="77777777" w:rsidR="00CC378D" w:rsidRDefault="00CC378D" w:rsidP="00CC378D">
      <w:pPr>
        <w:ind w:firstLine="2835"/>
        <w:jc w:val="both"/>
        <w:rPr>
          <w:rFonts w:cs="Arial"/>
          <w:szCs w:val="24"/>
        </w:rPr>
      </w:pPr>
    </w:p>
    <w:p w14:paraId="734D283C" w14:textId="77777777" w:rsidR="00CC378D" w:rsidRPr="003959D7" w:rsidRDefault="00CC378D" w:rsidP="00CC378D">
      <w:pPr>
        <w:ind w:firstLine="2835"/>
        <w:jc w:val="both"/>
        <w:rPr>
          <w:rFonts w:eastAsia="Times New Roman" w:cs="Arial"/>
          <w:color w:val="333333"/>
          <w:szCs w:val="24"/>
          <w:lang w:eastAsia="es-CL"/>
        </w:rPr>
      </w:pPr>
      <w:r w:rsidRPr="003959D7">
        <w:rPr>
          <w:rFonts w:eastAsia="Times New Roman" w:cs="Arial"/>
          <w:color w:val="333333"/>
          <w:szCs w:val="24"/>
          <w:lang w:eastAsia="es-CL"/>
        </w:rPr>
        <w:t xml:space="preserve">Del Ministerio Secretaría General de la Presidencia, </w:t>
      </w:r>
      <w:r>
        <w:rPr>
          <w:rFonts w:eastAsia="Times New Roman" w:cs="Arial"/>
          <w:color w:val="333333"/>
          <w:szCs w:val="24"/>
          <w:lang w:eastAsia="es-CL"/>
        </w:rPr>
        <w:t>la</w:t>
      </w:r>
      <w:r w:rsidRPr="003959D7">
        <w:rPr>
          <w:rFonts w:eastAsia="Times New Roman" w:cs="Arial"/>
          <w:color w:val="333333"/>
          <w:szCs w:val="24"/>
          <w:lang w:eastAsia="es-CL"/>
        </w:rPr>
        <w:t xml:space="preserve"> asesor</w:t>
      </w:r>
      <w:r>
        <w:rPr>
          <w:rFonts w:eastAsia="Times New Roman" w:cs="Arial"/>
          <w:color w:val="333333"/>
          <w:szCs w:val="24"/>
          <w:lang w:eastAsia="es-CL"/>
        </w:rPr>
        <w:t>a procuradora</w:t>
      </w:r>
      <w:r w:rsidRPr="003959D7">
        <w:rPr>
          <w:rFonts w:eastAsia="Times New Roman" w:cs="Arial"/>
          <w:color w:val="333333"/>
          <w:szCs w:val="24"/>
          <w:lang w:eastAsia="es-CL"/>
        </w:rPr>
        <w:t>, señor</w:t>
      </w:r>
      <w:r>
        <w:rPr>
          <w:rFonts w:eastAsia="Times New Roman" w:cs="Arial"/>
          <w:color w:val="333333"/>
          <w:szCs w:val="24"/>
          <w:lang w:eastAsia="es-CL"/>
        </w:rPr>
        <w:t>a</w:t>
      </w:r>
      <w:r w:rsidRPr="003959D7">
        <w:rPr>
          <w:rFonts w:eastAsia="Times New Roman" w:cs="Arial"/>
          <w:color w:val="333333"/>
          <w:szCs w:val="24"/>
          <w:lang w:eastAsia="es-CL"/>
        </w:rPr>
        <w:t xml:space="preserve"> </w:t>
      </w:r>
      <w:r>
        <w:rPr>
          <w:rFonts w:eastAsia="Times New Roman" w:cs="Arial"/>
          <w:color w:val="333333"/>
          <w:szCs w:val="24"/>
          <w:lang w:eastAsia="es-CL"/>
        </w:rPr>
        <w:t>Mikaela Romero.</w:t>
      </w:r>
      <w:r w:rsidRPr="003959D7">
        <w:rPr>
          <w:rFonts w:eastAsia="Times New Roman" w:cs="Arial"/>
          <w:color w:val="333333"/>
          <w:szCs w:val="24"/>
          <w:lang w:eastAsia="es-CL"/>
        </w:rPr>
        <w:t xml:space="preserve"> </w:t>
      </w:r>
    </w:p>
    <w:p w14:paraId="720D6900" w14:textId="77777777" w:rsidR="00CC378D" w:rsidRDefault="00CC378D" w:rsidP="00CC378D">
      <w:pPr>
        <w:ind w:firstLine="2835"/>
        <w:jc w:val="both"/>
        <w:rPr>
          <w:rFonts w:cs="Arial"/>
          <w:szCs w:val="24"/>
        </w:rPr>
      </w:pPr>
    </w:p>
    <w:p w14:paraId="078211BA" w14:textId="77777777" w:rsidR="00CC378D" w:rsidRDefault="00CC378D" w:rsidP="00CC378D">
      <w:pPr>
        <w:ind w:firstLine="2835"/>
        <w:jc w:val="both"/>
        <w:rPr>
          <w:rFonts w:cs="Arial"/>
          <w:szCs w:val="24"/>
        </w:rPr>
      </w:pPr>
      <w:r>
        <w:rPr>
          <w:rFonts w:cs="Arial"/>
          <w:szCs w:val="24"/>
        </w:rPr>
        <w:t xml:space="preserve">De la Comisión Nacional de Energía, el </w:t>
      </w:r>
      <w:r w:rsidRPr="00002197">
        <w:rPr>
          <w:rFonts w:cs="Arial"/>
          <w:szCs w:val="24"/>
        </w:rPr>
        <w:t>Secretario Ejecutivo</w:t>
      </w:r>
      <w:r>
        <w:rPr>
          <w:rFonts w:cs="Arial"/>
          <w:szCs w:val="24"/>
        </w:rPr>
        <w:t>, señor José Venegas, y la</w:t>
      </w:r>
      <w:r w:rsidRPr="00002197">
        <w:rPr>
          <w:rFonts w:cs="Arial"/>
          <w:szCs w:val="24"/>
        </w:rPr>
        <w:t xml:space="preserve"> encargada de </w:t>
      </w:r>
      <w:r>
        <w:rPr>
          <w:rFonts w:cs="Arial"/>
          <w:szCs w:val="24"/>
        </w:rPr>
        <w:t xml:space="preserve">comunicaciones, señora Alejandra Quintanilla. </w:t>
      </w:r>
    </w:p>
    <w:p w14:paraId="23EEAF44" w14:textId="77777777" w:rsidR="00CC378D" w:rsidRDefault="00CC378D" w:rsidP="00CC378D">
      <w:pPr>
        <w:ind w:firstLine="2835"/>
        <w:jc w:val="both"/>
        <w:rPr>
          <w:rFonts w:cs="Arial"/>
          <w:szCs w:val="24"/>
        </w:rPr>
      </w:pPr>
    </w:p>
    <w:p w14:paraId="16C67B01" w14:textId="77777777" w:rsidR="00CC378D" w:rsidRDefault="00CC378D" w:rsidP="00CC378D">
      <w:pPr>
        <w:ind w:firstLine="2835"/>
        <w:jc w:val="both"/>
        <w:rPr>
          <w:rFonts w:cs="Arial"/>
          <w:szCs w:val="24"/>
        </w:rPr>
      </w:pPr>
      <w:r>
        <w:rPr>
          <w:rFonts w:cs="Arial"/>
          <w:szCs w:val="24"/>
        </w:rPr>
        <w:t>El asesor del Honorable Senador Coloma, señor Williams Valenzuela.</w:t>
      </w:r>
    </w:p>
    <w:p w14:paraId="57698AC9" w14:textId="77777777" w:rsidR="00CC378D" w:rsidRDefault="00CC378D" w:rsidP="00CC378D">
      <w:pPr>
        <w:ind w:firstLine="2835"/>
        <w:jc w:val="both"/>
        <w:rPr>
          <w:rFonts w:cs="Arial"/>
          <w:szCs w:val="24"/>
        </w:rPr>
      </w:pPr>
    </w:p>
    <w:p w14:paraId="06FE2E6B" w14:textId="77777777" w:rsidR="00CC378D" w:rsidRPr="003959D7" w:rsidRDefault="00CC378D" w:rsidP="00CC378D">
      <w:pPr>
        <w:ind w:firstLine="2835"/>
        <w:jc w:val="both"/>
        <w:rPr>
          <w:rFonts w:eastAsia="Times New Roman" w:cs="Arial"/>
          <w:color w:val="333333"/>
          <w:szCs w:val="24"/>
          <w:lang w:eastAsia="es-CL"/>
        </w:rPr>
      </w:pPr>
      <w:r w:rsidRPr="003959D7">
        <w:rPr>
          <w:rFonts w:eastAsia="Times New Roman" w:cs="Arial"/>
          <w:color w:val="333333"/>
          <w:szCs w:val="24"/>
          <w:lang w:eastAsia="es-CL"/>
        </w:rPr>
        <w:t>La asesora del Honorable Senador García, señora Valentina Becerra.</w:t>
      </w:r>
    </w:p>
    <w:p w14:paraId="604779D7" w14:textId="77777777" w:rsidR="00CC378D" w:rsidRDefault="00CC378D" w:rsidP="00CC378D">
      <w:pPr>
        <w:ind w:firstLine="2835"/>
        <w:jc w:val="both"/>
        <w:rPr>
          <w:rFonts w:cs="Arial"/>
          <w:szCs w:val="24"/>
        </w:rPr>
      </w:pPr>
    </w:p>
    <w:p w14:paraId="311A0513" w14:textId="77777777" w:rsidR="00CC378D" w:rsidRDefault="00CC378D" w:rsidP="00CC378D">
      <w:pPr>
        <w:ind w:firstLine="2835"/>
        <w:jc w:val="both"/>
        <w:rPr>
          <w:rFonts w:cs="Arial"/>
          <w:szCs w:val="24"/>
        </w:rPr>
      </w:pPr>
      <w:r>
        <w:rPr>
          <w:rFonts w:cs="Arial"/>
          <w:szCs w:val="24"/>
        </w:rPr>
        <w:t>El asesor del Honorable Senador Lagos, señor Reinaldo Monardes.</w:t>
      </w:r>
    </w:p>
    <w:p w14:paraId="4E4166D2" w14:textId="77777777" w:rsidR="00CC378D" w:rsidRDefault="00CC378D" w:rsidP="00CC378D">
      <w:pPr>
        <w:ind w:firstLine="2835"/>
        <w:jc w:val="both"/>
        <w:rPr>
          <w:rFonts w:cs="Arial"/>
          <w:szCs w:val="24"/>
        </w:rPr>
      </w:pPr>
    </w:p>
    <w:p w14:paraId="3E12539E" w14:textId="77777777" w:rsidR="00CC378D" w:rsidRPr="003959D7" w:rsidRDefault="00CC378D" w:rsidP="00CC378D">
      <w:pPr>
        <w:ind w:firstLine="2835"/>
        <w:jc w:val="both"/>
        <w:rPr>
          <w:rFonts w:eastAsia="Times New Roman" w:cs="Arial"/>
          <w:color w:val="333333"/>
          <w:szCs w:val="24"/>
          <w:lang w:eastAsia="es-CL"/>
        </w:rPr>
      </w:pPr>
      <w:r w:rsidRPr="003959D7">
        <w:rPr>
          <w:rFonts w:eastAsia="Times New Roman" w:cs="Arial"/>
          <w:color w:val="333333"/>
          <w:szCs w:val="24"/>
          <w:lang w:eastAsia="es-CL"/>
        </w:rPr>
        <w:t xml:space="preserve">Del Comité Demócrata Cristiano, </w:t>
      </w:r>
      <w:r>
        <w:rPr>
          <w:rFonts w:eastAsia="Times New Roman" w:cs="Arial"/>
          <w:color w:val="333333"/>
          <w:szCs w:val="24"/>
          <w:lang w:eastAsia="es-CL"/>
        </w:rPr>
        <w:t>el asesor</w:t>
      </w:r>
      <w:r w:rsidRPr="003959D7">
        <w:rPr>
          <w:rFonts w:eastAsia="Times New Roman" w:cs="Arial"/>
          <w:color w:val="333333"/>
          <w:szCs w:val="24"/>
          <w:lang w:eastAsia="es-CL"/>
        </w:rPr>
        <w:t xml:space="preserve">, señor Julio Valladares. </w:t>
      </w:r>
    </w:p>
    <w:p w14:paraId="601E9942" w14:textId="77777777" w:rsidR="00CC378D" w:rsidRDefault="00CC378D" w:rsidP="00CC378D">
      <w:pPr>
        <w:ind w:firstLine="2835"/>
        <w:jc w:val="both"/>
        <w:rPr>
          <w:rFonts w:cs="Arial"/>
          <w:szCs w:val="24"/>
        </w:rPr>
      </w:pPr>
    </w:p>
    <w:p w14:paraId="10EA500C" w14:textId="77777777" w:rsidR="00CC378D" w:rsidRPr="00CC378D" w:rsidRDefault="00CC378D" w:rsidP="00CC378D">
      <w:pPr>
        <w:ind w:firstLine="2835"/>
        <w:jc w:val="both"/>
        <w:rPr>
          <w:rFonts w:cs="Arial"/>
          <w:szCs w:val="24"/>
        </w:rPr>
      </w:pPr>
      <w:r w:rsidRPr="00CC378D">
        <w:rPr>
          <w:rFonts w:cs="Arial"/>
          <w:szCs w:val="24"/>
        </w:rPr>
        <w:t xml:space="preserve">De la Fundación Jaime Guzmán, la asesora, señora Antonia Vicencio. </w:t>
      </w:r>
    </w:p>
    <w:p w14:paraId="080D9263" w14:textId="77777777" w:rsidR="00CC378D" w:rsidRDefault="00CC378D" w:rsidP="00CC378D">
      <w:pPr>
        <w:ind w:firstLine="2835"/>
        <w:jc w:val="both"/>
        <w:rPr>
          <w:rFonts w:cs="Arial"/>
          <w:szCs w:val="24"/>
        </w:rPr>
      </w:pPr>
    </w:p>
    <w:p w14:paraId="0BB59205" w14:textId="77777777" w:rsidR="00CC378D" w:rsidRPr="003959D7" w:rsidRDefault="00CC378D" w:rsidP="00CC378D">
      <w:pPr>
        <w:ind w:firstLine="2835"/>
        <w:jc w:val="both"/>
        <w:rPr>
          <w:rFonts w:eastAsia="Times New Roman" w:cs="Arial"/>
          <w:color w:val="333333"/>
          <w:szCs w:val="24"/>
          <w:lang w:eastAsia="es-CL"/>
        </w:rPr>
      </w:pPr>
      <w:r w:rsidRPr="003959D7">
        <w:rPr>
          <w:rFonts w:eastAsia="Times New Roman" w:cs="Arial"/>
          <w:color w:val="333333"/>
          <w:szCs w:val="24"/>
          <w:lang w:eastAsia="es-CL"/>
        </w:rPr>
        <w:t>De la Biblioteca del Congreso Nacional, el asesor legislativo, señor Samuel Argüello.</w:t>
      </w:r>
    </w:p>
    <w:p w14:paraId="4FAF8A2E" w14:textId="372F433D" w:rsidR="00CC378D" w:rsidRDefault="00CC378D" w:rsidP="00CC378D">
      <w:pPr>
        <w:ind w:firstLine="2835"/>
        <w:jc w:val="both"/>
        <w:rPr>
          <w:rFonts w:cs="Arial"/>
          <w:szCs w:val="24"/>
        </w:rPr>
      </w:pPr>
    </w:p>
    <w:p w14:paraId="2B333C93" w14:textId="24B0DC86" w:rsidR="00CC378D" w:rsidRDefault="00CC378D" w:rsidP="00CC378D">
      <w:pPr>
        <w:jc w:val="center"/>
        <w:rPr>
          <w:rFonts w:cs="Arial"/>
          <w:szCs w:val="24"/>
        </w:rPr>
      </w:pPr>
      <w:r>
        <w:rPr>
          <w:rFonts w:cs="Arial"/>
          <w:szCs w:val="24"/>
        </w:rPr>
        <w:t>---</w:t>
      </w:r>
    </w:p>
    <w:p w14:paraId="590B332B" w14:textId="77777777" w:rsidR="00CC378D" w:rsidRDefault="00CC378D" w:rsidP="00CC378D">
      <w:pPr>
        <w:tabs>
          <w:tab w:val="left" w:pos="708"/>
        </w:tabs>
        <w:ind w:firstLine="2835"/>
        <w:jc w:val="both"/>
      </w:pPr>
    </w:p>
    <w:p w14:paraId="22147282" w14:textId="3008B4C2" w:rsidR="00CC378D" w:rsidRPr="00716D56" w:rsidRDefault="00CC378D" w:rsidP="00CC378D">
      <w:pPr>
        <w:tabs>
          <w:tab w:val="left" w:pos="708"/>
        </w:tabs>
        <w:ind w:firstLine="2835"/>
        <w:jc w:val="both"/>
      </w:pPr>
      <w:r w:rsidRPr="00716D56">
        <w:t xml:space="preserve">Para efectos de lo dispuesto en el artículo 124 del Reglamento del Senado, se deja constancia de que la Comisión de Hacienda </w:t>
      </w:r>
      <w:r>
        <w:lastRenderedPageBreak/>
        <w:t xml:space="preserve">no </w:t>
      </w:r>
      <w:r w:rsidRPr="00CC378D">
        <w:t>efectuó enmiendas</w:t>
      </w:r>
      <w:r w:rsidRPr="00716D56">
        <w:t xml:space="preserve"> respecto del </w:t>
      </w:r>
      <w:r>
        <w:t>texto despachado</w:t>
      </w:r>
      <w:r w:rsidRPr="00716D56">
        <w:t xml:space="preserve"> por la Comisión de Minería y Energía en su segundo informe.</w:t>
      </w:r>
    </w:p>
    <w:p w14:paraId="0579A2E5" w14:textId="77777777" w:rsidR="00CC378D" w:rsidRPr="00716D56" w:rsidRDefault="00CC378D" w:rsidP="00CC378D">
      <w:pPr>
        <w:tabs>
          <w:tab w:val="left" w:pos="708"/>
        </w:tabs>
        <w:ind w:firstLine="2835"/>
        <w:jc w:val="both"/>
      </w:pPr>
    </w:p>
    <w:p w14:paraId="0DFB8F7C" w14:textId="77777777" w:rsidR="009D4F3F" w:rsidRPr="009D4F3F" w:rsidRDefault="009D4F3F" w:rsidP="009D4F3F">
      <w:pPr>
        <w:tabs>
          <w:tab w:val="left" w:pos="2835"/>
        </w:tabs>
        <w:jc w:val="center"/>
        <w:rPr>
          <w:rFonts w:eastAsia="Times New Roman" w:cs="Arial"/>
          <w:b/>
          <w:szCs w:val="24"/>
          <w:lang w:val="es-ES_tradnl" w:eastAsia="es-ES"/>
        </w:rPr>
      </w:pPr>
      <w:r w:rsidRPr="009D4F3F">
        <w:rPr>
          <w:rFonts w:eastAsia="Times New Roman" w:cs="Arial"/>
          <w:b/>
          <w:szCs w:val="24"/>
          <w:lang w:val="es-ES_tradnl" w:eastAsia="es-ES"/>
        </w:rPr>
        <w:t>- - -</w:t>
      </w:r>
    </w:p>
    <w:p w14:paraId="06BC3814" w14:textId="77777777" w:rsidR="009D4F3F" w:rsidRPr="009D4F3F" w:rsidRDefault="009D4F3F" w:rsidP="009D4F3F">
      <w:pPr>
        <w:tabs>
          <w:tab w:val="left" w:pos="2835"/>
        </w:tabs>
        <w:jc w:val="both"/>
        <w:rPr>
          <w:rFonts w:eastAsia="Times New Roman" w:cs="Times New Roman"/>
          <w:szCs w:val="24"/>
          <w:lang w:val="es-ES_tradnl" w:eastAsia="es-ES"/>
        </w:rPr>
      </w:pPr>
    </w:p>
    <w:p w14:paraId="5EC18181" w14:textId="77777777" w:rsidR="009D4F3F" w:rsidRPr="009D4F3F" w:rsidRDefault="009D4F3F" w:rsidP="009D4F3F">
      <w:pPr>
        <w:tabs>
          <w:tab w:val="left" w:pos="2835"/>
        </w:tabs>
        <w:jc w:val="both"/>
        <w:rPr>
          <w:rFonts w:eastAsia="Times New Roman" w:cs="Arial"/>
          <w:szCs w:val="24"/>
          <w:lang w:eastAsia="es-ES"/>
        </w:rPr>
      </w:pPr>
    </w:p>
    <w:p w14:paraId="62AF9A8E" w14:textId="4C1F0E8E"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 xml:space="preserve">DISCUSIÓN </w:t>
      </w:r>
    </w:p>
    <w:p w14:paraId="05C931ED" w14:textId="77777777" w:rsidR="009D4F3F" w:rsidRPr="009D4F3F" w:rsidRDefault="009D4F3F" w:rsidP="009D4F3F">
      <w:pPr>
        <w:rPr>
          <w:rFonts w:eastAsia="Times New Roman" w:cs="Arial"/>
          <w:b/>
          <w:szCs w:val="24"/>
          <w:lang w:val="es-ES_tradnl" w:eastAsia="es-ES"/>
        </w:rPr>
      </w:pPr>
    </w:p>
    <w:p w14:paraId="697A4BB0" w14:textId="7A6527DE" w:rsidR="002360C6" w:rsidRDefault="00CC378D" w:rsidP="002360C6">
      <w:pPr>
        <w:ind w:firstLine="2760"/>
        <w:jc w:val="both"/>
        <w:rPr>
          <w:rFonts w:eastAsia="Times New Roman" w:cs="Arial"/>
          <w:szCs w:val="20"/>
          <w:lang w:val="es-ES_tradnl" w:eastAsia="es-ES"/>
        </w:rPr>
      </w:pPr>
      <w:r w:rsidRPr="00716D56">
        <w:rPr>
          <w:rFonts w:cs="Arial"/>
          <w:szCs w:val="24"/>
          <w:lang w:val="es-ES_tradnl"/>
        </w:rPr>
        <w:t xml:space="preserve">De conformidad con su competencia, la Comisión de Hacienda se pronunció respecto de las siguientes disposiciones del proyecto de ley: </w:t>
      </w:r>
      <w:r>
        <w:rPr>
          <w:rFonts w:cs="Arial"/>
          <w:szCs w:val="24"/>
          <w:lang w:val="es-ES_tradnl"/>
        </w:rPr>
        <w:t xml:space="preserve">inciso séptimo del artículo 182 bis contenido en el número 4, e incisos primero y decimoquinto del artículo 183 bis que introduce el número 6, ambos del </w:t>
      </w:r>
      <w:r w:rsidRPr="00F63C29">
        <w:rPr>
          <w:rFonts w:cs="Arial"/>
          <w:szCs w:val="24"/>
          <w:lang w:val="es-ES_tradnl"/>
        </w:rPr>
        <w:t>artículo único permanente; y el artículo décimo primero transitorio</w:t>
      </w:r>
      <w:r w:rsidRPr="00716D56">
        <w:rPr>
          <w:rFonts w:cs="Arial"/>
          <w:szCs w:val="24"/>
          <w:lang w:val="es-ES_tradnl"/>
        </w:rPr>
        <w:t xml:space="preserve">. Lo hizo en los términos en que fueron aprobados por la </w:t>
      </w:r>
      <w:r w:rsidRPr="00716D56">
        <w:rPr>
          <w:szCs w:val="24"/>
        </w:rPr>
        <w:t xml:space="preserve">Comisión de Minería y Energía, </w:t>
      </w:r>
      <w:r w:rsidRPr="00716D56">
        <w:rPr>
          <w:rFonts w:cs="Arial"/>
          <w:szCs w:val="24"/>
          <w:lang w:val="es-ES_tradnl"/>
        </w:rPr>
        <w:t>como corresponde de acuerdo con lo dispuesto en el artículo 41 del Reglamento de la Corporación.</w:t>
      </w:r>
    </w:p>
    <w:p w14:paraId="13B69E65" w14:textId="77777777" w:rsidR="002360C6" w:rsidRDefault="002360C6" w:rsidP="002360C6">
      <w:pPr>
        <w:ind w:firstLine="2760"/>
        <w:jc w:val="both"/>
        <w:rPr>
          <w:rFonts w:eastAsia="Times New Roman" w:cs="Arial"/>
          <w:szCs w:val="20"/>
          <w:lang w:val="es-ES_tradnl" w:eastAsia="es-ES"/>
        </w:rPr>
      </w:pPr>
    </w:p>
    <w:p w14:paraId="1EC35547" w14:textId="7E7814D5" w:rsidR="002360C6" w:rsidRDefault="002360C6" w:rsidP="002360C6">
      <w:pPr>
        <w:ind w:firstLine="2760"/>
        <w:jc w:val="both"/>
        <w:rPr>
          <w:rFonts w:eastAsia="Times New Roman" w:cs="Arial"/>
          <w:b/>
          <w:szCs w:val="20"/>
          <w:lang w:val="es-ES_tradnl" w:eastAsia="es-ES"/>
        </w:rPr>
      </w:pPr>
      <w:r>
        <w:rPr>
          <w:rFonts w:eastAsia="Times New Roman" w:cs="Arial"/>
          <w:b/>
          <w:szCs w:val="20"/>
          <w:lang w:val="es-ES_tradnl" w:eastAsia="es-ES"/>
        </w:rPr>
        <w:t>Puest</w:t>
      </w:r>
      <w:r w:rsidR="00CC378D">
        <w:rPr>
          <w:rFonts w:eastAsia="Times New Roman" w:cs="Arial"/>
          <w:b/>
          <w:szCs w:val="20"/>
          <w:lang w:val="es-ES_tradnl" w:eastAsia="es-ES"/>
        </w:rPr>
        <w:t>as</w:t>
      </w:r>
      <w:r>
        <w:rPr>
          <w:rFonts w:eastAsia="Times New Roman" w:cs="Arial"/>
          <w:b/>
          <w:szCs w:val="20"/>
          <w:lang w:val="es-ES_tradnl" w:eastAsia="es-ES"/>
        </w:rPr>
        <w:t xml:space="preserve"> en votación</w:t>
      </w:r>
      <w:r w:rsidR="00CC378D">
        <w:rPr>
          <w:rFonts w:eastAsia="Times New Roman" w:cs="Arial"/>
          <w:b/>
          <w:szCs w:val="20"/>
          <w:lang w:val="es-ES_tradnl" w:eastAsia="es-ES"/>
        </w:rPr>
        <w:t xml:space="preserve"> las referidas normas, </w:t>
      </w:r>
      <w:r w:rsidRPr="00D1518C">
        <w:rPr>
          <w:rFonts w:eastAsia="Times New Roman" w:cs="Arial"/>
          <w:b/>
          <w:szCs w:val="20"/>
          <w:lang w:val="es-ES_tradnl" w:eastAsia="es-ES"/>
        </w:rPr>
        <w:t>resulta</w:t>
      </w:r>
      <w:r w:rsidR="00CC378D">
        <w:rPr>
          <w:rFonts w:eastAsia="Times New Roman" w:cs="Arial"/>
          <w:b/>
          <w:szCs w:val="20"/>
          <w:lang w:val="es-ES_tradnl" w:eastAsia="es-ES"/>
        </w:rPr>
        <w:t>ron</w:t>
      </w:r>
      <w:r w:rsidRPr="00D1518C">
        <w:rPr>
          <w:rFonts w:eastAsia="Times New Roman" w:cs="Arial"/>
          <w:b/>
          <w:szCs w:val="20"/>
          <w:lang w:val="es-ES_tradnl" w:eastAsia="es-ES"/>
        </w:rPr>
        <w:t xml:space="preserve"> aprobad</w:t>
      </w:r>
      <w:r w:rsidR="00CC378D">
        <w:rPr>
          <w:rFonts w:eastAsia="Times New Roman" w:cs="Arial"/>
          <w:b/>
          <w:szCs w:val="20"/>
          <w:lang w:val="es-ES_tradnl" w:eastAsia="es-ES"/>
        </w:rPr>
        <w:t>a</w:t>
      </w:r>
      <w:r w:rsidRPr="00D1518C">
        <w:rPr>
          <w:rFonts w:eastAsia="Times New Roman" w:cs="Arial"/>
          <w:b/>
          <w:szCs w:val="20"/>
          <w:lang w:val="es-ES_tradnl" w:eastAsia="es-ES"/>
        </w:rPr>
        <w:t xml:space="preserve">s por </w:t>
      </w:r>
      <w:r w:rsidR="00CC378D">
        <w:rPr>
          <w:rFonts w:eastAsia="Times New Roman" w:cs="Arial"/>
          <w:b/>
          <w:szCs w:val="20"/>
          <w:lang w:val="es-ES_tradnl" w:eastAsia="es-ES"/>
        </w:rPr>
        <w:t>mayoría de votos. Se pronunciaron favorablemente los</w:t>
      </w:r>
      <w:r w:rsidRPr="00D1518C">
        <w:rPr>
          <w:rFonts w:eastAsia="Times New Roman" w:cs="Arial"/>
          <w:b/>
          <w:szCs w:val="20"/>
          <w:lang w:val="es-ES_tradnl" w:eastAsia="es-ES"/>
        </w:rPr>
        <w:t xml:space="preserve"> Honorables Senadores señores Coloma, </w:t>
      </w:r>
      <w:r w:rsidR="00CC378D">
        <w:rPr>
          <w:rFonts w:eastAsia="Times New Roman" w:cs="Arial"/>
          <w:b/>
          <w:szCs w:val="20"/>
          <w:lang w:val="es-ES_tradnl" w:eastAsia="es-ES"/>
        </w:rPr>
        <w:t>García</w:t>
      </w:r>
      <w:r w:rsidRPr="00D1518C">
        <w:rPr>
          <w:rFonts w:eastAsia="Times New Roman" w:cs="Arial"/>
          <w:b/>
          <w:szCs w:val="20"/>
          <w:lang w:val="es-ES_tradnl" w:eastAsia="es-ES"/>
        </w:rPr>
        <w:t xml:space="preserve"> y Pizarro</w:t>
      </w:r>
      <w:r w:rsidR="00CC378D">
        <w:rPr>
          <w:rFonts w:eastAsia="Times New Roman" w:cs="Arial"/>
          <w:b/>
          <w:szCs w:val="20"/>
          <w:lang w:val="es-ES_tradnl" w:eastAsia="es-ES"/>
        </w:rPr>
        <w:t>, y se abstuvo el Honorable Senador señor Lagos</w:t>
      </w:r>
      <w:r w:rsidRPr="00D1518C">
        <w:rPr>
          <w:rFonts w:eastAsia="Times New Roman" w:cs="Arial"/>
          <w:b/>
          <w:szCs w:val="20"/>
          <w:lang w:val="es-ES_tradnl" w:eastAsia="es-ES"/>
        </w:rPr>
        <w:t>.</w:t>
      </w:r>
    </w:p>
    <w:p w14:paraId="46AB4D66" w14:textId="77777777" w:rsidR="002360C6" w:rsidRPr="0036103E" w:rsidRDefault="002360C6" w:rsidP="002360C6">
      <w:pPr>
        <w:ind w:firstLine="2760"/>
        <w:jc w:val="both"/>
        <w:rPr>
          <w:rFonts w:eastAsia="Times New Roman" w:cs="Arial"/>
          <w:b/>
          <w:szCs w:val="20"/>
          <w:lang w:val="es-ES_tradnl" w:eastAsia="es-ES"/>
        </w:rPr>
      </w:pPr>
    </w:p>
    <w:p w14:paraId="34C51C45" w14:textId="77777777"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 - -</w:t>
      </w:r>
    </w:p>
    <w:p w14:paraId="08DA5138" w14:textId="77777777" w:rsidR="009D4F3F" w:rsidRPr="009D4F3F" w:rsidRDefault="009D4F3F" w:rsidP="009D4F3F">
      <w:pPr>
        <w:ind w:firstLine="2760"/>
        <w:jc w:val="both"/>
        <w:rPr>
          <w:rFonts w:eastAsia="Times New Roman" w:cs="Arial"/>
          <w:szCs w:val="24"/>
          <w:lang w:val="es-ES_tradnl" w:eastAsia="es-ES"/>
        </w:rPr>
      </w:pPr>
    </w:p>
    <w:p w14:paraId="6615034C" w14:textId="77777777" w:rsidR="00175443" w:rsidRPr="00716D56" w:rsidRDefault="00175443" w:rsidP="00175443">
      <w:pPr>
        <w:tabs>
          <w:tab w:val="left" w:pos="0"/>
        </w:tabs>
        <w:ind w:firstLine="2880"/>
        <w:jc w:val="both"/>
        <w:rPr>
          <w:rFonts w:eastAsia="MS Mincho" w:cs="Arial"/>
          <w:szCs w:val="24"/>
        </w:rPr>
      </w:pPr>
      <w:r w:rsidRPr="00716D56">
        <w:rPr>
          <w:rFonts w:eastAsia="MS Mincho" w:cs="Arial"/>
          <w:szCs w:val="24"/>
        </w:rPr>
        <w:t xml:space="preserve">- La Dirección de Presupuestos emitió, en primer lugar, el informe financiero </w:t>
      </w:r>
      <w:proofErr w:type="spellStart"/>
      <w:r w:rsidRPr="00716D56">
        <w:rPr>
          <w:rFonts w:eastAsia="MS Mincho" w:cs="Arial"/>
          <w:szCs w:val="24"/>
        </w:rPr>
        <w:t>N°</w:t>
      </w:r>
      <w:proofErr w:type="spellEnd"/>
      <w:r w:rsidRPr="00716D56">
        <w:rPr>
          <w:rFonts w:eastAsia="MS Mincho" w:cs="Arial"/>
          <w:szCs w:val="24"/>
        </w:rPr>
        <w:t xml:space="preserve"> </w:t>
      </w:r>
      <w:r>
        <w:rPr>
          <w:rFonts w:eastAsia="MS Mincho" w:cs="Arial"/>
          <w:szCs w:val="24"/>
        </w:rPr>
        <w:t>56</w:t>
      </w:r>
      <w:r w:rsidRPr="00716D56">
        <w:rPr>
          <w:rFonts w:eastAsia="MS Mincho" w:cs="Arial"/>
          <w:szCs w:val="24"/>
        </w:rPr>
        <w:t>, de 1</w:t>
      </w:r>
      <w:r>
        <w:rPr>
          <w:rFonts w:eastAsia="MS Mincho" w:cs="Arial"/>
          <w:szCs w:val="24"/>
        </w:rPr>
        <w:t>8</w:t>
      </w:r>
      <w:r w:rsidRPr="00716D56">
        <w:rPr>
          <w:rFonts w:eastAsia="MS Mincho" w:cs="Arial"/>
          <w:szCs w:val="24"/>
        </w:rPr>
        <w:t xml:space="preserve"> de a</w:t>
      </w:r>
      <w:r>
        <w:rPr>
          <w:rFonts w:eastAsia="MS Mincho" w:cs="Arial"/>
          <w:szCs w:val="24"/>
        </w:rPr>
        <w:t>bril</w:t>
      </w:r>
      <w:r w:rsidRPr="00716D56">
        <w:rPr>
          <w:rFonts w:eastAsia="MS Mincho" w:cs="Arial"/>
          <w:szCs w:val="24"/>
        </w:rPr>
        <w:t xml:space="preserve"> de 2019, que señala, de modo textual, lo siguiente:</w:t>
      </w:r>
    </w:p>
    <w:p w14:paraId="4F2C5892" w14:textId="77777777" w:rsidR="00175443" w:rsidRPr="00716D56" w:rsidRDefault="00175443" w:rsidP="00175443">
      <w:pPr>
        <w:tabs>
          <w:tab w:val="left" w:pos="2835"/>
        </w:tabs>
        <w:jc w:val="both"/>
        <w:rPr>
          <w:b/>
        </w:rPr>
      </w:pPr>
    </w:p>
    <w:p w14:paraId="734EAA55" w14:textId="77777777" w:rsidR="00175443" w:rsidRPr="00CC7220" w:rsidRDefault="00175443" w:rsidP="00175443">
      <w:pPr>
        <w:ind w:firstLine="2835"/>
        <w:jc w:val="both"/>
        <w:rPr>
          <w:rFonts w:eastAsia="Courier New" w:cs="Arial"/>
          <w:b/>
          <w:bCs/>
          <w:color w:val="000000"/>
          <w:szCs w:val="24"/>
          <w:lang w:bidi="es-ES"/>
        </w:rPr>
      </w:pPr>
      <w:r w:rsidRPr="00716D56">
        <w:rPr>
          <w:rFonts w:eastAsia="Courier New" w:cs="Arial"/>
          <w:color w:val="000000"/>
          <w:szCs w:val="24"/>
          <w:lang w:bidi="es-ES"/>
        </w:rPr>
        <w:t>“</w:t>
      </w:r>
      <w:bookmarkStart w:id="0" w:name="bookmark3"/>
      <w:r w:rsidRPr="00CC7220">
        <w:rPr>
          <w:rFonts w:eastAsia="Courier New" w:cs="Arial"/>
          <w:b/>
          <w:bCs/>
          <w:color w:val="000000"/>
          <w:szCs w:val="24"/>
          <w:lang w:bidi="es-ES"/>
        </w:rPr>
        <w:t>I. Antecedentes</w:t>
      </w:r>
      <w:bookmarkEnd w:id="0"/>
    </w:p>
    <w:p w14:paraId="2BE98228" w14:textId="77777777" w:rsidR="00175443" w:rsidRPr="00CC7220" w:rsidRDefault="00175443" w:rsidP="00175443">
      <w:pPr>
        <w:ind w:firstLine="2835"/>
        <w:jc w:val="both"/>
        <w:rPr>
          <w:rFonts w:eastAsia="Courier New" w:cs="Arial"/>
          <w:b/>
          <w:bCs/>
          <w:color w:val="000000"/>
          <w:szCs w:val="24"/>
          <w:lang w:bidi="es-ES"/>
        </w:rPr>
      </w:pPr>
    </w:p>
    <w:p w14:paraId="3832F500"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En el marco de lo definido en el programa de gobierno y en la Ruta Energética 2018- 2022, se inició un proceso legislativo con el fin de implementar una profunda reforma del segmento de distribución. Esto se considera relevante debido a que este es el único segmento del sector eléctrico que interactúa directamente con la ciudadanía.</w:t>
      </w:r>
    </w:p>
    <w:p w14:paraId="15EDCAE2" w14:textId="77777777" w:rsidR="00175443" w:rsidRPr="00CC7220" w:rsidRDefault="00175443" w:rsidP="00175443">
      <w:pPr>
        <w:ind w:firstLine="2835"/>
        <w:jc w:val="both"/>
        <w:rPr>
          <w:rFonts w:eastAsia="Courier New" w:cs="Arial"/>
          <w:color w:val="000000"/>
          <w:szCs w:val="24"/>
          <w:lang w:bidi="es-ES"/>
        </w:rPr>
      </w:pPr>
    </w:p>
    <w:p w14:paraId="5E8CF752"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Dado ello, se considera necesario proceder a la dictación de una ley que revise la rentabilidad de las empresas y los procedimientos de determinación de costos de los prestadores del servicio de distribución eléctrica, que incorpore las modificaciones necesarias a la brevedad posible, con el fin que sean reflejadas en las tarifas a partir del próximo periodo tarifario.</w:t>
      </w:r>
    </w:p>
    <w:p w14:paraId="60F8FFF8" w14:textId="77777777" w:rsidR="00175443" w:rsidRPr="00CC7220" w:rsidRDefault="00175443" w:rsidP="00175443">
      <w:pPr>
        <w:ind w:firstLine="2835"/>
        <w:jc w:val="both"/>
        <w:rPr>
          <w:rFonts w:eastAsia="Courier New" w:cs="Arial"/>
          <w:color w:val="000000"/>
          <w:szCs w:val="24"/>
          <w:lang w:bidi="es-ES"/>
        </w:rPr>
      </w:pPr>
    </w:p>
    <w:p w14:paraId="4B80BE9C"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El presente proyecto, en su artículo único permanente, se abordan las siguientes ideas matrices:</w:t>
      </w:r>
    </w:p>
    <w:p w14:paraId="251D47A2" w14:textId="77777777" w:rsidR="00175443" w:rsidRPr="00CC7220" w:rsidRDefault="00175443" w:rsidP="00175443">
      <w:pPr>
        <w:ind w:firstLine="2835"/>
        <w:jc w:val="both"/>
        <w:rPr>
          <w:rFonts w:eastAsia="Courier New" w:cs="Arial"/>
          <w:color w:val="000000"/>
          <w:szCs w:val="24"/>
          <w:lang w:bidi="es-ES"/>
        </w:rPr>
      </w:pPr>
    </w:p>
    <w:p w14:paraId="6F51C6F9"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lastRenderedPageBreak/>
        <w:t>1) Fija una nueva tasa de actualización, que sea representativa de los riesgos que actualmente enfrentan las empresas que prestan el servicio de distribución eléctrica.</w:t>
      </w:r>
    </w:p>
    <w:p w14:paraId="2F4B3658" w14:textId="77777777" w:rsidR="00175443" w:rsidRPr="00CC7220" w:rsidRDefault="00175443" w:rsidP="00175443">
      <w:pPr>
        <w:ind w:firstLine="2835"/>
        <w:jc w:val="both"/>
        <w:rPr>
          <w:rFonts w:eastAsia="Courier New" w:cs="Arial"/>
          <w:color w:val="000000"/>
          <w:szCs w:val="24"/>
          <w:lang w:bidi="es-ES"/>
        </w:rPr>
      </w:pPr>
    </w:p>
    <w:p w14:paraId="7370996B"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2) Moderniza el procedimiento de determinación y fijación de las tarifas de distribución, a fin de determinar adecuadamente los costos eficientes de prestar el servicio de distribución.</w:t>
      </w:r>
    </w:p>
    <w:p w14:paraId="41BA9AB4" w14:textId="77777777" w:rsidR="00175443" w:rsidRPr="00CC7220" w:rsidRDefault="00175443" w:rsidP="00175443">
      <w:pPr>
        <w:ind w:firstLine="2835"/>
        <w:jc w:val="both"/>
        <w:rPr>
          <w:rFonts w:eastAsia="Courier New" w:cs="Arial"/>
          <w:color w:val="000000"/>
          <w:szCs w:val="24"/>
          <w:lang w:bidi="es-ES"/>
        </w:rPr>
      </w:pPr>
    </w:p>
    <w:p w14:paraId="2ECDB68C"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3) Perfeccionamiento de la definición de “áreas típicas”.</w:t>
      </w:r>
    </w:p>
    <w:p w14:paraId="24E0D375" w14:textId="77777777" w:rsidR="00175443" w:rsidRPr="00CC7220" w:rsidRDefault="00175443" w:rsidP="00175443">
      <w:pPr>
        <w:ind w:firstLine="2835"/>
        <w:jc w:val="both"/>
        <w:rPr>
          <w:rFonts w:eastAsia="Courier New" w:cs="Arial"/>
          <w:color w:val="000000"/>
          <w:szCs w:val="24"/>
          <w:lang w:bidi="es-ES"/>
        </w:rPr>
      </w:pPr>
    </w:p>
    <w:p w14:paraId="601CE4A0"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Por su parte, el artículo transitorio contempla expresamente que las disposiciones del proyecto de ley se aplicarán al proceso de determinación de tarifas de distribución correspondiente al cuadrienio 2020-2024, así como también al proceso de fijación de precios de servicios no consistentes en suministros de energía, asociados a la distribución de energía eléctrica, en lo que fuere pertinente.</w:t>
      </w:r>
      <w:bookmarkStart w:id="1" w:name="bookmark4"/>
    </w:p>
    <w:p w14:paraId="4F7BC602" w14:textId="77777777" w:rsidR="00175443" w:rsidRPr="00CC7220" w:rsidRDefault="00175443" w:rsidP="00175443">
      <w:pPr>
        <w:ind w:firstLine="2835"/>
        <w:jc w:val="both"/>
        <w:rPr>
          <w:rFonts w:eastAsia="Courier New" w:cs="Arial"/>
          <w:color w:val="000000"/>
          <w:szCs w:val="24"/>
          <w:lang w:bidi="es-ES"/>
        </w:rPr>
      </w:pPr>
    </w:p>
    <w:p w14:paraId="5A682C8B" w14:textId="77777777" w:rsidR="00175443" w:rsidRPr="00CC7220" w:rsidRDefault="00175443" w:rsidP="00175443">
      <w:pPr>
        <w:ind w:firstLine="2835"/>
        <w:jc w:val="both"/>
        <w:rPr>
          <w:rFonts w:eastAsia="Courier New" w:cs="Arial"/>
          <w:b/>
          <w:bCs/>
          <w:color w:val="000000"/>
          <w:szCs w:val="24"/>
          <w:lang w:bidi="es-ES"/>
        </w:rPr>
      </w:pPr>
      <w:r w:rsidRPr="00CC7220">
        <w:rPr>
          <w:rFonts w:eastAsia="Courier New" w:cs="Arial"/>
          <w:b/>
          <w:bCs/>
          <w:color w:val="000000"/>
          <w:szCs w:val="24"/>
          <w:lang w:bidi="es-ES"/>
        </w:rPr>
        <w:t>II. Efecto del proyecto de ley sobre el Presupuesto Fiscal</w:t>
      </w:r>
      <w:bookmarkEnd w:id="1"/>
    </w:p>
    <w:p w14:paraId="6981A6F6" w14:textId="77777777" w:rsidR="00175443" w:rsidRPr="00CC7220" w:rsidRDefault="00175443" w:rsidP="00175443">
      <w:pPr>
        <w:ind w:firstLine="2835"/>
        <w:jc w:val="both"/>
        <w:rPr>
          <w:rFonts w:eastAsia="Courier New" w:cs="Arial"/>
          <w:color w:val="000000"/>
          <w:szCs w:val="24"/>
          <w:lang w:bidi="es-ES"/>
        </w:rPr>
      </w:pPr>
    </w:p>
    <w:p w14:paraId="2DEF1CBC"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El presente proyecto de ley irroga gastos por los siguientes conceptos:</w:t>
      </w:r>
    </w:p>
    <w:p w14:paraId="492E2B51" w14:textId="77777777" w:rsidR="00175443" w:rsidRPr="00CC7220" w:rsidRDefault="00175443" w:rsidP="00175443">
      <w:pPr>
        <w:ind w:firstLine="2835"/>
        <w:jc w:val="both"/>
        <w:rPr>
          <w:rFonts w:eastAsia="Courier New" w:cs="Arial"/>
          <w:color w:val="000000"/>
          <w:szCs w:val="24"/>
          <w:lang w:bidi="es-ES"/>
        </w:rPr>
      </w:pPr>
    </w:p>
    <w:p w14:paraId="0B40A629"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1. Gasto en personal: se necesita contratar a dos profesionales (ingenieros) grado 4, para apoyar la revisión de los estudios previamente mencionados.</w:t>
      </w:r>
    </w:p>
    <w:p w14:paraId="4A331D4E" w14:textId="77777777" w:rsidR="00175443" w:rsidRPr="00CC7220" w:rsidRDefault="00175443" w:rsidP="00175443">
      <w:pPr>
        <w:ind w:firstLine="2835"/>
        <w:jc w:val="both"/>
        <w:rPr>
          <w:rFonts w:eastAsia="Courier New" w:cs="Arial"/>
          <w:color w:val="000000"/>
          <w:szCs w:val="24"/>
          <w:lang w:bidi="es-ES"/>
        </w:rPr>
      </w:pPr>
    </w:p>
    <w:p w14:paraId="25F80BD5"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2. Gasto en Bienes y Servicios de Consumo: esto corresponde a la realización de los siguientes estudios.</w:t>
      </w:r>
    </w:p>
    <w:p w14:paraId="37EAC3B2" w14:textId="77777777" w:rsidR="00175443" w:rsidRPr="00CC7220" w:rsidRDefault="00175443" w:rsidP="00175443">
      <w:pPr>
        <w:ind w:firstLine="2835"/>
        <w:jc w:val="both"/>
        <w:rPr>
          <w:rFonts w:eastAsia="Courier New" w:cs="Arial"/>
          <w:color w:val="000000"/>
          <w:szCs w:val="24"/>
          <w:lang w:bidi="es-ES"/>
        </w:rPr>
      </w:pPr>
    </w:p>
    <w:p w14:paraId="44624AEC"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 Estudio de costo de capital: este estudio tiene un costo de $40.000 miles de pesos y se efectuará cada 4 años. El primer estudio debe ejecutarse el presente año, por lo que se financiará con presupuesto vigente, mediante reasignaciones. El siguiente debe hacerse el 2023.</w:t>
      </w:r>
    </w:p>
    <w:p w14:paraId="09E10F9D" w14:textId="77777777" w:rsidR="00175443" w:rsidRPr="00CC7220" w:rsidRDefault="00175443" w:rsidP="00175443">
      <w:pPr>
        <w:ind w:firstLine="2835"/>
        <w:jc w:val="both"/>
        <w:rPr>
          <w:rFonts w:eastAsia="Courier New" w:cs="Arial"/>
          <w:color w:val="000000"/>
          <w:szCs w:val="24"/>
          <w:lang w:bidi="es-ES"/>
        </w:rPr>
      </w:pPr>
    </w:p>
    <w:p w14:paraId="1A209F47"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 Estudio de valorización: pese a que se efectúa en la actualidad (cada 4 años), las presentes modificaciones implican que dicho estudio deberá ser de mayor profundidad. Esto se traduce un gasto incremental de $200.000 miles de pesos cada 4 años. El primer estudio de esta clase debe realizarse el año 2020.</w:t>
      </w:r>
    </w:p>
    <w:p w14:paraId="708B24D5" w14:textId="77777777" w:rsidR="00175443" w:rsidRPr="00CC7220" w:rsidRDefault="00175443" w:rsidP="00175443">
      <w:pPr>
        <w:ind w:firstLine="2835"/>
        <w:jc w:val="both"/>
        <w:rPr>
          <w:rFonts w:eastAsia="Courier New" w:cs="Arial"/>
          <w:color w:val="000000"/>
          <w:szCs w:val="24"/>
          <w:lang w:bidi="es-ES"/>
        </w:rPr>
      </w:pPr>
    </w:p>
    <w:p w14:paraId="2510E881"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3. Gasto en Activos no financieros: correspondiente a mobiliario y equipo informático para los profesionales que apoyarán la revisión de estudios.</w:t>
      </w:r>
    </w:p>
    <w:p w14:paraId="14B470B6" w14:textId="77777777" w:rsidR="00175443" w:rsidRPr="00CC7220" w:rsidRDefault="00175443" w:rsidP="00175443">
      <w:pPr>
        <w:ind w:firstLine="2835"/>
        <w:jc w:val="both"/>
        <w:rPr>
          <w:rFonts w:eastAsia="Courier New" w:cs="Arial"/>
          <w:color w:val="000000"/>
          <w:szCs w:val="24"/>
          <w:lang w:bidi="es-ES"/>
        </w:rPr>
      </w:pPr>
    </w:p>
    <w:p w14:paraId="6954B368" w14:textId="27E58D00" w:rsidR="00175443" w:rsidRPr="00CC7220" w:rsidRDefault="00175443" w:rsidP="00175443">
      <w:pPr>
        <w:jc w:val="center"/>
        <w:rPr>
          <w:rFonts w:eastAsia="Courier New" w:cs="Arial"/>
          <w:color w:val="000000"/>
          <w:szCs w:val="24"/>
          <w:lang w:bidi="es-ES"/>
        </w:rPr>
      </w:pPr>
      <w:r w:rsidRPr="00CC7220">
        <w:rPr>
          <w:rFonts w:ascii="Courier New" w:eastAsia="Courier New" w:hAnsi="Courier New" w:cs="Courier New"/>
          <w:noProof/>
          <w:color w:val="000000"/>
          <w:szCs w:val="24"/>
          <w:lang w:bidi="es-ES"/>
        </w:rPr>
        <w:lastRenderedPageBreak/>
        <w:drawing>
          <wp:inline distT="0" distB="0" distL="0" distR="0" wp14:anchorId="3B6E79DB" wp14:editId="25E045E1">
            <wp:extent cx="5252085" cy="1750695"/>
            <wp:effectExtent l="0" t="0" r="571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2085" cy="1750695"/>
                    </a:xfrm>
                    <a:prstGeom prst="rect">
                      <a:avLst/>
                    </a:prstGeom>
                    <a:noFill/>
                    <a:ln>
                      <a:noFill/>
                    </a:ln>
                  </pic:spPr>
                </pic:pic>
              </a:graphicData>
            </a:graphic>
          </wp:inline>
        </w:drawing>
      </w:r>
    </w:p>
    <w:p w14:paraId="71738CF2" w14:textId="77777777" w:rsidR="00175443" w:rsidRPr="00CC7220" w:rsidRDefault="00175443" w:rsidP="00175443">
      <w:pPr>
        <w:ind w:firstLine="2835"/>
        <w:jc w:val="both"/>
        <w:rPr>
          <w:rFonts w:eastAsia="Courier New" w:cs="Arial"/>
          <w:color w:val="000000"/>
          <w:szCs w:val="24"/>
          <w:lang w:bidi="es-ES"/>
        </w:rPr>
      </w:pPr>
    </w:p>
    <w:p w14:paraId="78F31CE4"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El mayor gasto Fiscal que irrogue la aplicación de esta ley durante su primer año presupuestario de vigencia, se financiará con cargo al presupuesto del Ministerio de Energía, y en lo que faltare, el Ministerio de Hacienda podrá suplementarlo con cargo a los recursos de la partida Tesoro Público, de la Ley de Presupuestos del Sector Público. En los años siguientes se estará a lo considerado en la Ley de Presupuestos.</w:t>
      </w:r>
    </w:p>
    <w:p w14:paraId="21A85622" w14:textId="77777777" w:rsidR="00175443" w:rsidRPr="00CC7220" w:rsidRDefault="00175443" w:rsidP="00175443">
      <w:pPr>
        <w:ind w:firstLine="2835"/>
        <w:jc w:val="both"/>
        <w:rPr>
          <w:rFonts w:eastAsia="Courier New" w:cs="Arial"/>
          <w:color w:val="000000"/>
          <w:szCs w:val="24"/>
          <w:lang w:bidi="es-ES"/>
        </w:rPr>
      </w:pPr>
    </w:p>
    <w:p w14:paraId="51FD2134" w14:textId="77777777" w:rsidR="00175443" w:rsidRPr="00CC7220" w:rsidRDefault="00175443" w:rsidP="00175443">
      <w:pPr>
        <w:ind w:firstLine="2835"/>
        <w:jc w:val="both"/>
        <w:rPr>
          <w:rFonts w:eastAsia="Courier New" w:cs="Arial"/>
          <w:b/>
          <w:bCs/>
          <w:color w:val="000000"/>
          <w:szCs w:val="24"/>
          <w:lang w:bidi="es-ES"/>
        </w:rPr>
      </w:pPr>
      <w:bookmarkStart w:id="2" w:name="bookmark5"/>
      <w:r w:rsidRPr="00CC7220">
        <w:rPr>
          <w:rFonts w:eastAsia="Courier New" w:cs="Arial"/>
          <w:b/>
          <w:bCs/>
          <w:color w:val="000000"/>
          <w:szCs w:val="24"/>
          <w:lang w:bidi="es-ES"/>
        </w:rPr>
        <w:t>III. Fuentes de información</w:t>
      </w:r>
      <w:bookmarkEnd w:id="2"/>
    </w:p>
    <w:p w14:paraId="76EFB356" w14:textId="77777777" w:rsidR="00175443" w:rsidRPr="00CC7220" w:rsidRDefault="00175443" w:rsidP="00175443">
      <w:pPr>
        <w:ind w:firstLine="2835"/>
        <w:jc w:val="both"/>
        <w:rPr>
          <w:rFonts w:eastAsia="Courier New" w:cs="Arial"/>
          <w:color w:val="000000"/>
          <w:szCs w:val="24"/>
          <w:lang w:bidi="es-ES"/>
        </w:rPr>
      </w:pPr>
    </w:p>
    <w:p w14:paraId="64BFD636" w14:textId="77777777" w:rsidR="00175443" w:rsidRPr="00CC7220"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 xml:space="preserve">1. Mensaje de S.E. el </w:t>
      </w:r>
      <w:proofErr w:type="gramStart"/>
      <w:r w:rsidRPr="00CC7220">
        <w:rPr>
          <w:rFonts w:eastAsia="Courier New" w:cs="Arial"/>
          <w:color w:val="000000"/>
          <w:szCs w:val="24"/>
          <w:lang w:bidi="es-ES"/>
        </w:rPr>
        <w:t>Presidente</w:t>
      </w:r>
      <w:proofErr w:type="gramEnd"/>
      <w:r w:rsidRPr="00CC7220">
        <w:rPr>
          <w:rFonts w:eastAsia="Courier New" w:cs="Arial"/>
          <w:color w:val="000000"/>
          <w:szCs w:val="24"/>
          <w:lang w:bidi="es-ES"/>
        </w:rPr>
        <w:t xml:space="preserve"> de la República con el que inicia un proyecto de ley que rebaja la rentabilidad de las empresas de distribución y perfecciona el proceso tarifario de distribución eléctrica. Santiago, 18 de abril de 2019.</w:t>
      </w:r>
    </w:p>
    <w:p w14:paraId="2E89CC15" w14:textId="77777777" w:rsidR="00175443" w:rsidRPr="00CC7220" w:rsidRDefault="00175443" w:rsidP="00175443">
      <w:pPr>
        <w:ind w:firstLine="2835"/>
        <w:jc w:val="both"/>
        <w:rPr>
          <w:rFonts w:eastAsia="Courier New" w:cs="Arial"/>
          <w:color w:val="000000"/>
          <w:szCs w:val="24"/>
          <w:lang w:bidi="es-ES"/>
        </w:rPr>
      </w:pPr>
    </w:p>
    <w:p w14:paraId="7766FBC5" w14:textId="11E4E2F8" w:rsidR="00175443" w:rsidRPr="00716D56" w:rsidRDefault="00175443" w:rsidP="00175443">
      <w:pPr>
        <w:ind w:firstLine="2835"/>
        <w:jc w:val="both"/>
        <w:rPr>
          <w:rFonts w:eastAsia="Courier New" w:cs="Arial"/>
          <w:color w:val="000000"/>
          <w:szCs w:val="24"/>
          <w:lang w:bidi="es-ES"/>
        </w:rPr>
      </w:pPr>
      <w:r w:rsidRPr="00CC7220">
        <w:rPr>
          <w:rFonts w:eastAsia="Courier New" w:cs="Arial"/>
          <w:color w:val="000000"/>
          <w:szCs w:val="24"/>
          <w:lang w:bidi="es-ES"/>
        </w:rPr>
        <w:t xml:space="preserve">2. Decreto con Fuerza de Ley </w:t>
      </w:r>
      <w:proofErr w:type="spellStart"/>
      <w:r w:rsidRPr="00CC7220">
        <w:rPr>
          <w:rFonts w:eastAsia="Courier New" w:cs="Arial"/>
          <w:color w:val="000000"/>
          <w:szCs w:val="24"/>
          <w:lang w:bidi="es-ES"/>
        </w:rPr>
        <w:t>N°</w:t>
      </w:r>
      <w:proofErr w:type="spellEnd"/>
      <w:r w:rsidRPr="00CC7220">
        <w:rPr>
          <w:rFonts w:eastAsia="Courier New" w:cs="Arial"/>
          <w:color w:val="000000"/>
          <w:szCs w:val="24"/>
          <w:lang w:bidi="es-ES"/>
        </w:rPr>
        <w:t xml:space="preserve"> 4 que fija texto refundido, coordinado y sistematizado del Decreto con Fuerza de Ley </w:t>
      </w:r>
      <w:proofErr w:type="spellStart"/>
      <w:r w:rsidRPr="00CC7220">
        <w:rPr>
          <w:rFonts w:eastAsia="Courier New" w:cs="Arial"/>
          <w:color w:val="000000"/>
          <w:szCs w:val="24"/>
          <w:lang w:bidi="es-ES"/>
        </w:rPr>
        <w:t>N°</w:t>
      </w:r>
      <w:proofErr w:type="spellEnd"/>
      <w:r w:rsidRPr="00CC7220">
        <w:rPr>
          <w:rFonts w:eastAsia="Courier New" w:cs="Arial"/>
          <w:color w:val="000000"/>
          <w:szCs w:val="24"/>
          <w:lang w:bidi="es-ES"/>
        </w:rPr>
        <w:t xml:space="preserve"> 1, de minería, de 1982, Ley General de Servicios Eléctricos, en materia de energía eléctrica.</w:t>
      </w:r>
      <w:r>
        <w:rPr>
          <w:noProof/>
        </w:rPr>
        <mc:AlternateContent>
          <mc:Choice Requires="wps">
            <w:drawing>
              <wp:anchor distT="0" distB="0" distL="63500" distR="63500" simplePos="0" relativeHeight="251658240" behindDoc="0" locked="0" layoutInCell="1" allowOverlap="1" wp14:anchorId="02E8E38E" wp14:editId="1EC54B42">
                <wp:simplePos x="0" y="0"/>
                <wp:positionH relativeFrom="margin">
                  <wp:posOffset>5117465</wp:posOffset>
                </wp:positionH>
                <wp:positionV relativeFrom="paragraph">
                  <wp:posOffset>8786495</wp:posOffset>
                </wp:positionV>
                <wp:extent cx="999490" cy="146050"/>
                <wp:effectExtent l="0" t="0" r="1016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6050"/>
                        </a:xfrm>
                        <a:prstGeom prst="rect">
                          <a:avLst/>
                        </a:prstGeom>
                        <a:noFill/>
                        <a:ln>
                          <a:noFill/>
                        </a:ln>
                      </wps:spPr>
                      <wps:txbx>
                        <w:txbxContent>
                          <w:p w14:paraId="1845940A" w14:textId="77777777" w:rsidR="00175443" w:rsidRDefault="00175443" w:rsidP="00175443">
                            <w:pPr>
                              <w:pStyle w:val="Cuerpodeltexto4"/>
                              <w:shd w:val="clear" w:color="auto" w:fill="auto"/>
                            </w:pPr>
                            <w:r>
                              <w:t>Página 4 de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8E38E" id="_x0000_t202" coordsize="21600,21600" o:spt="202" path="m,l,21600r21600,l21600,xe">
                <v:stroke joinstyle="miter"/>
                <v:path gradientshapeok="t" o:connecttype="rect"/>
              </v:shapetype>
              <v:shape id="Cuadro de texto 2" o:spid="_x0000_s1026" type="#_x0000_t202" style="position:absolute;left:0;text-align:left;margin-left:402.95pt;margin-top:691.85pt;width:78.7pt;height:1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" filled="f" stroked="f">
                <v:textbox style="mso-fit-shape-to-text:t" inset="0,0,0,0">
                  <w:txbxContent>
                    <w:p w14:paraId="1845940A" w14:textId="77777777" w:rsidR="00175443" w:rsidRDefault="00175443" w:rsidP="00175443">
                      <w:pPr>
                        <w:pStyle w:val="Cuerpodeltexto4"/>
                        <w:shd w:val="clear" w:color="auto" w:fill="auto"/>
                      </w:pPr>
                      <w:r>
                        <w:t>Página 4 de 4</w:t>
                      </w:r>
                    </w:p>
                  </w:txbxContent>
                </v:textbox>
                <w10:wrap anchorx="margin"/>
              </v:shape>
            </w:pict>
          </mc:Fallback>
        </mc:AlternateContent>
      </w:r>
      <w:r w:rsidRPr="00716D56">
        <w:rPr>
          <w:rFonts w:eastAsia="Courier New" w:cs="Arial"/>
          <w:color w:val="000000"/>
          <w:szCs w:val="24"/>
          <w:lang w:bidi="es-ES"/>
        </w:rPr>
        <w:t>”.</w:t>
      </w:r>
    </w:p>
    <w:p w14:paraId="4244DF1E" w14:textId="094FA5B2" w:rsidR="002360C6" w:rsidRDefault="002360C6" w:rsidP="009D4F3F">
      <w:pPr>
        <w:ind w:firstLine="2835"/>
        <w:jc w:val="both"/>
        <w:rPr>
          <w:rFonts w:eastAsia="Times New Roman" w:cs="Arial"/>
          <w:szCs w:val="24"/>
          <w:lang w:eastAsia="es-ES"/>
        </w:rPr>
      </w:pPr>
    </w:p>
    <w:p w14:paraId="42D56BB1" w14:textId="77777777" w:rsidR="00175443" w:rsidRPr="00716D56" w:rsidRDefault="00175443" w:rsidP="00175443">
      <w:pPr>
        <w:autoSpaceDE w:val="0"/>
        <w:autoSpaceDN w:val="0"/>
        <w:ind w:firstLine="2835"/>
        <w:jc w:val="both"/>
        <w:rPr>
          <w:rFonts w:eastAsia="Calibri" w:cs="Arial"/>
          <w:szCs w:val="24"/>
          <w:lang w:val="es-ES_tradnl"/>
        </w:rPr>
      </w:pPr>
      <w:r w:rsidRPr="00716D56">
        <w:rPr>
          <w:rFonts w:eastAsia="Calibri" w:cs="Arial"/>
          <w:szCs w:val="24"/>
          <w:lang w:val="es-ES_tradnl"/>
        </w:rPr>
        <w:t>Se deja constancia del precedente informe financiero, en cumplimiento de lo dispuesto en el artículo 17, inciso segundo, de la Ley Orgánica Constitucional del Congreso Nacional.</w:t>
      </w:r>
    </w:p>
    <w:p w14:paraId="6D4153C5" w14:textId="7E37935D" w:rsidR="00175443" w:rsidRDefault="00175443" w:rsidP="009D4F3F">
      <w:pPr>
        <w:ind w:firstLine="2835"/>
        <w:jc w:val="both"/>
        <w:rPr>
          <w:rFonts w:eastAsia="Times New Roman" w:cs="Arial"/>
          <w:szCs w:val="24"/>
          <w:lang w:eastAsia="es-ES"/>
        </w:rPr>
      </w:pPr>
    </w:p>
    <w:p w14:paraId="351D5F15" w14:textId="77777777" w:rsidR="00175443" w:rsidRPr="00175443" w:rsidRDefault="00175443" w:rsidP="009D4F3F">
      <w:pPr>
        <w:ind w:firstLine="2835"/>
        <w:jc w:val="both"/>
        <w:rPr>
          <w:rFonts w:eastAsia="Times New Roman" w:cs="Arial"/>
          <w:szCs w:val="24"/>
          <w:lang w:eastAsia="es-ES"/>
        </w:rPr>
      </w:pPr>
    </w:p>
    <w:p w14:paraId="6730470E" w14:textId="77777777" w:rsidR="009D4F3F" w:rsidRPr="009D4F3F" w:rsidRDefault="009D4F3F" w:rsidP="009D4F3F">
      <w:pPr>
        <w:tabs>
          <w:tab w:val="left" w:pos="2835"/>
        </w:tabs>
        <w:jc w:val="center"/>
        <w:rPr>
          <w:rFonts w:eastAsia="Times New Roman" w:cs="Times New Roman"/>
          <w:b/>
          <w:szCs w:val="24"/>
          <w:lang w:val="es-ES_tradnl" w:eastAsia="es-ES"/>
        </w:rPr>
      </w:pPr>
      <w:r w:rsidRPr="009D4F3F">
        <w:rPr>
          <w:rFonts w:eastAsia="Times New Roman" w:cs="Times New Roman"/>
          <w:b/>
          <w:szCs w:val="24"/>
          <w:lang w:val="es-ES_tradnl" w:eastAsia="es-ES"/>
        </w:rPr>
        <w:t>- - -</w:t>
      </w:r>
    </w:p>
    <w:p w14:paraId="4222D707" w14:textId="77777777" w:rsidR="009D4F3F" w:rsidRPr="009D4F3F" w:rsidRDefault="009D4F3F" w:rsidP="009D4F3F">
      <w:pPr>
        <w:tabs>
          <w:tab w:val="left" w:pos="2835"/>
        </w:tabs>
        <w:jc w:val="center"/>
        <w:rPr>
          <w:rFonts w:eastAsia="Times New Roman" w:cs="Times New Roman"/>
          <w:b/>
          <w:szCs w:val="24"/>
          <w:lang w:val="es-ES_tradnl" w:eastAsia="es-ES"/>
        </w:rPr>
      </w:pPr>
    </w:p>
    <w:p w14:paraId="4D9FF372" w14:textId="77777777" w:rsidR="009D4F3F" w:rsidRPr="009D4F3F" w:rsidRDefault="009D4F3F" w:rsidP="009D4F3F">
      <w:pPr>
        <w:tabs>
          <w:tab w:val="left" w:pos="0"/>
        </w:tabs>
        <w:jc w:val="center"/>
        <w:rPr>
          <w:rFonts w:eastAsia="Times New Roman" w:cs="Arial"/>
          <w:b/>
          <w:szCs w:val="24"/>
          <w:lang w:val="es-ES_tradnl" w:eastAsia="es-ES"/>
        </w:rPr>
      </w:pPr>
      <w:r w:rsidRPr="009D4F3F">
        <w:rPr>
          <w:rFonts w:eastAsia="Times New Roman" w:cs="Arial"/>
          <w:b/>
          <w:szCs w:val="24"/>
          <w:lang w:val="es-ES_tradnl" w:eastAsia="es-ES"/>
        </w:rPr>
        <w:t>TEXTO DEL PROYECTO</w:t>
      </w:r>
    </w:p>
    <w:p w14:paraId="0C4B3655" w14:textId="77777777" w:rsidR="009D4F3F" w:rsidRPr="009D4F3F" w:rsidRDefault="009D4F3F" w:rsidP="009D4F3F">
      <w:pPr>
        <w:tabs>
          <w:tab w:val="left" w:pos="2835"/>
        </w:tabs>
        <w:jc w:val="both"/>
        <w:rPr>
          <w:rFonts w:eastAsia="Times New Roman" w:cs="Arial"/>
          <w:szCs w:val="24"/>
          <w:lang w:val="es-ES_tradnl" w:eastAsia="es-ES"/>
        </w:rPr>
      </w:pPr>
      <w:r w:rsidRPr="009D4F3F">
        <w:rPr>
          <w:rFonts w:eastAsia="Times New Roman" w:cs="Arial"/>
          <w:szCs w:val="24"/>
          <w:lang w:val="es-ES_tradnl" w:eastAsia="es-ES"/>
        </w:rPr>
        <w:t xml:space="preserve"> </w:t>
      </w:r>
      <w:r w:rsidRPr="009D4F3F">
        <w:rPr>
          <w:rFonts w:eastAsia="Times New Roman" w:cs="Arial"/>
          <w:szCs w:val="24"/>
          <w:lang w:val="es-ES_tradnl" w:eastAsia="es-ES"/>
        </w:rPr>
        <w:tab/>
      </w:r>
    </w:p>
    <w:p w14:paraId="3C700D28" w14:textId="35C904BA" w:rsidR="009D4F3F" w:rsidRPr="009D4F3F" w:rsidRDefault="009D4F3F" w:rsidP="009D4F3F">
      <w:pPr>
        <w:tabs>
          <w:tab w:val="left" w:pos="2835"/>
        </w:tabs>
        <w:jc w:val="both"/>
        <w:rPr>
          <w:rFonts w:eastAsia="Times New Roman" w:cs="Times New Roman"/>
          <w:spacing w:val="-3"/>
          <w:szCs w:val="24"/>
          <w:lang w:val="es-ES_tradnl" w:eastAsia="es-ES"/>
        </w:rPr>
      </w:pPr>
      <w:r w:rsidRPr="009D4F3F">
        <w:rPr>
          <w:rFonts w:eastAsia="Times New Roman" w:cs="Times New Roman"/>
          <w:spacing w:val="-3"/>
          <w:szCs w:val="24"/>
          <w:lang w:val="es-ES_tradnl" w:eastAsia="es-ES"/>
        </w:rPr>
        <w:tab/>
        <w:t>En mérito del acuerdo precedentemente expuesto, vuestra Comisión de Hacienda tiene el honor de proponer la aprobación del proyecto de ley en informe,</w:t>
      </w:r>
      <w:r w:rsidR="00175443">
        <w:rPr>
          <w:rFonts w:eastAsia="Times New Roman" w:cs="Times New Roman"/>
          <w:spacing w:val="-3"/>
          <w:szCs w:val="24"/>
          <w:lang w:val="es-ES_tradnl" w:eastAsia="es-ES"/>
        </w:rPr>
        <w:t xml:space="preserve"> en los mismos términos en que fue despachado por la Comisión de Minería y Energía,</w:t>
      </w:r>
      <w:r w:rsidRPr="009D4F3F">
        <w:rPr>
          <w:rFonts w:eastAsia="Times New Roman" w:cs="Times New Roman"/>
          <w:spacing w:val="-3"/>
          <w:szCs w:val="24"/>
          <w:lang w:val="es-ES_tradnl" w:eastAsia="es-ES"/>
        </w:rPr>
        <w:t xml:space="preserve"> cuyo texto es el siguiente:</w:t>
      </w:r>
    </w:p>
    <w:p w14:paraId="31B58CCD" w14:textId="77777777" w:rsidR="009D4F3F" w:rsidRPr="009D4F3F" w:rsidRDefault="009D4F3F" w:rsidP="009D4F3F">
      <w:pPr>
        <w:tabs>
          <w:tab w:val="left" w:pos="2835"/>
        </w:tabs>
        <w:jc w:val="both"/>
        <w:rPr>
          <w:rFonts w:eastAsia="Times New Roman" w:cs="Times New Roman"/>
          <w:spacing w:val="-3"/>
          <w:szCs w:val="24"/>
          <w:lang w:val="es-ES_tradnl" w:eastAsia="es-ES"/>
        </w:rPr>
      </w:pPr>
    </w:p>
    <w:p w14:paraId="635E455E" w14:textId="77777777" w:rsidR="00175443" w:rsidRDefault="00175443" w:rsidP="009D4F3F">
      <w:pPr>
        <w:keepNext/>
        <w:tabs>
          <w:tab w:val="left" w:pos="2835"/>
        </w:tabs>
        <w:jc w:val="center"/>
        <w:outlineLvl w:val="0"/>
        <w:rPr>
          <w:rFonts w:eastAsia="Times New Roman" w:cs="Times New Roman"/>
          <w:b/>
          <w:szCs w:val="24"/>
          <w:lang w:val="es-ES_tradnl" w:eastAsia="es-ES"/>
        </w:rPr>
      </w:pPr>
    </w:p>
    <w:p w14:paraId="0E422660" w14:textId="77777777" w:rsidR="00175443" w:rsidRDefault="00175443" w:rsidP="009D4F3F">
      <w:pPr>
        <w:keepNext/>
        <w:tabs>
          <w:tab w:val="left" w:pos="2835"/>
        </w:tabs>
        <w:jc w:val="center"/>
        <w:outlineLvl w:val="0"/>
        <w:rPr>
          <w:rFonts w:eastAsia="Times New Roman" w:cs="Times New Roman"/>
          <w:b/>
          <w:szCs w:val="24"/>
          <w:lang w:val="es-ES_tradnl" w:eastAsia="es-ES"/>
        </w:rPr>
      </w:pPr>
    </w:p>
    <w:p w14:paraId="1CE76313" w14:textId="32980D47" w:rsidR="009D4F3F" w:rsidRPr="009D4F3F" w:rsidRDefault="009D4F3F" w:rsidP="009D4F3F">
      <w:pPr>
        <w:keepNext/>
        <w:tabs>
          <w:tab w:val="left" w:pos="2835"/>
        </w:tabs>
        <w:jc w:val="center"/>
        <w:outlineLvl w:val="0"/>
        <w:rPr>
          <w:rFonts w:eastAsia="Times New Roman" w:cs="Times New Roman"/>
          <w:b/>
          <w:szCs w:val="24"/>
          <w:lang w:val="es-ES_tradnl" w:eastAsia="es-ES"/>
        </w:rPr>
      </w:pPr>
      <w:r w:rsidRPr="009D4F3F">
        <w:rPr>
          <w:rFonts w:eastAsia="Times New Roman" w:cs="Times New Roman"/>
          <w:b/>
          <w:szCs w:val="24"/>
          <w:lang w:val="es-ES_tradnl" w:eastAsia="es-ES"/>
        </w:rPr>
        <w:t>PROYECTO DE LEY:</w:t>
      </w:r>
    </w:p>
    <w:p w14:paraId="73D09821" w14:textId="77777777" w:rsidR="009D4F3F" w:rsidRPr="009D4F3F" w:rsidRDefault="009D4F3F" w:rsidP="009D4F3F">
      <w:pPr>
        <w:jc w:val="both"/>
        <w:rPr>
          <w:rFonts w:eastAsia="Arial Unicode MS" w:cs="Arial"/>
          <w:szCs w:val="24"/>
          <w:lang w:val="es-ES" w:eastAsia="es-ES"/>
        </w:rPr>
      </w:pPr>
    </w:p>
    <w:p w14:paraId="36533C67" w14:textId="1AC6F297" w:rsidR="00175443" w:rsidRPr="00C1330B" w:rsidRDefault="009D4F3F" w:rsidP="00175443">
      <w:pPr>
        <w:shd w:val="clear" w:color="auto" w:fill="FFFFFF"/>
        <w:tabs>
          <w:tab w:val="left" w:pos="2835"/>
        </w:tabs>
        <w:ind w:firstLine="2835"/>
        <w:jc w:val="both"/>
        <w:rPr>
          <w:rFonts w:eastAsia="Times New Roman" w:cs="Arial"/>
          <w:szCs w:val="24"/>
          <w:lang w:val="es-ES" w:eastAsia="es-ES"/>
        </w:rPr>
      </w:pPr>
      <w:r w:rsidRPr="009D4F3F">
        <w:rPr>
          <w:rFonts w:cs="Arial"/>
          <w:szCs w:val="24"/>
          <w:lang w:val="es-MX"/>
        </w:rPr>
        <w:t xml:space="preserve"> </w:t>
      </w:r>
      <w:bookmarkStart w:id="3" w:name="_GoBack"/>
      <w:bookmarkEnd w:id="3"/>
      <w:r w:rsidR="00175443" w:rsidRPr="00396DE4">
        <w:rPr>
          <w:rFonts w:eastAsia="Times New Roman" w:cs="Arial"/>
          <w:szCs w:val="24"/>
          <w:lang w:val="es-ES" w:eastAsia="es-ES"/>
        </w:rPr>
        <w:t>“</w:t>
      </w:r>
      <w:r w:rsidR="00175443" w:rsidRPr="00C1330B">
        <w:rPr>
          <w:rFonts w:eastAsia="Times New Roman" w:cs="Arial"/>
          <w:szCs w:val="24"/>
          <w:lang w:val="es-ES" w:eastAsia="es-ES"/>
        </w:rPr>
        <w:t xml:space="preserve">Artículo </w:t>
      </w:r>
      <w:proofErr w:type="gramStart"/>
      <w:r w:rsidR="00175443" w:rsidRPr="00C1330B">
        <w:rPr>
          <w:rFonts w:eastAsia="Times New Roman" w:cs="Arial"/>
          <w:szCs w:val="24"/>
          <w:lang w:val="es-ES" w:eastAsia="es-ES"/>
        </w:rPr>
        <w:t>único.-</w:t>
      </w:r>
      <w:proofErr w:type="gramEnd"/>
      <w:r w:rsidR="00175443" w:rsidRPr="00C1330B">
        <w:rPr>
          <w:rFonts w:eastAsia="Times New Roman" w:cs="Arial"/>
          <w:szCs w:val="24"/>
          <w:lang w:val="es-ES" w:eastAsia="es-ES"/>
        </w:rPr>
        <w:t xml:space="preserve"> </w:t>
      </w:r>
      <w:proofErr w:type="spellStart"/>
      <w:r w:rsidR="00175443" w:rsidRPr="00C1330B">
        <w:rPr>
          <w:rFonts w:eastAsia="Times New Roman" w:cs="Arial"/>
          <w:szCs w:val="24"/>
          <w:lang w:val="es-ES" w:eastAsia="es-ES"/>
        </w:rPr>
        <w:t>Introdúcense</w:t>
      </w:r>
      <w:proofErr w:type="spellEnd"/>
      <w:r w:rsidR="00175443" w:rsidRPr="00C1330B">
        <w:rPr>
          <w:rFonts w:eastAsia="Times New Roman" w:cs="Arial"/>
          <w:szCs w:val="24"/>
          <w:lang w:val="es-ES" w:eastAsia="es-ES"/>
        </w:rPr>
        <w:t xml:space="preserve"> las siguientes modificaciones en el decreto con fuerza de ley </w:t>
      </w:r>
      <w:proofErr w:type="spellStart"/>
      <w:r w:rsidR="00175443" w:rsidRPr="00C1330B">
        <w:rPr>
          <w:rFonts w:eastAsia="Times New Roman" w:cs="Arial"/>
          <w:szCs w:val="24"/>
          <w:lang w:val="es-ES" w:eastAsia="es-ES"/>
        </w:rPr>
        <w:t>N°</w:t>
      </w:r>
      <w:proofErr w:type="spellEnd"/>
      <w:r w:rsidR="00175443"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w:t>
      </w:r>
    </w:p>
    <w:p w14:paraId="32410B8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463A77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1. </w:t>
      </w:r>
      <w:proofErr w:type="spellStart"/>
      <w:r w:rsidRPr="00C1330B">
        <w:rPr>
          <w:rFonts w:eastAsia="Times New Roman" w:cs="Arial"/>
          <w:szCs w:val="24"/>
          <w:lang w:val="es-ES" w:eastAsia="es-ES"/>
        </w:rPr>
        <w:t>Incorpórase</w:t>
      </w:r>
      <w:proofErr w:type="spellEnd"/>
      <w:r w:rsidRPr="00C1330B">
        <w:rPr>
          <w:rFonts w:eastAsia="Times New Roman" w:cs="Arial"/>
          <w:szCs w:val="24"/>
          <w:lang w:val="es-ES" w:eastAsia="es-ES"/>
        </w:rPr>
        <w:t>, a continuación del artículo 8 bis, el siguiente artículo 8 ter:</w:t>
      </w:r>
    </w:p>
    <w:p w14:paraId="7E1C31E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AB37B8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8 </w:t>
      </w:r>
      <w:proofErr w:type="gramStart"/>
      <w:r w:rsidRPr="00C1330B">
        <w:rPr>
          <w:rFonts w:eastAsia="Times New Roman" w:cs="Arial"/>
          <w:szCs w:val="24"/>
          <w:lang w:val="es-ES" w:eastAsia="es-ES"/>
        </w:rPr>
        <w:t>ter.-</w:t>
      </w:r>
      <w:proofErr w:type="gramEnd"/>
      <w:r w:rsidRPr="00C1330B">
        <w:rPr>
          <w:rFonts w:eastAsia="Times New Roman" w:cs="Arial"/>
          <w:szCs w:val="24"/>
          <w:lang w:val="es-ES" w:eastAsia="es-ES"/>
        </w:rPr>
        <w:t xml:space="preserve"> Las empresas concesionarias de servicio público de distribución deberán constituirse como sociedades anónimas abiertas o cerradas sujetas a las obligaciones de información y publicidad a que se refiere el inciso séptimo del artículo 2 de la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18.046 y a las normas sobre operaciones entre partes relacionadas del Título XVI de la misma ley. Asimismo, deberán tener giro exclusivo de distribución de energía eléctrica.</w:t>
      </w:r>
    </w:p>
    <w:p w14:paraId="7296D9C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02CE10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Por su parte, las empresas concesionarias de distribución que estén constituidas de acuerdo a lo establecido en 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5, de 2003, del Ministerio de Economía Fomento y Reconstrucción, en adelante “cooperativas”, que además de prestar el servicio público de distribución de energía eléctrica desarrollen otras actividades que comprendan giros distintos al señalado, estarán obligadas, para los efectos de esta ley, a llevar una contabilidad separada respecto de las actividades que comprendan en cualquier forma el giro de distribución de energía eléctrica. Se entenderá por contabilidad separada aquella que mediante libros de contabilidad, cuentas, registros y documentación fidedigna permita establecer en forma diferenciada los resultados de la gestión económica desarrollada dentro del giro de distribución de energía eléctrica.”.</w:t>
      </w:r>
    </w:p>
    <w:p w14:paraId="74C0FB8A" w14:textId="77777777" w:rsidR="00175443" w:rsidRDefault="00175443" w:rsidP="00175443">
      <w:pPr>
        <w:tabs>
          <w:tab w:val="center" w:pos="4252"/>
          <w:tab w:val="right" w:pos="8504"/>
        </w:tabs>
        <w:jc w:val="both"/>
        <w:rPr>
          <w:rFonts w:eastAsia="Times New Roman" w:cs="Arial"/>
          <w:szCs w:val="24"/>
          <w:lang w:eastAsia="es-ES"/>
        </w:rPr>
      </w:pPr>
    </w:p>
    <w:p w14:paraId="2A7ED9F7" w14:textId="77777777" w:rsidR="00175443" w:rsidRPr="00597AEC" w:rsidRDefault="00175443" w:rsidP="00175443">
      <w:pPr>
        <w:shd w:val="clear" w:color="auto" w:fill="FFFFFF"/>
        <w:tabs>
          <w:tab w:val="left" w:pos="2835"/>
        </w:tabs>
        <w:jc w:val="both"/>
        <w:rPr>
          <w:rFonts w:cs="Arial"/>
          <w:b/>
          <w:bCs/>
          <w:szCs w:val="24"/>
          <w:lang w:val="es-ES_tradnl"/>
        </w:rPr>
      </w:pPr>
      <w:r w:rsidRPr="00F909F8">
        <w:rPr>
          <w:rFonts w:cs="Arial"/>
          <w:szCs w:val="24"/>
          <w:lang w:val="es-ES_tradnl"/>
        </w:rPr>
        <w:tab/>
      </w:r>
      <w:r w:rsidRPr="00597AEC">
        <w:rPr>
          <w:rFonts w:cs="Arial"/>
          <w:b/>
          <w:bCs/>
          <w:szCs w:val="24"/>
          <w:lang w:val="es-ES_tradnl"/>
        </w:rPr>
        <w:t xml:space="preserve">2. </w:t>
      </w:r>
      <w:proofErr w:type="spellStart"/>
      <w:r w:rsidRPr="00597AEC">
        <w:rPr>
          <w:rFonts w:cs="Arial"/>
          <w:b/>
          <w:bCs/>
          <w:szCs w:val="24"/>
          <w:lang w:val="es-ES_tradnl"/>
        </w:rPr>
        <w:t>Reemplázase</w:t>
      </w:r>
      <w:proofErr w:type="spellEnd"/>
      <w:r w:rsidRPr="00597AEC">
        <w:rPr>
          <w:rFonts w:cs="Arial"/>
          <w:b/>
          <w:bCs/>
          <w:szCs w:val="24"/>
          <w:lang w:val="es-ES_tradnl"/>
        </w:rPr>
        <w:t xml:space="preserve"> en el literal d) del artículo 147, el guarismo “500” por “300”, las dos veces que es enunciado.</w:t>
      </w:r>
    </w:p>
    <w:p w14:paraId="5F7CA3E2" w14:textId="77777777" w:rsidR="00175443" w:rsidRPr="00FB5428" w:rsidRDefault="00175443" w:rsidP="00175443">
      <w:pPr>
        <w:tabs>
          <w:tab w:val="center" w:pos="4252"/>
          <w:tab w:val="right" w:pos="8504"/>
        </w:tabs>
        <w:jc w:val="both"/>
        <w:rPr>
          <w:rFonts w:eastAsia="Times New Roman" w:cs="Arial"/>
          <w:szCs w:val="24"/>
          <w:lang w:val="es-ES_tradnl" w:eastAsia="es-ES"/>
        </w:rPr>
      </w:pPr>
    </w:p>
    <w:p w14:paraId="4BA7F60F" w14:textId="77777777" w:rsidR="00175443" w:rsidRDefault="00175443" w:rsidP="00175443">
      <w:pPr>
        <w:shd w:val="clear" w:color="auto" w:fill="FFFFFF"/>
        <w:tabs>
          <w:tab w:val="left" w:pos="2835"/>
        </w:tabs>
        <w:ind w:firstLine="2835"/>
        <w:jc w:val="both"/>
        <w:rPr>
          <w:rFonts w:eastAsia="Times New Roman" w:cs="Arial"/>
          <w:szCs w:val="24"/>
          <w:lang w:val="es-ES" w:eastAsia="es-ES"/>
        </w:rPr>
      </w:pPr>
      <w:r w:rsidRPr="00740425">
        <w:rPr>
          <w:rFonts w:eastAsia="Times New Roman" w:cs="Arial"/>
          <w:b/>
          <w:bCs/>
          <w:szCs w:val="24"/>
          <w:lang w:val="es-ES" w:eastAsia="es-ES"/>
        </w:rPr>
        <w:t>3.</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Reemplázase</w:t>
      </w:r>
      <w:proofErr w:type="spellEnd"/>
      <w:r w:rsidRPr="00C1330B">
        <w:rPr>
          <w:rFonts w:eastAsia="Times New Roman" w:cs="Arial"/>
          <w:szCs w:val="24"/>
          <w:lang w:val="es-ES" w:eastAsia="es-ES"/>
        </w:rPr>
        <w:t xml:space="preserve"> en el número 3 del artículo 182 la expresión “igual al 10% real anual” por la frase “de acuerdo a lo establecido en el artículo 182 bis”.</w:t>
      </w:r>
    </w:p>
    <w:p w14:paraId="059778F1" w14:textId="77777777" w:rsidR="00175443" w:rsidRPr="00C1330B" w:rsidRDefault="00175443" w:rsidP="00175443">
      <w:pPr>
        <w:shd w:val="clear" w:color="auto" w:fill="FFFFFF"/>
        <w:tabs>
          <w:tab w:val="left" w:pos="2835"/>
        </w:tabs>
        <w:jc w:val="both"/>
        <w:rPr>
          <w:rFonts w:eastAsia="Times New Roman" w:cs="Arial"/>
          <w:szCs w:val="24"/>
          <w:lang w:val="es-ES" w:eastAsia="es-ES"/>
        </w:rPr>
      </w:pPr>
    </w:p>
    <w:p w14:paraId="1F0760B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Pr>
          <w:rFonts w:eastAsia="Times New Roman" w:cs="Arial"/>
          <w:b/>
          <w:bCs/>
          <w:szCs w:val="24"/>
          <w:lang w:val="es-ES" w:eastAsia="es-ES"/>
        </w:rPr>
        <w:t>4</w:t>
      </w:r>
      <w:r w:rsidRPr="003C5CD1">
        <w:rPr>
          <w:rFonts w:eastAsia="Times New Roman" w:cs="Arial"/>
          <w:b/>
          <w:bCs/>
          <w:szCs w:val="24"/>
          <w:lang w:val="es-ES" w:eastAsia="es-ES"/>
        </w:rPr>
        <w:t>.</w:t>
      </w:r>
      <w:r w:rsidRPr="00C1330B">
        <w:rPr>
          <w:rFonts w:eastAsia="Times New Roman" w:cs="Arial"/>
          <w:szCs w:val="24"/>
          <w:lang w:val="es-ES" w:eastAsia="es-ES"/>
        </w:rPr>
        <w:t xml:space="preserve"> </w:t>
      </w:r>
      <w:bookmarkStart w:id="4" w:name="_Hlk26258534"/>
      <w:proofErr w:type="spellStart"/>
      <w:r w:rsidRPr="00C1330B">
        <w:rPr>
          <w:rFonts w:eastAsia="Times New Roman" w:cs="Arial"/>
          <w:szCs w:val="24"/>
          <w:lang w:val="es-ES" w:eastAsia="es-ES"/>
        </w:rPr>
        <w:t>Incorpórase</w:t>
      </w:r>
      <w:proofErr w:type="spellEnd"/>
      <w:r w:rsidRPr="00C1330B">
        <w:rPr>
          <w:rFonts w:eastAsia="Times New Roman" w:cs="Arial"/>
          <w:szCs w:val="24"/>
          <w:lang w:val="es-ES" w:eastAsia="es-ES"/>
        </w:rPr>
        <w:t>, a continuación del artículo 182, el siguiente artículo 182 bis</w:t>
      </w:r>
      <w:bookmarkEnd w:id="4"/>
      <w:r w:rsidRPr="00C1330B">
        <w:rPr>
          <w:rFonts w:eastAsia="Times New Roman" w:cs="Arial"/>
          <w:szCs w:val="24"/>
          <w:lang w:val="es-ES" w:eastAsia="es-ES"/>
        </w:rPr>
        <w:t>:</w:t>
      </w:r>
    </w:p>
    <w:p w14:paraId="7915F19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9E1448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182 </w:t>
      </w:r>
      <w:proofErr w:type="gramStart"/>
      <w:r w:rsidRPr="00C1330B">
        <w:rPr>
          <w:rFonts w:eastAsia="Times New Roman" w:cs="Arial"/>
          <w:szCs w:val="24"/>
          <w:lang w:val="es-ES" w:eastAsia="es-ES"/>
        </w:rPr>
        <w:t>bis.-</w:t>
      </w:r>
      <w:proofErr w:type="gramEnd"/>
      <w:r w:rsidRPr="00C1330B">
        <w:rPr>
          <w:rFonts w:eastAsia="Times New Roman" w:cs="Arial"/>
          <w:szCs w:val="24"/>
          <w:lang w:val="es-ES" w:eastAsia="es-ES"/>
        </w:rPr>
        <w:t xml:space="preserve"> La tasa de actualización que deberá utilizarse para determinar los costos anuales de inversión de las instalaciones de distribución será calculada por la Comisión cada cuatro años, de acuerdo al procedimiento señalado en este artículo. Esta tasa será </w:t>
      </w:r>
      <w:r w:rsidRPr="00C1330B">
        <w:rPr>
          <w:rFonts w:eastAsia="Times New Roman" w:cs="Arial"/>
          <w:szCs w:val="24"/>
          <w:lang w:val="es-ES" w:eastAsia="es-ES"/>
        </w:rPr>
        <w:lastRenderedPageBreak/>
        <w:t>aplicable después de impuestos y para su determinación se deberá considerar el riesgo sistemático de las actividades propias de las empresas concesionarias de distribución eléctrica en relación al mercado, la tasa de rentabilidad libre de riesgo y el premio por riesgo de mercado. En todo caso, la tasa de actualización no podrá ser inferior al seis por ciento ni superior al ocho por ciento.</w:t>
      </w:r>
    </w:p>
    <w:p w14:paraId="320DFA6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D4B3C3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riesgo sistemático señalado se define como un valor que mide o estima la variación en los ingresos de una empresa modelo eficiente de distribución eléctrica con respecto a las fluctuaciones del mercado.</w:t>
      </w:r>
    </w:p>
    <w:p w14:paraId="2A5125A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61E493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La tasa de rentabilidad libre de riesgo corresponderá a la tasa interna de retorno promedio ofrecida por el Banco Central de Chile o la Tesorería General de la República para un instrumento reajustable en moneda nacional. El tipo de instrumento deberá considerar las características de liquidez, estabilidad y montos transados en el mercado secundario de cada instrumento en los últimos dos años, a partir de la fecha de referencia del cálculo de la tasa de actualización, y su plazo no deberá ser inferior a cinco años. El período considerado para establecer el retorno promedio corresponderá al promedio de los seis meses previos, contados desde la fecha de referencia del cálculo de la tasa de actualización. </w:t>
      </w:r>
      <w:r w:rsidRPr="003C5CD1">
        <w:rPr>
          <w:rFonts w:cs="Arial"/>
          <w:b/>
          <w:bCs/>
          <w:szCs w:val="24"/>
          <w:lang w:val="es-ES_tradnl"/>
        </w:rPr>
        <w:t>Excepcionalmente, cuando la Comisión lo determine fundadamente, podrá considerar un periodo distinto de manera de dar mejor representatividad al instrumento elegido.</w:t>
      </w:r>
    </w:p>
    <w:p w14:paraId="52EAA841" w14:textId="77777777" w:rsidR="00175443" w:rsidRPr="00C1330B" w:rsidRDefault="00175443" w:rsidP="00175443">
      <w:pPr>
        <w:shd w:val="clear" w:color="auto" w:fill="FFFFFF"/>
        <w:tabs>
          <w:tab w:val="left" w:pos="2835"/>
        </w:tabs>
        <w:jc w:val="both"/>
        <w:rPr>
          <w:rFonts w:eastAsia="Times New Roman" w:cs="Arial"/>
          <w:szCs w:val="24"/>
          <w:lang w:val="es-ES" w:eastAsia="es-ES"/>
        </w:rPr>
      </w:pPr>
    </w:p>
    <w:p w14:paraId="0F459C1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premio por riesgo de mercado se define como la diferencia entre la rentabilidad de la cartera de inversiones de mercado diversificada y la rentabilidad del instrumento libre de riesgo definida en este artículo.</w:t>
      </w:r>
    </w:p>
    <w:p w14:paraId="7C819CA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362C5E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información nacional o internacional que se utilice para el cálculo del valor del riesgo sistemático y del premio por riesgo deberá permitir la obtención de estimaciones confiables desde el punto de vista estadístico.</w:t>
      </w:r>
    </w:p>
    <w:p w14:paraId="4F4DDFB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98D4CC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tasa de actualización, de este modo, será la tasa de rentabilidad libre de riesgo más el premio por riesgo multiplicado por el valor del riesgo sistemático.</w:t>
      </w:r>
    </w:p>
    <w:p w14:paraId="3CC8009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FCC13B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antes de los cinco meses del plazo señalado en el artículo 183 bis para comunicar las bases preliminares del estudio de costos, deberá licitar un estudio que defina la metodología de cálculo de la tasa de actualización y los valores de sus componentes, conforme a lo señalado en este artículo.</w:t>
      </w:r>
    </w:p>
    <w:p w14:paraId="331C884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8A3F15D"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Finalizado el estudio señalado en el inciso anterior, la Comisión emitirá un informe técnico con la tasa de actualización, cuyo valor </w:t>
      </w:r>
      <w:r w:rsidRPr="00C1330B">
        <w:rPr>
          <w:rFonts w:eastAsia="Times New Roman" w:cs="Arial"/>
          <w:szCs w:val="24"/>
          <w:lang w:val="es-ES" w:eastAsia="es-ES"/>
        </w:rPr>
        <w:lastRenderedPageBreak/>
        <w:t>deberá ser incorporado en las bases preliminares a que se refiere el artículo 183 bis, para efectos de ser observado por los participantes y las empresas concesionarias de distribución eléctrica, y sometido al dictamen del Panel en caso de discrepancias, con ocasión de dicho proceso. El informe técnico deberá acompañarse como antecedente en las bases preliminares señaladas.”.</w:t>
      </w:r>
    </w:p>
    <w:p w14:paraId="746F6F1F" w14:textId="77777777" w:rsidR="00175443" w:rsidRDefault="00175443" w:rsidP="00175443">
      <w:pPr>
        <w:shd w:val="clear" w:color="auto" w:fill="FFFFFF"/>
        <w:tabs>
          <w:tab w:val="left" w:pos="2835"/>
        </w:tabs>
        <w:jc w:val="both"/>
        <w:rPr>
          <w:rFonts w:eastAsia="Times New Roman" w:cs="Arial"/>
          <w:szCs w:val="24"/>
          <w:lang w:val="es-ES" w:eastAsia="es-ES"/>
        </w:rPr>
      </w:pPr>
    </w:p>
    <w:p w14:paraId="7206FF8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BF2D9E">
        <w:rPr>
          <w:rFonts w:eastAsia="Times New Roman" w:cs="Arial"/>
          <w:b/>
          <w:bCs/>
          <w:szCs w:val="24"/>
          <w:lang w:val="es-ES" w:eastAsia="es-ES"/>
        </w:rPr>
        <w:t>5.</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Sustitúyese</w:t>
      </w:r>
      <w:proofErr w:type="spellEnd"/>
      <w:r w:rsidRPr="00C1330B">
        <w:rPr>
          <w:rFonts w:eastAsia="Times New Roman" w:cs="Arial"/>
          <w:szCs w:val="24"/>
          <w:lang w:val="es-ES" w:eastAsia="es-ES"/>
        </w:rPr>
        <w:t xml:space="preserve"> el artículo 183 por el siguiente: </w:t>
      </w:r>
    </w:p>
    <w:p w14:paraId="1184F2D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34643EF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183.- Las componentes indicadas en el artículo 182 se calcularán para un determinado número de áreas típicas de distribución, que serán fijadas por la Comisión dentro de los treinta meses previos al término de vigencia de las fórmulas de tarifas, y deberá abrirse un período de consulta pública. Las componentes para cada área típica de distribución se calcularán sobre la base de un estudio de costos encargado a una empresa consultora por la Comisión, conforme a lo dispuesto en el artículo siguiente. Dicho estudio de costos se basará en un supuesto de eficiencia en la política de inversiones y en la gestión de una empresa distribuidora operando en el país y su elaboración se sujetará al procedimiento dispuesto en el artículo 183 bis y en el reglamento.</w:t>
      </w:r>
    </w:p>
    <w:p w14:paraId="04D0CAC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8FED7A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supuesto de eficiencia de la empresa modelo tendrá en consideración las restricciones que enfrenta la empresa distribuidora real que sirva de referencia para determinar la empresa modelo en, al menos, los siguientes aspectos:</w:t>
      </w:r>
    </w:p>
    <w:p w14:paraId="43A317F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2DAA4A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1) La distribución de los clientes en cuanto localización y demanda</w:t>
      </w:r>
      <w:r w:rsidRPr="00BF2D9E">
        <w:rPr>
          <w:rFonts w:cs="Arial"/>
          <w:b/>
          <w:bCs/>
          <w:szCs w:val="24"/>
          <w:lang w:val="es-ES_tradnl"/>
        </w:rPr>
        <w:t>, así como la normativa que la empresa deba cumplir para prestar el servicio público de distribución. En particular, el cumplimiento de los niveles de seguridad y calidad que la normativa técnica exija</w:t>
      </w:r>
      <w:r w:rsidRPr="00C1330B">
        <w:rPr>
          <w:rFonts w:eastAsia="Times New Roman" w:cs="Arial"/>
          <w:szCs w:val="24"/>
          <w:lang w:val="es-ES" w:eastAsia="es-ES"/>
        </w:rPr>
        <w:t>.</w:t>
      </w:r>
    </w:p>
    <w:p w14:paraId="78EBC9F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8B13D5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2) El trazado de calles y caminos para el desarrollo de las redes, y los obstáculos físicos para el mismo.</w:t>
      </w:r>
    </w:p>
    <w:p w14:paraId="128AF64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816695D"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3) La velocidad de penetración de nuevas tecnologías para la materialización de la red de distribución.</w:t>
      </w:r>
    </w:p>
    <w:p w14:paraId="0ED50CC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E56CDE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4) La consideración de cambios normativos en estándares de calidad del servicio que puedan incidir en </w:t>
      </w:r>
      <w:r w:rsidRPr="00187646">
        <w:rPr>
          <w:rFonts w:eastAsia="Times New Roman" w:cs="Arial"/>
          <w:b/>
          <w:bCs/>
          <w:szCs w:val="24"/>
          <w:lang w:val="es-ES" w:eastAsia="es-ES"/>
        </w:rPr>
        <w:t>inversiones relevantes</w:t>
      </w:r>
      <w:r w:rsidRPr="00C1330B">
        <w:rPr>
          <w:rFonts w:eastAsia="Times New Roman" w:cs="Arial"/>
          <w:szCs w:val="24"/>
          <w:lang w:val="es-ES" w:eastAsia="es-ES"/>
        </w:rPr>
        <w:t>.</w:t>
      </w:r>
    </w:p>
    <w:p w14:paraId="0325306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4BF402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5) La consideración de existencia de vegetación, su interacción con las redes y las actividades para su control.</w:t>
      </w:r>
    </w:p>
    <w:p w14:paraId="780C01D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FB05DE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técnicas de los estudios incorporarán la forma en que se aplicarán estas restricciones.”.</w:t>
      </w:r>
    </w:p>
    <w:p w14:paraId="2C0ECF2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F2E684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412B2">
        <w:rPr>
          <w:rFonts w:eastAsia="Times New Roman" w:cs="Arial"/>
          <w:b/>
          <w:bCs/>
          <w:szCs w:val="24"/>
          <w:lang w:val="es-ES" w:eastAsia="es-ES"/>
        </w:rPr>
        <w:t>6.</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Introdúcese</w:t>
      </w:r>
      <w:proofErr w:type="spellEnd"/>
      <w:r w:rsidRPr="00C1330B">
        <w:rPr>
          <w:rFonts w:eastAsia="Times New Roman" w:cs="Arial"/>
          <w:szCs w:val="24"/>
          <w:lang w:val="es-ES" w:eastAsia="es-ES"/>
        </w:rPr>
        <w:t>, a continuación del artículo 183, el siguiente artículo 183 bis:</w:t>
      </w:r>
    </w:p>
    <w:p w14:paraId="42636CD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B5285E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183 bis.- En el plazo máximo de treinta días, contado desde la fijación de las áreas típicas de distribución de acuerdo con lo indicado en el artículo 183, la Comisión abrirá, por el plazo de veinticinco días, un proceso de registro de participación ciudadana, en el que podrá inscribirse toda persona natural o jurídica que desee participar en el proceso, en adelante “participantes”, quienes tendrán acceso a los antecedentes y resultados del estudio de costos, de acuerdo con las normas de esta ley. </w:t>
      </w:r>
    </w:p>
    <w:p w14:paraId="27E727E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9F201C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Para efectos de lo señalado en el inciso anterior, la Comisión comunicará en su página web y en dos o más medios de amplia difusión el llamado a registro y la información que los participantes deberán presentar.</w:t>
      </w:r>
    </w:p>
    <w:p w14:paraId="043C53F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96D140D"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todo caso, los antecedentes que solicite la Comisión para constituir dicho registro deberán estar destinados a acreditar la representación y la correcta identificación de cada participante y no podrán representar discriminación de ninguna especie.</w:t>
      </w:r>
    </w:p>
    <w:p w14:paraId="08A705D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A98287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participantes registrados y las empresas concesionarias podrán efectuar observaciones a las bases técnicas y al estudio de costos, y presentar discrepancias ante el Panel, cuando corresponda.</w:t>
      </w:r>
    </w:p>
    <w:p w14:paraId="0A55B79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570416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notificaciones y comunicaciones a las empresas concesionarias de distribución y a los participantes podrán efectuarse a través de medios electrónicos, de acuerdo a la información que contenga el registro.</w:t>
      </w:r>
    </w:p>
    <w:p w14:paraId="0E8A767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0F0AAB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participantes debidamente inscritos en el registro no podrán participar en la elaboración del estudio de costos a que se refiere el artículo 183.</w:t>
      </w:r>
    </w:p>
    <w:p w14:paraId="5BD1503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7FF615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el plazo máximo de treinta días corridos de finalizado el proceso de registro de participantes, la Comisión comunicará por medios electrónicos a éstos y a las empresas concesionarias de distribución las bases técnicas preliminares del estudio de costos.</w:t>
      </w:r>
    </w:p>
    <w:p w14:paraId="6B4711A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07C86C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administrativas deberán establecer, a lo menos, los requisitos, antecedentes y la modalidad de presentación de ofertas. Las bases técnicas deberán contener la metodología de cálculo de cada uno de los parámetros relevantes, los criterios para la determinación de los costos de la empresa modelo eficiente, y todo otro aspecto que se considere necesario definir en forma previa a la realización del estudio.</w:t>
      </w:r>
    </w:p>
    <w:p w14:paraId="644BAE8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6724A6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 partir de la fecha de la comunicación de las bases técnicas preliminares y dentro del plazo de veinte días, los participantes y las empresas concesionarias de distribución podrán presentar sus observaciones a la Comisión.</w:t>
      </w:r>
    </w:p>
    <w:p w14:paraId="299D2C7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DBF529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Vencido el plazo señalado en el inciso anterior y en un término no superior a veinte días, la Comisión comunicará a los participantes y a las empresas concesionarias de distribución las bases técnicas corregidas, aceptando o rechazando fundadamente las observaciones planteadas. </w:t>
      </w:r>
    </w:p>
    <w:p w14:paraId="7FCFDBF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435A72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Dentro de los diez días siguientes a la comunicación de las bases técnicas corregidas, los participantes y las empresas concesionarias podrán solicitar al Panel que dirima todas o algunas de las observaciones presentadas que no hubiesen sido acogidas por la Comisión o que hubiesen sido acogidas parcialmente, como también, si quien no hubiere formulado observaciones a las bases preliminares considere que se debe mantener su contenido, en caso de haberse modificado éstas. El Panel deberá realizar una audiencia pública dentro del plazo máximo de </w:t>
      </w:r>
      <w:r w:rsidRPr="007F0B5A">
        <w:rPr>
          <w:rFonts w:eastAsia="Times New Roman" w:cs="Arial"/>
          <w:b/>
          <w:bCs/>
          <w:szCs w:val="24"/>
          <w:lang w:val="es-ES" w:eastAsia="es-ES"/>
        </w:rPr>
        <w:t>veinte</w:t>
      </w:r>
      <w:r>
        <w:rPr>
          <w:rFonts w:eastAsia="Times New Roman" w:cs="Arial"/>
          <w:szCs w:val="24"/>
          <w:lang w:val="es-ES" w:eastAsia="es-ES"/>
        </w:rPr>
        <w:t xml:space="preserve"> </w:t>
      </w:r>
      <w:r w:rsidRPr="00C1330B">
        <w:rPr>
          <w:rFonts w:eastAsia="Times New Roman" w:cs="Arial"/>
          <w:szCs w:val="24"/>
          <w:lang w:val="es-ES" w:eastAsia="es-ES"/>
        </w:rPr>
        <w:t>días, contado desde el vencimiento del plazo para la presentación de las discrepancias, y deberá resolverlas dentro de los treinta días siguientes a la audiencia pública, de acuerdo a lo señalado en el artículo 211.</w:t>
      </w:r>
    </w:p>
    <w:p w14:paraId="7959A37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EE1A79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Transcurrido el plazo para formular discrepancias ante el Panel o una vez resueltas éstas, y habiendo sido tomadas de razón las bases administrativas, de ser el caso, la Comisión deberá formalizar las bases técnicas y administrativas definitivas dentro de los siguientes quince días, a través de una resolución que se publicará en dos o más medios de amplia difusión y se comunicará a los participantes y a las empresas concesionarias de distribución. </w:t>
      </w:r>
    </w:p>
    <w:p w14:paraId="31E7E45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82EA66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El estudio de costos será licitado de conformidad con las normas de la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19.886 y su reglamento, y adjudicado de acuerdo con las bases técnicas y administrativas antes referidas. Será ejecutado y supervisado por un comité integrado por representantes de las empresas concesionarias de distribución de acuerdo con los procedimientos y criterios que determine la Comisión, los que deberán asegurar una representación equitativa; dos representantes del Ministerio y dos representantes de la Comisión, uno de los cuales presidirá el referido comité. La Comisión realizará el llamado a licitación y la adjudicación, y firmará del contrato.</w:t>
      </w:r>
    </w:p>
    <w:p w14:paraId="20B2B95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37D75C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establecerá el procedimiento para la constitución y funcionamiento del comité señalado en el inciso anterior.</w:t>
      </w:r>
    </w:p>
    <w:p w14:paraId="7F1D3DF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FDE4C26" w14:textId="77777777" w:rsidR="00175443"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El estudio de costos será financiado íntegramente por la Comisión y deberá ejecutarse dentro del plazo establecido en las bases </w:t>
      </w:r>
      <w:r w:rsidRPr="00C1330B">
        <w:rPr>
          <w:rFonts w:eastAsia="Times New Roman" w:cs="Arial"/>
          <w:szCs w:val="24"/>
          <w:lang w:val="es-ES" w:eastAsia="es-ES"/>
        </w:rPr>
        <w:lastRenderedPageBreak/>
        <w:t>administrativas, el que no podrá ser superior a ocho meses a partir de la adjudicación.</w:t>
      </w:r>
    </w:p>
    <w:p w14:paraId="2E1C228D"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8663F6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consultor al que se adjudique el estudio deberá prestar el apoyo que sea necesario a la Comisión hasta la dictación del correspondiente decreto tarifario.</w:t>
      </w:r>
    </w:p>
    <w:p w14:paraId="559B5DD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46C9C0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resultados del estudio de costos deberán especificar para cada área típica de distribución, a lo menos, lo señalado en el artículo 182.</w:t>
      </w:r>
    </w:p>
    <w:p w14:paraId="15AADA5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6860F1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dispondrá del plazo de tres meses para revisar, corregir y adecuar los resultados del estudio de costos y para notificar, por medios electrónicos, a las empresas concesionarias de distribución y a los participantes un informe técnico preliminar elaborado sobre la base de dicho estudio. El plazo se contará desde la fecha en que el comité otorgue su conformidad al estudio.</w:t>
      </w:r>
    </w:p>
    <w:p w14:paraId="6FFEECD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1D16A2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informe técnico preliminar deberá contener, a lo menos, las materias señaladas en el artículo 182.</w:t>
      </w:r>
    </w:p>
    <w:p w14:paraId="79E2E0F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FDC57E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caso que los participantes y las empresas concesionarias de distribución tengan observaciones técnicas respecto del informe técnico preliminar, deberán presentarlas a la Comisión dentro de los veinte días siguientes a su notificación. La Comisión, en el plazo de cuarenta y cinco días, contado desde el vencimiento del término para efectuar observaciones, deberá comunicar, por medios electrónicos, la resolución que contenga el informe técnico corregido, aceptando o rechazando fundadamente las observaciones técnicas planteadas.</w:t>
      </w:r>
    </w:p>
    <w:p w14:paraId="1325883F"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1E8A35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Dentro de los quince días siguientes a la notificación de la resolución señalada en el inciso anterior, las empresas concesionarias y los participantes podrán solicitar al Panel que dirima todas o algunas de las observaciones presentadas que no hubiesen sido acogidas por la Comisión o fuesen acogidas parcialmente. Del mismo plazo dispondrá quien no hubiere formulado observaciones al informe técnico para solicitar que se mantenga su contenido, en caso de haberse modificado éste. El Panel deberá realizar una audiencia pública dentro del plazo máximo de </w:t>
      </w:r>
      <w:r w:rsidRPr="00C412B2">
        <w:rPr>
          <w:rFonts w:eastAsia="Times New Roman" w:cs="Arial"/>
          <w:b/>
          <w:bCs/>
          <w:szCs w:val="24"/>
          <w:lang w:val="es-ES" w:eastAsia="es-ES"/>
        </w:rPr>
        <w:t>treinta</w:t>
      </w:r>
      <w:r w:rsidRPr="00C1330B">
        <w:rPr>
          <w:rFonts w:eastAsia="Times New Roman" w:cs="Arial"/>
          <w:szCs w:val="24"/>
          <w:lang w:val="es-ES" w:eastAsia="es-ES"/>
        </w:rPr>
        <w:t xml:space="preserve"> días, contado desde el vencimiento del término para presentar las discrepancias, y deberá evacuar su dictamen en el plazo de cuarenta y cinco días, contado desde la referida audiencia.</w:t>
      </w:r>
    </w:p>
    <w:p w14:paraId="74D015C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DDF675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del estudio de costos agruparán los costos del estudio en diferentes categorías sobre las cuales se podrá discrepar</w:t>
      </w:r>
      <w:r>
        <w:rPr>
          <w:rFonts w:eastAsia="Times New Roman" w:cs="Arial"/>
          <w:szCs w:val="24"/>
          <w:lang w:val="es-ES" w:eastAsia="es-ES"/>
        </w:rPr>
        <w:t>.</w:t>
      </w:r>
      <w:r w:rsidRPr="00C412B2">
        <w:rPr>
          <w:rFonts w:cs="Arial"/>
          <w:szCs w:val="24"/>
          <w:lang w:val="es-ES_tradnl"/>
        </w:rPr>
        <w:t xml:space="preserve"> </w:t>
      </w:r>
      <w:r w:rsidRPr="00C412B2">
        <w:rPr>
          <w:rFonts w:cs="Arial"/>
          <w:b/>
          <w:bCs/>
          <w:szCs w:val="24"/>
          <w:lang w:val="es-ES_tradnl"/>
        </w:rPr>
        <w:t>La agrupación definida en las bases del estudio sólo podrá ser observada por las partes, pero no modificada por el Panel de Expertos</w:t>
      </w:r>
      <w:r w:rsidRPr="00C412B2">
        <w:rPr>
          <w:rFonts w:eastAsia="Times New Roman" w:cs="Arial"/>
          <w:b/>
          <w:bCs/>
          <w:szCs w:val="24"/>
          <w:lang w:val="es-ES" w:eastAsia="es-ES"/>
        </w:rPr>
        <w:t>.</w:t>
      </w:r>
      <w:r w:rsidRPr="00C1330B">
        <w:rPr>
          <w:rFonts w:eastAsia="Times New Roman" w:cs="Arial"/>
          <w:szCs w:val="24"/>
          <w:lang w:val="es-ES" w:eastAsia="es-ES"/>
        </w:rPr>
        <w:t xml:space="preserve"> En cada categoría, y para cada área típica de distribución, el Panel sólo podrá </w:t>
      </w:r>
      <w:r w:rsidRPr="00C1330B">
        <w:rPr>
          <w:rFonts w:eastAsia="Times New Roman" w:cs="Arial"/>
          <w:szCs w:val="24"/>
          <w:lang w:val="es-ES" w:eastAsia="es-ES"/>
        </w:rPr>
        <w:lastRenderedPageBreak/>
        <w:t>optar por el resultado del informe de la Comisión, la alternativa planteada por un participante o por una empresa concesionaria para el conjunto de sus discrepancias presentadas en dicha categoría. El Panel no podrá elegir entre resultados parciales de costos o entre criterios que se hubiesen presentado como observaciones, sino sólo entre valores finales.</w:t>
      </w:r>
    </w:p>
    <w:p w14:paraId="2E8BCFA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4AA97F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Si no se presentaren discrepancias, dentro de los treinta días siguientes al vencimiento del plazo para presentarlas, la Comisión deberá remitir al Ministerio de Energía el informe técnico definitivo y sus antecedentes. En el caso que se hubiesen presentado discrepancias, la Comisión dispondrá de cuarenta días, contados desde la comunicación del dictamen del Panel, para remitir al Ministerio de Energía el informe técnico definitivo y sus antecedentes, incorporando e implementando lo resuelto por el Panel.</w:t>
      </w:r>
    </w:p>
    <w:p w14:paraId="5F954F4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E0E26A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Junto con el informe técnico definitivo señalado en el inciso anterior, la Comisión propondrá al Ministerio de Energía las fórmulas tarifarias para el siguiente período tarifario.</w:t>
      </w:r>
    </w:p>
    <w:p w14:paraId="7FED13A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516EE3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reglamento establecerá las materias necesarias para la implementación de las disposiciones contenidas en este artículo.”.</w:t>
      </w:r>
    </w:p>
    <w:p w14:paraId="1BBD8F0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22480E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E81746">
        <w:rPr>
          <w:rFonts w:eastAsia="Times New Roman" w:cs="Arial"/>
          <w:b/>
          <w:bCs/>
          <w:szCs w:val="24"/>
          <w:lang w:val="es-ES" w:eastAsia="es-ES"/>
        </w:rPr>
        <w:t>7.</w:t>
      </w:r>
      <w:r w:rsidRPr="00C1330B">
        <w:rPr>
          <w:rFonts w:eastAsia="Times New Roman" w:cs="Arial"/>
          <w:szCs w:val="24"/>
          <w:lang w:val="es-ES" w:eastAsia="es-ES"/>
        </w:rPr>
        <w:t xml:space="preserve"> En el artículo 185:</w:t>
      </w:r>
    </w:p>
    <w:p w14:paraId="5D718F01" w14:textId="77777777" w:rsidR="00175443" w:rsidRDefault="00175443" w:rsidP="00175443">
      <w:pPr>
        <w:shd w:val="clear" w:color="auto" w:fill="FFFFFF"/>
        <w:tabs>
          <w:tab w:val="left" w:pos="2835"/>
        </w:tabs>
        <w:jc w:val="both"/>
        <w:rPr>
          <w:rFonts w:eastAsia="Times New Roman" w:cs="Arial"/>
          <w:szCs w:val="24"/>
          <w:lang w:val="es-ES" w:eastAsia="es-ES"/>
        </w:rPr>
      </w:pPr>
    </w:p>
    <w:p w14:paraId="688813F2" w14:textId="77777777" w:rsidR="00175443" w:rsidRPr="00FD649E" w:rsidRDefault="00175443" w:rsidP="00175443">
      <w:pPr>
        <w:shd w:val="clear" w:color="auto" w:fill="FFFFFF"/>
        <w:tabs>
          <w:tab w:val="left" w:pos="2835"/>
        </w:tabs>
        <w:ind w:firstLine="2835"/>
        <w:jc w:val="both"/>
        <w:rPr>
          <w:rFonts w:eastAsia="Times New Roman" w:cs="Arial"/>
          <w:b/>
          <w:bCs/>
          <w:szCs w:val="24"/>
          <w:lang w:val="es-ES" w:eastAsia="es-ES"/>
        </w:rPr>
      </w:pPr>
      <w:r w:rsidRPr="00FD649E">
        <w:rPr>
          <w:rFonts w:cs="Arial"/>
          <w:b/>
          <w:bCs/>
          <w:szCs w:val="24"/>
          <w:lang w:val="es-ES_tradnl"/>
        </w:rPr>
        <w:t xml:space="preserve">a) </w:t>
      </w:r>
      <w:proofErr w:type="spellStart"/>
      <w:r w:rsidRPr="00FD649E">
        <w:rPr>
          <w:rFonts w:cs="Arial"/>
          <w:b/>
          <w:bCs/>
          <w:szCs w:val="24"/>
          <w:lang w:val="es-ES_tradnl"/>
        </w:rPr>
        <w:t>Agrégase</w:t>
      </w:r>
      <w:proofErr w:type="spellEnd"/>
      <w:r w:rsidRPr="00FD649E">
        <w:rPr>
          <w:rFonts w:cs="Arial"/>
          <w:b/>
          <w:bCs/>
          <w:szCs w:val="24"/>
          <w:lang w:val="es-ES_tradnl"/>
        </w:rPr>
        <w:t>, al final del inciso primero, a continuación del punto aparte, que pasa a ser punto seguido, la siguiente frase: “La estructuración de las tarifas deberá efectuarse de modo tal que reflejen los costos que dan origen al valor agregado de distribución resultante del proceso de tarificación. El cumplimiento de la condición señalada deberá explicitarse junto con la propuesta de fórmulas tarifarias a que se refiere el artículo 183 bis.”.</w:t>
      </w:r>
    </w:p>
    <w:p w14:paraId="47720B0C" w14:textId="77777777" w:rsidR="00175443" w:rsidRPr="00654438" w:rsidRDefault="00175443" w:rsidP="00175443">
      <w:pPr>
        <w:shd w:val="clear" w:color="auto" w:fill="FFFFFF"/>
        <w:tabs>
          <w:tab w:val="left" w:pos="2835"/>
        </w:tabs>
        <w:jc w:val="both"/>
        <w:rPr>
          <w:rFonts w:cs="Arial"/>
          <w:szCs w:val="24"/>
          <w:lang w:val="es-ES_tradnl"/>
        </w:rPr>
      </w:pPr>
    </w:p>
    <w:p w14:paraId="7D1EA6EB" w14:textId="77777777" w:rsidR="00175443" w:rsidRPr="00B149F5" w:rsidRDefault="00175443" w:rsidP="00175443">
      <w:pPr>
        <w:shd w:val="clear" w:color="auto" w:fill="FFFFFF"/>
        <w:jc w:val="both"/>
        <w:rPr>
          <w:rFonts w:cs="Arial"/>
          <w:b/>
          <w:bCs/>
          <w:szCs w:val="24"/>
          <w:lang w:val="es-ES_tradnl"/>
        </w:rPr>
      </w:pPr>
      <w:r w:rsidRPr="00B149F5">
        <w:rPr>
          <w:rFonts w:cs="Arial"/>
          <w:b/>
          <w:bCs/>
          <w:szCs w:val="24"/>
          <w:lang w:val="es-ES_tradnl"/>
        </w:rPr>
        <w:tab/>
        <w:t xml:space="preserve">b) </w:t>
      </w:r>
      <w:proofErr w:type="spellStart"/>
      <w:r w:rsidRPr="00B149F5">
        <w:rPr>
          <w:rFonts w:cs="Arial"/>
          <w:b/>
          <w:bCs/>
          <w:szCs w:val="24"/>
          <w:lang w:val="es-ES_tradnl"/>
        </w:rPr>
        <w:t>Agréganse</w:t>
      </w:r>
      <w:proofErr w:type="spellEnd"/>
      <w:r w:rsidRPr="00B149F5">
        <w:rPr>
          <w:rFonts w:cs="Arial"/>
          <w:b/>
          <w:bCs/>
          <w:szCs w:val="24"/>
          <w:lang w:val="es-ES_tradnl"/>
        </w:rPr>
        <w:t xml:space="preserve"> los siguientes incisos segundo y tercero, nuevos:</w:t>
      </w:r>
    </w:p>
    <w:p w14:paraId="1BF6843A" w14:textId="77777777" w:rsidR="00175443" w:rsidRPr="00B149F5" w:rsidRDefault="00175443" w:rsidP="00175443">
      <w:pPr>
        <w:shd w:val="clear" w:color="auto" w:fill="FFFFFF"/>
        <w:jc w:val="both"/>
        <w:rPr>
          <w:rFonts w:cs="Arial"/>
          <w:b/>
          <w:bCs/>
          <w:szCs w:val="24"/>
          <w:lang w:val="es-ES_tradnl"/>
        </w:rPr>
      </w:pPr>
    </w:p>
    <w:p w14:paraId="5B3B6C7A" w14:textId="77777777" w:rsidR="00175443" w:rsidRPr="00B149F5" w:rsidRDefault="00175443" w:rsidP="00175443">
      <w:pPr>
        <w:shd w:val="clear" w:color="auto" w:fill="FFFFFF"/>
        <w:jc w:val="both"/>
        <w:rPr>
          <w:rFonts w:cs="Arial"/>
          <w:b/>
          <w:bCs/>
          <w:szCs w:val="24"/>
          <w:lang w:val="es-ES_tradnl"/>
        </w:rPr>
      </w:pPr>
      <w:r w:rsidRPr="00B149F5">
        <w:rPr>
          <w:rFonts w:cs="Arial"/>
          <w:b/>
          <w:bCs/>
          <w:szCs w:val="24"/>
          <w:lang w:val="es-ES_tradnl"/>
        </w:rPr>
        <w:tab/>
        <w:t>“Para estos efectos, la Comisión deberá emitir un informe preliminar y, dentro del plazo de diez días, todos los actores de la sociedad civil y empresas inscritas en el registro a que se refiere el artículo 183 bis, podrán presentar sus observaciones a la Comisión.</w:t>
      </w:r>
    </w:p>
    <w:p w14:paraId="11BD6222" w14:textId="77777777" w:rsidR="00175443" w:rsidRPr="00B149F5" w:rsidRDefault="00175443" w:rsidP="00175443">
      <w:pPr>
        <w:shd w:val="clear" w:color="auto" w:fill="FFFFFF"/>
        <w:jc w:val="both"/>
        <w:rPr>
          <w:rFonts w:cs="Arial"/>
          <w:b/>
          <w:bCs/>
          <w:szCs w:val="24"/>
          <w:lang w:val="es-ES_tradnl"/>
        </w:rPr>
      </w:pPr>
    </w:p>
    <w:p w14:paraId="296A75B7" w14:textId="77777777" w:rsidR="00175443" w:rsidRPr="00047059" w:rsidRDefault="00175443" w:rsidP="00175443">
      <w:pPr>
        <w:shd w:val="clear" w:color="auto" w:fill="FFFFFF"/>
        <w:jc w:val="both"/>
        <w:rPr>
          <w:rFonts w:cs="Arial"/>
          <w:szCs w:val="24"/>
          <w:lang w:val="es-ES_tradnl"/>
        </w:rPr>
      </w:pPr>
      <w:r w:rsidRPr="00B149F5">
        <w:rPr>
          <w:rFonts w:cs="Arial"/>
          <w:b/>
          <w:bCs/>
          <w:szCs w:val="24"/>
          <w:lang w:val="es-ES_tradnl"/>
        </w:rPr>
        <w:tab/>
        <w:t>Vencido el plazo anterior y en un plazo no superior a diez días, la Comisión comunicará las tarifas básicas definitivas, aceptando o rechazando fundadamente las observaciones planteadas.”</w:t>
      </w:r>
      <w:r>
        <w:rPr>
          <w:rFonts w:cs="Arial"/>
          <w:b/>
          <w:bCs/>
          <w:szCs w:val="24"/>
          <w:lang w:val="es-ES_tradnl"/>
        </w:rPr>
        <w:t>.</w:t>
      </w:r>
    </w:p>
    <w:p w14:paraId="7432AC44" w14:textId="77777777" w:rsidR="00175443" w:rsidRDefault="00175443" w:rsidP="00175443">
      <w:pPr>
        <w:shd w:val="clear" w:color="auto" w:fill="FFFFFF"/>
        <w:tabs>
          <w:tab w:val="left" w:pos="2835"/>
        </w:tabs>
        <w:jc w:val="both"/>
        <w:rPr>
          <w:rFonts w:eastAsia="Times New Roman" w:cs="Arial"/>
          <w:szCs w:val="24"/>
          <w:lang w:val="es-ES" w:eastAsia="es-ES"/>
        </w:rPr>
      </w:pPr>
    </w:p>
    <w:p w14:paraId="5707B525" w14:textId="77777777" w:rsidR="00175443" w:rsidRPr="00047059" w:rsidRDefault="00175443" w:rsidP="00175443">
      <w:pPr>
        <w:shd w:val="clear" w:color="auto" w:fill="FFFFFF"/>
        <w:tabs>
          <w:tab w:val="left" w:pos="2835"/>
        </w:tabs>
        <w:jc w:val="both"/>
        <w:rPr>
          <w:rFonts w:cs="Arial"/>
          <w:szCs w:val="24"/>
          <w:lang w:val="es-ES_tradnl"/>
        </w:rPr>
      </w:pPr>
      <w:r>
        <w:rPr>
          <w:rFonts w:eastAsia="Times New Roman" w:cs="Arial"/>
          <w:szCs w:val="24"/>
          <w:lang w:val="es-ES" w:eastAsia="es-ES"/>
        </w:rPr>
        <w:tab/>
      </w:r>
      <w:r w:rsidRPr="003B28B5">
        <w:rPr>
          <w:rFonts w:eastAsia="Times New Roman" w:cs="Arial"/>
          <w:b/>
          <w:bCs/>
          <w:szCs w:val="24"/>
          <w:lang w:val="es-ES" w:eastAsia="es-ES"/>
        </w:rPr>
        <w:t>c)</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Reemplázase</w:t>
      </w:r>
      <w:proofErr w:type="spellEnd"/>
      <w:r w:rsidRPr="00C1330B">
        <w:rPr>
          <w:rFonts w:eastAsia="Times New Roman" w:cs="Arial"/>
          <w:szCs w:val="24"/>
          <w:lang w:val="es-ES" w:eastAsia="es-ES"/>
        </w:rPr>
        <w:t xml:space="preserve"> en el inciso segundo</w:t>
      </w:r>
      <w:r>
        <w:rPr>
          <w:rFonts w:eastAsia="Times New Roman" w:cs="Arial"/>
          <w:szCs w:val="24"/>
          <w:lang w:val="es-ES" w:eastAsia="es-ES"/>
        </w:rPr>
        <w:t xml:space="preserve">, </w:t>
      </w:r>
      <w:r w:rsidRPr="00022750">
        <w:rPr>
          <w:rFonts w:eastAsia="Times New Roman" w:cs="Arial"/>
          <w:b/>
          <w:bCs/>
          <w:szCs w:val="24"/>
          <w:lang w:val="es-ES" w:eastAsia="es-ES"/>
        </w:rPr>
        <w:t>que ha pasado a ser cuarto</w:t>
      </w:r>
      <w:r>
        <w:rPr>
          <w:rFonts w:eastAsia="Times New Roman" w:cs="Arial"/>
          <w:szCs w:val="24"/>
          <w:lang w:val="es-ES" w:eastAsia="es-ES"/>
        </w:rPr>
        <w:t>,</w:t>
      </w:r>
      <w:r w:rsidRPr="00C1330B">
        <w:rPr>
          <w:rFonts w:eastAsia="Times New Roman" w:cs="Arial"/>
          <w:szCs w:val="24"/>
          <w:lang w:val="es-ES" w:eastAsia="es-ES"/>
        </w:rPr>
        <w:t xml:space="preserve"> la expresión “antes de impuestos” por “después de </w:t>
      </w:r>
      <w:r w:rsidRPr="00C1330B">
        <w:rPr>
          <w:rFonts w:eastAsia="Times New Roman" w:cs="Arial"/>
          <w:szCs w:val="24"/>
          <w:lang w:val="es-ES" w:eastAsia="es-ES"/>
        </w:rPr>
        <w:lastRenderedPageBreak/>
        <w:t>impuestos”</w:t>
      </w:r>
      <w:r w:rsidRPr="005A71D9">
        <w:rPr>
          <w:rFonts w:eastAsia="Times New Roman" w:cs="Arial"/>
          <w:szCs w:val="24"/>
          <w:lang w:val="es-ES_tradnl" w:eastAsia="es-ES"/>
        </w:rPr>
        <w:t xml:space="preserve"> </w:t>
      </w:r>
      <w:r w:rsidRPr="005A71D9">
        <w:rPr>
          <w:rFonts w:eastAsia="Times New Roman" w:cs="Arial"/>
          <w:b/>
          <w:bCs/>
          <w:szCs w:val="24"/>
          <w:lang w:val="es-ES_tradnl" w:eastAsia="es-ES"/>
        </w:rPr>
        <w:t xml:space="preserve">y </w:t>
      </w:r>
      <w:proofErr w:type="spellStart"/>
      <w:r w:rsidRPr="005A71D9">
        <w:rPr>
          <w:rFonts w:eastAsia="Times New Roman" w:cs="Arial"/>
          <w:b/>
          <w:bCs/>
          <w:szCs w:val="24"/>
          <w:lang w:val="es-ES_tradnl" w:eastAsia="es-ES"/>
        </w:rPr>
        <w:t>sustitúyese</w:t>
      </w:r>
      <w:proofErr w:type="spellEnd"/>
      <w:r w:rsidRPr="005A71D9">
        <w:rPr>
          <w:rFonts w:eastAsia="Times New Roman" w:cs="Arial"/>
          <w:b/>
          <w:bCs/>
          <w:szCs w:val="24"/>
          <w:lang w:val="es-ES_tradnl" w:eastAsia="es-ES"/>
        </w:rPr>
        <w:t xml:space="preserve"> la expresión “cuatro puntos” por “dos puntos al alza y tres puntos a la baja”.</w:t>
      </w:r>
      <w:r w:rsidRPr="007F738C">
        <w:rPr>
          <w:rFonts w:eastAsia="Times New Roman" w:cs="Arial"/>
          <w:szCs w:val="24"/>
          <w:lang w:val="es-ES_tradnl" w:eastAsia="es-ES"/>
        </w:rPr>
        <w:t>”.</w:t>
      </w:r>
    </w:p>
    <w:p w14:paraId="5DBD43CD" w14:textId="77777777" w:rsidR="00175443" w:rsidRDefault="00175443" w:rsidP="00175443">
      <w:pPr>
        <w:shd w:val="clear" w:color="auto" w:fill="FFFFFF"/>
        <w:jc w:val="both"/>
        <w:rPr>
          <w:rFonts w:eastAsia="Times New Roman" w:cs="Arial"/>
          <w:szCs w:val="24"/>
          <w:lang w:val="es-ES_tradnl" w:eastAsia="es-ES"/>
        </w:rPr>
      </w:pPr>
    </w:p>
    <w:p w14:paraId="40DEF6E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d)</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Elimínase</w:t>
      </w:r>
      <w:proofErr w:type="spellEnd"/>
      <w:r w:rsidRPr="00C1330B">
        <w:rPr>
          <w:rFonts w:eastAsia="Times New Roman" w:cs="Arial"/>
          <w:szCs w:val="24"/>
          <w:lang w:val="es-ES" w:eastAsia="es-ES"/>
        </w:rPr>
        <w:t xml:space="preserve"> el numeral 1 del inciso tercero</w:t>
      </w:r>
      <w:r>
        <w:rPr>
          <w:rFonts w:eastAsia="Times New Roman" w:cs="Arial"/>
          <w:szCs w:val="24"/>
          <w:lang w:val="es-ES" w:eastAsia="es-ES"/>
        </w:rPr>
        <w:t>, que ha pasado a ser quinto</w:t>
      </w:r>
      <w:r w:rsidRPr="00C1330B">
        <w:rPr>
          <w:rFonts w:eastAsia="Times New Roman" w:cs="Arial"/>
          <w:szCs w:val="24"/>
          <w:lang w:val="es-ES" w:eastAsia="es-ES"/>
        </w:rPr>
        <w:t>.</w:t>
      </w:r>
    </w:p>
    <w:p w14:paraId="44B1BC5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192AAE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e)</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Sustitúyese</w:t>
      </w:r>
      <w:proofErr w:type="spellEnd"/>
      <w:r w:rsidRPr="00C1330B">
        <w:rPr>
          <w:rFonts w:eastAsia="Times New Roman" w:cs="Arial"/>
          <w:szCs w:val="24"/>
          <w:lang w:val="es-ES" w:eastAsia="es-ES"/>
        </w:rPr>
        <w:t xml:space="preserve"> en el numeral 2 del inciso tercero</w:t>
      </w:r>
      <w:r>
        <w:rPr>
          <w:rFonts w:eastAsia="Times New Roman" w:cs="Arial"/>
          <w:szCs w:val="24"/>
          <w:lang w:val="es-ES" w:eastAsia="es-ES"/>
        </w:rPr>
        <w:t>,</w:t>
      </w:r>
      <w:r w:rsidRPr="00AF0971">
        <w:rPr>
          <w:rFonts w:eastAsia="Times New Roman" w:cs="Arial"/>
          <w:szCs w:val="24"/>
          <w:lang w:val="es-ES" w:eastAsia="es-ES"/>
        </w:rPr>
        <w:t xml:space="preserve"> </w:t>
      </w:r>
      <w:r w:rsidRPr="00305D67">
        <w:rPr>
          <w:rFonts w:eastAsia="Times New Roman" w:cs="Arial"/>
          <w:b/>
          <w:bCs/>
          <w:szCs w:val="24"/>
          <w:lang w:val="es-ES" w:eastAsia="es-ES"/>
        </w:rPr>
        <w:t>que ha pasado a ser quinto</w:t>
      </w:r>
      <w:r>
        <w:rPr>
          <w:rFonts w:eastAsia="Times New Roman" w:cs="Arial"/>
          <w:szCs w:val="24"/>
          <w:lang w:val="es-ES" w:eastAsia="es-ES"/>
        </w:rPr>
        <w:t>,</w:t>
      </w:r>
      <w:r w:rsidRPr="00C1330B">
        <w:rPr>
          <w:rFonts w:eastAsia="Times New Roman" w:cs="Arial"/>
          <w:szCs w:val="24"/>
          <w:lang w:val="es-ES" w:eastAsia="es-ES"/>
        </w:rPr>
        <w:t xml:space="preserve"> la frase “Cada empresa determinará e informará a la Comisión” por “La Comisión determinará para cada empresa”.</w:t>
      </w:r>
    </w:p>
    <w:p w14:paraId="22B2FED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7E83EE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f)</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Intercálase</w:t>
      </w:r>
      <w:proofErr w:type="spellEnd"/>
      <w:r w:rsidRPr="00C1330B">
        <w:rPr>
          <w:rFonts w:eastAsia="Times New Roman" w:cs="Arial"/>
          <w:szCs w:val="24"/>
          <w:lang w:val="es-ES" w:eastAsia="es-ES"/>
        </w:rPr>
        <w:t xml:space="preserve"> en el numeral 3 del inciso tercero, </w:t>
      </w:r>
      <w:r w:rsidRPr="00305D67">
        <w:rPr>
          <w:rFonts w:eastAsia="Times New Roman" w:cs="Arial"/>
          <w:b/>
          <w:bCs/>
          <w:szCs w:val="24"/>
          <w:lang w:val="es-ES" w:eastAsia="es-ES"/>
        </w:rPr>
        <w:t>que ha pasado a ser quinto</w:t>
      </w:r>
      <w:r>
        <w:rPr>
          <w:rFonts w:eastAsia="Times New Roman" w:cs="Arial"/>
          <w:szCs w:val="24"/>
          <w:lang w:val="es-ES" w:eastAsia="es-ES"/>
        </w:rPr>
        <w:t xml:space="preserve">, </w:t>
      </w:r>
      <w:r w:rsidRPr="00C1330B">
        <w:rPr>
          <w:rFonts w:eastAsia="Times New Roman" w:cs="Arial"/>
          <w:szCs w:val="24"/>
          <w:lang w:val="es-ES" w:eastAsia="es-ES"/>
        </w:rPr>
        <w:t>entre la expresión “procedimiento anterior” y el punto seguido, la siguiente frase: “, y considerando los impuestos a las utilidades correspondientes que ésta determine”.</w:t>
      </w:r>
    </w:p>
    <w:p w14:paraId="33C0E201" w14:textId="77777777" w:rsidR="00175443" w:rsidRDefault="00175443" w:rsidP="00175443">
      <w:pPr>
        <w:shd w:val="clear" w:color="auto" w:fill="FFFFFF"/>
        <w:tabs>
          <w:tab w:val="left" w:pos="2835"/>
        </w:tabs>
        <w:jc w:val="both"/>
        <w:rPr>
          <w:rFonts w:eastAsia="Times New Roman" w:cs="Arial"/>
          <w:szCs w:val="24"/>
          <w:lang w:val="es-ES" w:eastAsia="es-ES"/>
        </w:rPr>
      </w:pPr>
    </w:p>
    <w:p w14:paraId="09AB16E9" w14:textId="77777777" w:rsidR="00175443" w:rsidRPr="00F22A8D" w:rsidRDefault="00175443" w:rsidP="00175443">
      <w:pPr>
        <w:shd w:val="clear" w:color="auto" w:fill="FFFFFF"/>
        <w:tabs>
          <w:tab w:val="left" w:pos="2835"/>
        </w:tabs>
        <w:jc w:val="both"/>
        <w:rPr>
          <w:rFonts w:eastAsia="Times New Roman" w:cs="Arial"/>
          <w:b/>
          <w:bCs/>
          <w:szCs w:val="24"/>
          <w:lang w:val="es-ES" w:eastAsia="es-ES"/>
        </w:rPr>
      </w:pPr>
      <w:r w:rsidRPr="005B4F5C">
        <w:rPr>
          <w:rFonts w:eastAsia="Times New Roman" w:cs="Times New Roman"/>
          <w:szCs w:val="20"/>
          <w:lang w:val="es-ES_tradnl" w:eastAsia="es-ES"/>
        </w:rPr>
        <w:tab/>
      </w:r>
      <w:r w:rsidRPr="00F22A8D">
        <w:rPr>
          <w:rFonts w:eastAsia="Times New Roman" w:cs="Times New Roman"/>
          <w:b/>
          <w:bCs/>
          <w:szCs w:val="20"/>
          <w:lang w:val="es-ES_tradnl" w:eastAsia="es-ES"/>
        </w:rPr>
        <w:t xml:space="preserve">g) </w:t>
      </w:r>
      <w:proofErr w:type="spellStart"/>
      <w:r w:rsidRPr="00F22A8D">
        <w:rPr>
          <w:rFonts w:eastAsia="Times New Roman" w:cs="Times New Roman"/>
          <w:b/>
          <w:bCs/>
          <w:szCs w:val="20"/>
          <w:lang w:val="es-ES_tradnl" w:eastAsia="es-ES"/>
        </w:rPr>
        <w:t>A</w:t>
      </w:r>
      <w:r w:rsidRPr="00F22A8D">
        <w:rPr>
          <w:rFonts w:cs="Arial"/>
          <w:b/>
          <w:bCs/>
          <w:szCs w:val="24"/>
          <w:lang w:val="es-ES_tradnl"/>
        </w:rPr>
        <w:t>grégase</w:t>
      </w:r>
      <w:proofErr w:type="spellEnd"/>
      <w:r w:rsidRPr="00F22A8D">
        <w:rPr>
          <w:rFonts w:cs="Arial"/>
          <w:b/>
          <w:bCs/>
          <w:szCs w:val="24"/>
          <w:lang w:val="es-ES_tradnl"/>
        </w:rPr>
        <w:t xml:space="preserve"> en el numeral 3 del inciso tercero, </w:t>
      </w:r>
      <w:r w:rsidRPr="00305D67">
        <w:rPr>
          <w:rFonts w:eastAsia="Times New Roman" w:cs="Arial"/>
          <w:b/>
          <w:bCs/>
          <w:szCs w:val="24"/>
          <w:lang w:val="es-ES" w:eastAsia="es-ES"/>
        </w:rPr>
        <w:t>que ha pasado a ser quinto</w:t>
      </w:r>
      <w:r>
        <w:rPr>
          <w:rFonts w:cs="Arial"/>
          <w:b/>
          <w:bCs/>
          <w:szCs w:val="24"/>
          <w:lang w:val="es-ES"/>
        </w:rPr>
        <w:t xml:space="preserve">, </w:t>
      </w:r>
      <w:r w:rsidRPr="00F22A8D">
        <w:rPr>
          <w:rFonts w:cs="Arial"/>
          <w:b/>
          <w:bCs/>
          <w:szCs w:val="24"/>
          <w:lang w:val="es-ES_tradnl"/>
        </w:rPr>
        <w:t xml:space="preserve">después de la frase “igual a cero.” </w:t>
      </w:r>
      <w:r>
        <w:rPr>
          <w:rFonts w:cs="Arial"/>
          <w:b/>
          <w:bCs/>
          <w:szCs w:val="24"/>
          <w:lang w:val="es-ES_tradnl"/>
        </w:rPr>
        <w:t>e</w:t>
      </w:r>
      <w:r w:rsidRPr="00F22A8D">
        <w:rPr>
          <w:rFonts w:cs="Arial"/>
          <w:b/>
          <w:bCs/>
          <w:szCs w:val="24"/>
          <w:lang w:val="es-ES_tradnl"/>
        </w:rPr>
        <w:t>l siguiente texto: “Se deberá considerar un periodo equivalente a la vida útil promedio ponderada del total de activos que componen el Valor Nuevo de Reemplazo de las instalaciones de distribución de la industria, determinadas en los estudios de cada empresa modelo del proceso de tarificación respectivo para cada área típica.”.</w:t>
      </w:r>
    </w:p>
    <w:p w14:paraId="039A9442" w14:textId="77777777" w:rsidR="00175443" w:rsidRDefault="00175443" w:rsidP="00175443">
      <w:pPr>
        <w:shd w:val="clear" w:color="auto" w:fill="FFFFFF"/>
        <w:tabs>
          <w:tab w:val="left" w:pos="2835"/>
        </w:tabs>
        <w:jc w:val="both"/>
        <w:rPr>
          <w:rFonts w:eastAsia="Times New Roman" w:cs="Arial"/>
          <w:szCs w:val="24"/>
          <w:lang w:val="es-ES" w:eastAsia="es-ES"/>
        </w:rPr>
      </w:pPr>
    </w:p>
    <w:p w14:paraId="5C36508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8.</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Reemplázase</w:t>
      </w:r>
      <w:proofErr w:type="spellEnd"/>
      <w:r w:rsidRPr="00C1330B">
        <w:rPr>
          <w:rFonts w:eastAsia="Times New Roman" w:cs="Arial"/>
          <w:szCs w:val="24"/>
          <w:lang w:val="es-ES" w:eastAsia="es-ES"/>
        </w:rPr>
        <w:t xml:space="preserve"> en el artículo 187 la expresión “antes de impuestos” por “después de impuestos”.</w:t>
      </w:r>
    </w:p>
    <w:p w14:paraId="2ABB95B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96A9AE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9.</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Elimínanse</w:t>
      </w:r>
      <w:proofErr w:type="spellEnd"/>
      <w:r w:rsidRPr="00C1330B">
        <w:rPr>
          <w:rFonts w:eastAsia="Times New Roman" w:cs="Arial"/>
          <w:szCs w:val="24"/>
          <w:lang w:val="es-ES" w:eastAsia="es-ES"/>
        </w:rPr>
        <w:t xml:space="preserve"> los artículos 188 y 189.</w:t>
      </w:r>
    </w:p>
    <w:p w14:paraId="09C5E74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845D0A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10</w:t>
      </w:r>
      <w:r w:rsidRPr="00C1330B">
        <w:rPr>
          <w:rFonts w:eastAsia="Times New Roman" w:cs="Arial"/>
          <w:szCs w:val="24"/>
          <w:lang w:val="es-ES" w:eastAsia="es-ES"/>
        </w:rPr>
        <w:t>. En el artículo 193:</w:t>
      </w:r>
    </w:p>
    <w:p w14:paraId="796366C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56B73CD"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 </w:t>
      </w:r>
      <w:proofErr w:type="spellStart"/>
      <w:r w:rsidRPr="00C1330B">
        <w:rPr>
          <w:rFonts w:eastAsia="Times New Roman" w:cs="Arial"/>
          <w:szCs w:val="24"/>
          <w:lang w:val="es-ES" w:eastAsia="es-ES"/>
        </w:rPr>
        <w:t>Reemplázase</w:t>
      </w:r>
      <w:proofErr w:type="spellEnd"/>
      <w:r w:rsidRPr="00C1330B">
        <w:rPr>
          <w:rFonts w:eastAsia="Times New Roman" w:cs="Arial"/>
          <w:szCs w:val="24"/>
          <w:lang w:val="es-ES" w:eastAsia="es-ES"/>
        </w:rPr>
        <w:t xml:space="preserve"> en el inciso primero la expresión “antes de impuestos” por “después de impuestos”. </w:t>
      </w:r>
    </w:p>
    <w:p w14:paraId="36467BA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901A89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b) </w:t>
      </w:r>
      <w:proofErr w:type="spellStart"/>
      <w:r w:rsidRPr="00C1330B">
        <w:rPr>
          <w:rFonts w:eastAsia="Times New Roman" w:cs="Arial"/>
          <w:szCs w:val="24"/>
          <w:lang w:val="es-ES" w:eastAsia="es-ES"/>
        </w:rPr>
        <w:t>Sustitúyese</w:t>
      </w:r>
      <w:proofErr w:type="spellEnd"/>
      <w:r w:rsidRPr="00C1330B">
        <w:rPr>
          <w:rFonts w:eastAsia="Times New Roman" w:cs="Arial"/>
          <w:szCs w:val="24"/>
          <w:lang w:val="es-ES" w:eastAsia="es-ES"/>
        </w:rPr>
        <w:t xml:space="preserve"> en el inciso quinto la frase “en las respectivas concesiones” por “considerando todas las instalaciones de la empresa concesionaria requeridas para la prestación del servicio público de distribución, sea que ellas se encuentren dentro o fuera de la zona de concesión”.</w:t>
      </w:r>
    </w:p>
    <w:p w14:paraId="5FAD0E7B"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D1160E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11</w:t>
      </w:r>
      <w:r w:rsidRPr="00C1330B">
        <w:rPr>
          <w:rFonts w:eastAsia="Times New Roman" w:cs="Arial"/>
          <w:szCs w:val="24"/>
          <w:lang w:val="es-ES" w:eastAsia="es-ES"/>
        </w:rPr>
        <w:t xml:space="preserve">. </w:t>
      </w:r>
      <w:proofErr w:type="spellStart"/>
      <w:r w:rsidRPr="00C1330B">
        <w:rPr>
          <w:rFonts w:eastAsia="Times New Roman" w:cs="Arial"/>
          <w:szCs w:val="24"/>
          <w:lang w:val="es-ES" w:eastAsia="es-ES"/>
        </w:rPr>
        <w:t>Reemplázase</w:t>
      </w:r>
      <w:proofErr w:type="spellEnd"/>
      <w:r w:rsidRPr="00C1330B">
        <w:rPr>
          <w:rFonts w:eastAsia="Times New Roman" w:cs="Arial"/>
          <w:szCs w:val="24"/>
          <w:lang w:val="es-ES" w:eastAsia="es-ES"/>
        </w:rPr>
        <w:t xml:space="preserve"> la letra m) del artículo 225 por la siguiente: </w:t>
      </w:r>
    </w:p>
    <w:p w14:paraId="6EC0083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807EE9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“m) Áreas típicas de distribución: áreas en que los costos de prestar el servicio de distribución y la densidad de clientes por kilómetro de red son similares entre sí, pudiendo incluir en ellas una o más empresas concesionarias de distribución eléctrica.”.</w:t>
      </w:r>
    </w:p>
    <w:p w14:paraId="4358CAC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0682FC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lastRenderedPageBreak/>
        <w:t>Disposiciones transitorias</w:t>
      </w:r>
    </w:p>
    <w:p w14:paraId="77FDA5F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8D4787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primero.-</w:t>
      </w:r>
      <w:proofErr w:type="gramEnd"/>
      <w:r w:rsidRPr="00C1330B">
        <w:rPr>
          <w:rFonts w:eastAsia="Times New Roman" w:cs="Arial"/>
          <w:szCs w:val="24"/>
          <w:lang w:val="es-ES" w:eastAsia="es-ES"/>
        </w:rPr>
        <w:t xml:space="preserve"> Lo dispuesto en esta ley se aplicará al proceso de determinación de tarifas de distribución correspondiente al cuadrienio 2020-2024 y, también, al proceso de fijación de precios de servicios no consistentes en suministros de energía asociados a la distribución de energía eléctrica, en lo que fuera pertinente.</w:t>
      </w:r>
    </w:p>
    <w:p w14:paraId="6A1EBD7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385702E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segundo.- Para el proceso de determinación de tarifas de distribución correspondiente al cuadrienio 2020-2024, la Comisión Nacional de Energía podrá utilizar estudios de determinación de tasa de actualización contratados por ésta, y no serán exigibles las disposiciones establecidas en el inciso séptimo del artículo 182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w:t>
      </w:r>
    </w:p>
    <w:p w14:paraId="7D162F40"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71FAF5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tercero.-</w:t>
      </w:r>
      <w:proofErr w:type="gramEnd"/>
      <w:r w:rsidRPr="00C1330B">
        <w:rPr>
          <w:rFonts w:eastAsia="Times New Roman" w:cs="Arial"/>
          <w:szCs w:val="24"/>
          <w:lang w:val="es-ES" w:eastAsia="es-ES"/>
        </w:rPr>
        <w:t xml:space="preserve"> Las bases técnicas y administrativas preliminares a que se refiere 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deberán comunicarse</w:t>
      </w:r>
      <w:r w:rsidRPr="00BC12E7">
        <w:rPr>
          <w:rFonts w:cs="Arial"/>
          <w:szCs w:val="24"/>
          <w:lang w:val="es-ES_tradnl"/>
        </w:rPr>
        <w:t xml:space="preserve"> </w:t>
      </w:r>
      <w:r w:rsidRPr="00BC12E7">
        <w:rPr>
          <w:rFonts w:cs="Arial"/>
          <w:b/>
          <w:bCs/>
          <w:szCs w:val="24"/>
          <w:lang w:val="es-ES_tradnl"/>
        </w:rPr>
        <w:t xml:space="preserve">dentro de los </w:t>
      </w:r>
      <w:r>
        <w:rPr>
          <w:rFonts w:cs="Arial"/>
          <w:b/>
          <w:bCs/>
          <w:szCs w:val="24"/>
          <w:lang w:val="es-ES_tradnl"/>
        </w:rPr>
        <w:t xml:space="preserve">veinte </w:t>
      </w:r>
      <w:r w:rsidRPr="00BC12E7">
        <w:rPr>
          <w:rFonts w:cs="Arial"/>
          <w:b/>
          <w:bCs/>
          <w:szCs w:val="24"/>
          <w:lang w:val="es-ES_tradnl"/>
        </w:rPr>
        <w:t>días hábiles siguientes a la publicación en el Diario Oficial de la presente ley</w:t>
      </w:r>
      <w:r w:rsidRPr="00C1330B">
        <w:rPr>
          <w:rFonts w:eastAsia="Times New Roman" w:cs="Arial"/>
          <w:szCs w:val="24"/>
          <w:lang w:val="es-ES" w:eastAsia="es-ES"/>
        </w:rPr>
        <w:t>.</w:t>
      </w:r>
    </w:p>
    <w:p w14:paraId="7595CD6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EF5E8D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cuarto.-</w:t>
      </w:r>
      <w:proofErr w:type="gramEnd"/>
      <w:r w:rsidRPr="00C1330B">
        <w:rPr>
          <w:rFonts w:eastAsia="Times New Roman" w:cs="Arial"/>
          <w:szCs w:val="24"/>
          <w:lang w:val="es-ES" w:eastAsia="es-ES"/>
        </w:rPr>
        <w:t xml:space="preserve"> Para el proceso de determinación de tarifas de distribución correspondiente al cuadrienio 2020-2024, y por única vez, no serán aplicables las disposiciones establecidas en el artículo 183 bis en relación a la constitución del registro de participantes. Para dicho proceso se entenderán como integrantes del registro de participación ciudadana que establece 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las asociaciones de consumidores a que se refiere la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19.496, que establece normas sobre protección de los derechos de los consumidores, y  las empresas concesionarias de distribución eléctrica.</w:t>
      </w:r>
    </w:p>
    <w:p w14:paraId="0AF28D3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161F922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quinto.-</w:t>
      </w:r>
      <w:proofErr w:type="gramEnd"/>
      <w:r w:rsidRPr="00C1330B">
        <w:rPr>
          <w:rFonts w:eastAsia="Times New Roman" w:cs="Arial"/>
          <w:szCs w:val="24"/>
          <w:lang w:val="es-ES" w:eastAsia="es-ES"/>
        </w:rPr>
        <w:t xml:space="preserve"> Sin perjuicio de lo establecido en el inciso primero del artículo 183, para el proceso de determinación de tarifas de distribución correspondiente al cuadrienio 2020-2024, la Comisión Nacional de Energía deberá definir al menos cuatro áreas típicas para las cooperativas de distribución eléctrica en las cuales se considerarán como empresas de referencia a cooperativas que presten el servicio público de distribución para el estudio de costos de la respectiva área típica.</w:t>
      </w:r>
    </w:p>
    <w:p w14:paraId="5435C31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D8A580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lastRenderedPageBreak/>
        <w:t xml:space="preserve">Artículo </w:t>
      </w:r>
      <w:proofErr w:type="gramStart"/>
      <w:r w:rsidRPr="00C1330B">
        <w:rPr>
          <w:rFonts w:eastAsia="Times New Roman" w:cs="Arial"/>
          <w:szCs w:val="24"/>
          <w:lang w:val="es-ES" w:eastAsia="es-ES"/>
        </w:rPr>
        <w:t>sexto.-</w:t>
      </w:r>
      <w:proofErr w:type="gramEnd"/>
      <w:r w:rsidRPr="00C1330B">
        <w:rPr>
          <w:rFonts w:eastAsia="Times New Roman" w:cs="Arial"/>
          <w:szCs w:val="24"/>
          <w:lang w:val="es-ES" w:eastAsia="es-ES"/>
        </w:rPr>
        <w:t xml:space="preserve"> Los plazos aplicables para el proceso de determinación de tarifas de distribución correspondiente al cuadrienio 2020-2024 serán los siguientes:</w:t>
      </w:r>
    </w:p>
    <w:p w14:paraId="2F5F8BA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F7DB60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1. El Panel de Expertos deberá resolver dentro de los veinte días siguientes a la audiencia pública a que se refiere el inciso décimo primero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w:t>
      </w:r>
    </w:p>
    <w:p w14:paraId="14BDDA8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27543B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2. La Comisión deberá dictar la resolución a que se refiere el inciso décimo segundo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dentro de los siguientes diez días desde la comunicación del dictamen señalado en el numeral anterior. </w:t>
      </w:r>
    </w:p>
    <w:p w14:paraId="77B4633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E4EAEE9"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3. El estudio de costos a que se refieren los artículos 183 y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deberá ser ejecutado en el plazo máximo de cien días a partir de su adjudicación.</w:t>
      </w:r>
    </w:p>
    <w:p w14:paraId="0B990594"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877A59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4. Dentro de los tres días desde que el Comité a que se refiere el inciso décimo tercero del artículo 183 bis otorgue la conformidad al estudio al que se refiere el numeral anterior, la Comisión lo comunicará en su página web y en un medio de amplio acceso, y los participantes tendrán el plazo de quince días, contado desde dicha publicación, para efectuar observaciones al estudio. En razón de lo anterior, por única vez no será necesaria la emisión del informe técnico preliminar al que se refiere el inciso décimo octavo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w:t>
      </w:r>
    </w:p>
    <w:p w14:paraId="7117FC0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402D5E0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5. La Comisión, en el plazo de cuarenta días, contado desde el vencimiento del plazo para efectuar observaciones al estudio conforme a lo señalado en el numeral anterior, deberá comunicar la resolución que contenga el informe técnico conforme a lo dispuesto en el inciso vigésimo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w:t>
      </w:r>
    </w:p>
    <w:p w14:paraId="277D348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95597F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6. Las discrepancias a que se refiere el inciso vigésimo primero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w:t>
      </w:r>
      <w:r w:rsidRPr="00C1330B">
        <w:rPr>
          <w:rFonts w:eastAsia="Times New Roman" w:cs="Arial"/>
          <w:szCs w:val="24"/>
          <w:lang w:val="es-ES" w:eastAsia="es-ES"/>
        </w:rPr>
        <w:lastRenderedPageBreak/>
        <w:t>refundido, coordinado y sistematizado de la Ley General de Servicios Eléctricos, sólo se podrán referir a observaciones presentadas al estudio que no hayan sido consideradas en el informe técnico señalado en el numeral anterior, o modificaciones respecto de lo señalado en el estudio sin que hubiese sido observado.</w:t>
      </w:r>
    </w:p>
    <w:p w14:paraId="33B35537"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01D8F633"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7. La audiencia pública a que se refiere el inciso vigésimo primero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deberá ser realizada quince días después del término del plazo para presentar discrepancias.</w:t>
      </w:r>
    </w:p>
    <w:p w14:paraId="7B69C67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23F0799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8. El dictamen del Panel, a que se refiere el inciso vigésimo primero del artículo 183 bis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deberá ser evacuado en el plazo de treinta días contado desde la audiencia pública a que se refiere dicha disposición.</w:t>
      </w:r>
    </w:p>
    <w:p w14:paraId="5B7547AE"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3D4BD66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séptimo.-</w:t>
      </w:r>
      <w:proofErr w:type="gramEnd"/>
      <w:r w:rsidRPr="00C1330B">
        <w:rPr>
          <w:rFonts w:eastAsia="Times New Roman" w:cs="Arial"/>
          <w:szCs w:val="24"/>
          <w:lang w:val="es-ES" w:eastAsia="es-ES"/>
        </w:rPr>
        <w:t xml:space="preserve"> Las empresas titulares de concesiones de servicio público de distribución deberán dar cumplimiento a las obligaciones establecidas en el artículo 8 ter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a más tardar el 1 de enero de 2021. </w:t>
      </w:r>
    </w:p>
    <w:p w14:paraId="216CC80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5422DCC"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Las transferencias de concesiones que sean necesarias para dar cumplimiento a lo dispuesto en el inciso precedente se entenderán autorizadas, en los términos establecidos en el artículo 47 del decreto con fuerza de ley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4/20018, de 2006, del Ministerio de Economía, Fomento y Reconstrucción, que fija texto refundido, coordinado y sistematizado de la Ley General de Servicios Eléctricos, debiendo las empresas concesionarias de servicio público de distribución eléctrica enviar al Ministerio de Energía los antecedentes que acrediten el cumplimiento de lo señalado en el inciso anterior.</w:t>
      </w:r>
    </w:p>
    <w:p w14:paraId="36E3DDFA"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5EC784C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octavo.-</w:t>
      </w:r>
      <w:proofErr w:type="gramEnd"/>
      <w:r w:rsidRPr="00C1330B">
        <w:rPr>
          <w:rFonts w:eastAsia="Times New Roman" w:cs="Arial"/>
          <w:szCs w:val="24"/>
          <w:lang w:val="es-ES" w:eastAsia="es-ES"/>
        </w:rPr>
        <w:t xml:space="preserve"> Dentro de los seis meses siguientes a la publicación de esta ley en el Diario Oficial, el Presidente de la República deberá enviar al Congreso Nacional un proyecto de ley de reforma integral al segmento de distribución eléctrica, el que podrá abordar cualquiera de las materias tratadas en esta ley.</w:t>
      </w:r>
    </w:p>
    <w:p w14:paraId="273CBE26"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60579012"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noveno.- La primera fijación de fórmulas tarifarias conforme al proceso establecido en esta ley tendrá vigencia a contar del término de aquellas fijadas en el decreto supremo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11T, de 2017, actualizado por el decreto supremo </w:t>
      </w:r>
      <w:proofErr w:type="spellStart"/>
      <w:r w:rsidRPr="00C1330B">
        <w:rPr>
          <w:rFonts w:eastAsia="Times New Roman" w:cs="Arial"/>
          <w:szCs w:val="24"/>
          <w:lang w:val="es-ES" w:eastAsia="es-ES"/>
        </w:rPr>
        <w:t>N°</w:t>
      </w:r>
      <w:proofErr w:type="spellEnd"/>
      <w:r w:rsidRPr="00C1330B">
        <w:rPr>
          <w:rFonts w:eastAsia="Times New Roman" w:cs="Arial"/>
          <w:szCs w:val="24"/>
          <w:lang w:val="es-ES" w:eastAsia="es-ES"/>
        </w:rPr>
        <w:t xml:space="preserve"> 5T, de 2018, ambos del Ministerio de </w:t>
      </w:r>
      <w:r w:rsidRPr="00C1330B">
        <w:rPr>
          <w:rFonts w:eastAsia="Times New Roman" w:cs="Arial"/>
          <w:szCs w:val="24"/>
          <w:lang w:val="es-ES" w:eastAsia="es-ES"/>
        </w:rPr>
        <w:lastRenderedPageBreak/>
        <w:t>Energía, por un período máximo de cuatro años o hasta la publicación de la ley a que se refiere el artículo precedente, así como también el proceso de fijación de precios de servicios no consistentes en suministros de energía, asociados a la distribución de energía eléctrica, en lo que fuera pertinente.</w:t>
      </w:r>
    </w:p>
    <w:p w14:paraId="1A3EDB55"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87108B8"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w:t>
      </w:r>
      <w:proofErr w:type="gramStart"/>
      <w:r w:rsidRPr="00C1330B">
        <w:rPr>
          <w:rFonts w:eastAsia="Times New Roman" w:cs="Arial"/>
          <w:szCs w:val="24"/>
          <w:lang w:val="es-ES" w:eastAsia="es-ES"/>
        </w:rPr>
        <w:t>décimo.-</w:t>
      </w:r>
      <w:proofErr w:type="gramEnd"/>
      <w:r w:rsidRPr="00C1330B">
        <w:rPr>
          <w:rFonts w:eastAsia="Times New Roman" w:cs="Arial"/>
          <w:szCs w:val="24"/>
          <w:lang w:val="es-ES" w:eastAsia="es-ES"/>
        </w:rPr>
        <w:t xml:space="preserve"> A más tardar el 31 de marzo de 2021, el Ministerio de Energía deberá informar a las </w:t>
      </w:r>
      <w:r>
        <w:rPr>
          <w:rFonts w:eastAsia="Times New Roman" w:cs="Arial"/>
          <w:szCs w:val="24"/>
          <w:lang w:val="es-ES" w:eastAsia="es-ES"/>
        </w:rPr>
        <w:t>C</w:t>
      </w:r>
      <w:r w:rsidRPr="00C1330B">
        <w:rPr>
          <w:rFonts w:eastAsia="Times New Roman" w:cs="Arial"/>
          <w:szCs w:val="24"/>
          <w:lang w:val="es-ES" w:eastAsia="es-ES"/>
        </w:rPr>
        <w:t>omisiones de Minería y Energía de la Cámara de Diputados y del Senado acerca de la implementación y aplicación de esta ley, evaluando sus impactos en la rebaja de tarifas, como asimismo, en la transparencia y participación ciudadana.</w:t>
      </w:r>
    </w:p>
    <w:p w14:paraId="23686791" w14:textId="77777777" w:rsidR="00175443" w:rsidRPr="00C1330B" w:rsidRDefault="00175443" w:rsidP="00175443">
      <w:pPr>
        <w:shd w:val="clear" w:color="auto" w:fill="FFFFFF"/>
        <w:tabs>
          <w:tab w:val="left" w:pos="2835"/>
        </w:tabs>
        <w:ind w:firstLine="2835"/>
        <w:jc w:val="both"/>
        <w:rPr>
          <w:rFonts w:eastAsia="Times New Roman" w:cs="Arial"/>
          <w:szCs w:val="24"/>
          <w:lang w:val="es-ES" w:eastAsia="es-ES"/>
        </w:rPr>
      </w:pPr>
    </w:p>
    <w:p w14:paraId="7759EEBA" w14:textId="77777777" w:rsidR="00175443" w:rsidRDefault="00175443" w:rsidP="00175443">
      <w:pPr>
        <w:shd w:val="clear" w:color="auto" w:fill="FFFFFF"/>
        <w:tabs>
          <w:tab w:val="left" w:pos="2835"/>
        </w:tabs>
        <w:ind w:firstLine="2835"/>
        <w:jc w:val="both"/>
        <w:rPr>
          <w:rFonts w:eastAsia="Times New Roman" w:cs="Arial"/>
          <w:szCs w:val="24"/>
          <w:lang w:eastAsia="es-ES"/>
        </w:rPr>
      </w:pPr>
      <w:r w:rsidRPr="00C1330B">
        <w:rPr>
          <w:rFonts w:eastAsia="Times New Roman" w:cs="Arial"/>
          <w:szCs w:val="24"/>
          <w:lang w:val="es-ES" w:eastAsia="es-ES"/>
        </w:rPr>
        <w:t xml:space="preserve">Artículo décimo </w:t>
      </w:r>
      <w:proofErr w:type="gramStart"/>
      <w:r w:rsidRPr="00C1330B">
        <w:rPr>
          <w:rFonts w:eastAsia="Times New Roman" w:cs="Arial"/>
          <w:szCs w:val="24"/>
          <w:lang w:val="es-ES" w:eastAsia="es-ES"/>
        </w:rPr>
        <w:t>primero.-</w:t>
      </w:r>
      <w:proofErr w:type="gramEnd"/>
      <w:r w:rsidRPr="00C1330B">
        <w:rPr>
          <w:rFonts w:eastAsia="Times New Roman" w:cs="Arial"/>
          <w:szCs w:val="24"/>
          <w:lang w:val="es-ES" w:eastAsia="es-ES"/>
        </w:rPr>
        <w:t xml:space="preserve"> El mayor gasto fiscal que irrogue la aplicación de esta ley durante su primer año presupuestario de vigencia se financiará con cargo al presupuesto del Ministerio de Energía, y en lo que faltare, el Ministerio de Hacienda podrá suplementarlo con cargo a los recursos de la partida del Tesoro Público de la Ley de Presupuestos del Sector Público. En los años siguientes se estará a lo previsto en la Ley de Presupuestos.</w:t>
      </w:r>
    </w:p>
    <w:p w14:paraId="50285998" w14:textId="77777777" w:rsidR="00175443" w:rsidRDefault="00175443" w:rsidP="00175443">
      <w:pPr>
        <w:tabs>
          <w:tab w:val="center" w:pos="4252"/>
          <w:tab w:val="right" w:pos="8504"/>
        </w:tabs>
        <w:jc w:val="both"/>
        <w:rPr>
          <w:rFonts w:eastAsia="Times New Roman" w:cs="Arial"/>
          <w:szCs w:val="24"/>
          <w:lang w:eastAsia="es-ES"/>
        </w:rPr>
      </w:pPr>
    </w:p>
    <w:p w14:paraId="3701F828" w14:textId="77777777" w:rsidR="00175443" w:rsidRPr="00363204" w:rsidRDefault="00175443" w:rsidP="00175443">
      <w:pPr>
        <w:shd w:val="clear" w:color="auto" w:fill="FFFFFF"/>
        <w:jc w:val="both"/>
        <w:rPr>
          <w:rFonts w:cs="Arial"/>
          <w:b/>
          <w:bCs/>
          <w:szCs w:val="24"/>
          <w:lang w:val="es-ES_tradnl"/>
        </w:rPr>
      </w:pPr>
      <w:r w:rsidRPr="00363204">
        <w:rPr>
          <w:rFonts w:cs="Arial"/>
          <w:b/>
          <w:bCs/>
          <w:szCs w:val="24"/>
          <w:lang w:val="es-ES_tradnl"/>
        </w:rPr>
        <w:tab/>
        <w:t xml:space="preserve">Artículo </w:t>
      </w:r>
      <w:r w:rsidRPr="00363204">
        <w:rPr>
          <w:rFonts w:eastAsia="Times New Roman" w:cs="Times New Roman"/>
          <w:b/>
          <w:bCs/>
          <w:szCs w:val="20"/>
          <w:lang w:val="es-ES_tradnl" w:eastAsia="es-ES"/>
        </w:rPr>
        <w:t>décimo segundo</w:t>
      </w:r>
      <w:r w:rsidRPr="00363204">
        <w:rPr>
          <w:rFonts w:cs="Arial"/>
          <w:b/>
          <w:bCs/>
          <w:szCs w:val="24"/>
          <w:lang w:val="es-ES_tradnl"/>
        </w:rPr>
        <w:t>.- Dentro de los doce meses siguientes a la publicación de la presente ley en el Diario Oficial, la Comisión Nacional de Energía deberá emitir una resolución exenta en la que se establezca el alcance de la exigencia de contar con giro exclusivo que recae sobre las concesionar</w:t>
      </w:r>
      <w:r>
        <w:rPr>
          <w:rFonts w:cs="Arial"/>
          <w:b/>
          <w:bCs/>
          <w:szCs w:val="24"/>
          <w:lang w:val="es-ES_tradnl"/>
        </w:rPr>
        <w:t>i</w:t>
      </w:r>
      <w:r w:rsidRPr="00363204">
        <w:rPr>
          <w:rFonts w:cs="Arial"/>
          <w:b/>
          <w:bCs/>
          <w:szCs w:val="24"/>
          <w:lang w:val="es-ES_tradnl"/>
        </w:rPr>
        <w:t xml:space="preserve">as de servicio público de distribución, así como también respecto a la contabilidad separada para cooperativas, en cumplimiento de lo establecido en el artículo 8 ter del decreto con fuerza de ley </w:t>
      </w:r>
      <w:proofErr w:type="spellStart"/>
      <w:r w:rsidRPr="00363204">
        <w:rPr>
          <w:rFonts w:cs="Arial"/>
          <w:b/>
          <w:bCs/>
          <w:szCs w:val="24"/>
          <w:lang w:val="es-ES_tradnl"/>
        </w:rPr>
        <w:t>N°</w:t>
      </w:r>
      <w:proofErr w:type="spellEnd"/>
      <w:r w:rsidRPr="00363204">
        <w:rPr>
          <w:rFonts w:cs="Arial"/>
          <w:b/>
          <w:bCs/>
          <w:szCs w:val="24"/>
          <w:lang w:val="es-ES_tradnl"/>
        </w:rPr>
        <w:t xml:space="preserve"> 4/20018, de 2006, del Ministerio de Economía, Fomento y Reconstrucción, que fija texto refundido, coordinado y sistematizado de la Ley General de Servicios Eléctricos.</w:t>
      </w:r>
    </w:p>
    <w:p w14:paraId="6199EB80" w14:textId="77777777" w:rsidR="00175443" w:rsidRPr="00363204" w:rsidRDefault="00175443" w:rsidP="00175443">
      <w:pPr>
        <w:shd w:val="clear" w:color="auto" w:fill="FFFFFF"/>
        <w:jc w:val="both"/>
        <w:rPr>
          <w:rFonts w:cs="Arial"/>
          <w:b/>
          <w:bCs/>
          <w:szCs w:val="24"/>
          <w:lang w:val="es-ES_tradnl"/>
        </w:rPr>
      </w:pPr>
    </w:p>
    <w:p w14:paraId="68EC6696" w14:textId="77777777" w:rsidR="00175443" w:rsidRPr="00363204" w:rsidRDefault="00175443" w:rsidP="00175443">
      <w:pPr>
        <w:shd w:val="clear" w:color="auto" w:fill="FFFFFF"/>
        <w:jc w:val="both"/>
        <w:rPr>
          <w:rFonts w:cs="Arial"/>
          <w:b/>
          <w:bCs/>
          <w:szCs w:val="24"/>
          <w:lang w:val="es-ES_tradnl"/>
        </w:rPr>
      </w:pPr>
      <w:r w:rsidRPr="00363204">
        <w:rPr>
          <w:rFonts w:cs="Arial"/>
          <w:b/>
          <w:bCs/>
          <w:szCs w:val="24"/>
          <w:lang w:val="es-ES_tradnl"/>
        </w:rPr>
        <w:tab/>
        <w:t>Artículo</w:t>
      </w:r>
      <w:r w:rsidRPr="00363204">
        <w:rPr>
          <w:rFonts w:eastAsia="Times New Roman" w:cs="Times New Roman"/>
          <w:b/>
          <w:bCs/>
          <w:szCs w:val="20"/>
          <w:lang w:val="es-ES_tradnl" w:eastAsia="es-ES"/>
        </w:rPr>
        <w:t xml:space="preserve"> décim</w:t>
      </w:r>
      <w:r>
        <w:rPr>
          <w:rFonts w:eastAsia="Times New Roman" w:cs="Times New Roman"/>
          <w:b/>
          <w:bCs/>
          <w:szCs w:val="20"/>
          <w:lang w:val="es-ES_tradnl" w:eastAsia="es-ES"/>
        </w:rPr>
        <w:t xml:space="preserve">o </w:t>
      </w:r>
      <w:proofErr w:type="gramStart"/>
      <w:r w:rsidRPr="00363204">
        <w:rPr>
          <w:rFonts w:eastAsia="Times New Roman" w:cs="Times New Roman"/>
          <w:b/>
          <w:bCs/>
          <w:szCs w:val="20"/>
          <w:lang w:val="es-ES_tradnl" w:eastAsia="es-ES"/>
        </w:rPr>
        <w:t>tercero</w:t>
      </w:r>
      <w:r w:rsidRPr="00363204">
        <w:rPr>
          <w:rFonts w:cs="Arial"/>
          <w:b/>
          <w:bCs/>
          <w:szCs w:val="24"/>
          <w:lang w:val="es-ES_tradnl"/>
        </w:rPr>
        <w:t>.-</w:t>
      </w:r>
      <w:proofErr w:type="gramEnd"/>
      <w:r w:rsidRPr="00363204">
        <w:rPr>
          <w:rFonts w:cs="Arial"/>
          <w:b/>
          <w:bCs/>
          <w:szCs w:val="24"/>
          <w:lang w:val="es-ES_tradnl"/>
        </w:rPr>
        <w:t xml:space="preserve"> Los niveles de precios asociados al valor agregado por concepto de costos de distribución que estén siendo aplicados o las tarifas inferiores a las tarifas máximas que se estén facturando, ambas a la fecha de publicación de la presente ley, permanecerán constantes en pesos hasta el término de su vigencia.</w:t>
      </w:r>
    </w:p>
    <w:p w14:paraId="50288792" w14:textId="77777777" w:rsidR="00175443" w:rsidRPr="00363204" w:rsidRDefault="00175443" w:rsidP="00175443">
      <w:pPr>
        <w:shd w:val="clear" w:color="auto" w:fill="FFFFFF"/>
        <w:jc w:val="both"/>
        <w:rPr>
          <w:rFonts w:cs="Arial"/>
          <w:b/>
          <w:bCs/>
          <w:szCs w:val="24"/>
          <w:lang w:val="es-ES_tradnl"/>
        </w:rPr>
      </w:pPr>
    </w:p>
    <w:p w14:paraId="3DE5C847" w14:textId="77777777" w:rsidR="00175443" w:rsidRPr="00363204" w:rsidRDefault="00175443" w:rsidP="00175443">
      <w:pPr>
        <w:shd w:val="clear" w:color="auto" w:fill="FFFFFF"/>
        <w:jc w:val="both"/>
        <w:rPr>
          <w:rFonts w:cs="Arial"/>
          <w:b/>
          <w:bCs/>
          <w:szCs w:val="24"/>
          <w:lang w:val="es-ES_tradnl"/>
        </w:rPr>
      </w:pPr>
      <w:r w:rsidRPr="00363204">
        <w:rPr>
          <w:rFonts w:cs="Arial"/>
          <w:b/>
          <w:bCs/>
          <w:szCs w:val="24"/>
          <w:lang w:val="es-ES_tradnl"/>
        </w:rPr>
        <w:tab/>
        <w:t xml:space="preserve">Los saldos que resulten de la aplicación de lo anterior deberán ser actualizados únicamente por el Índice de Precios al Consumidor e incorporados a las tarifas resultantes de los siguientes procesos de tarificación de los suministros a clientes regulados realizados por las empresas concesionarias de servicio público de distribución. Lo anterior, sujeto a que la cuenta promedio nacional a cliente residencial, calculada sobre la base de un consumo tipo, no experimente un alza. Con todo, la totalidad de los saldos generados deberán incorporarse, como máximo, dentro de los dos períodos tarifarios asociados a los suministros a clientes regulados realizados por las empresas concesionarias del servicio público de distribución </w:t>
      </w:r>
      <w:r w:rsidRPr="00363204">
        <w:rPr>
          <w:rFonts w:cs="Arial"/>
          <w:b/>
          <w:bCs/>
          <w:szCs w:val="24"/>
          <w:lang w:val="es-ES_tradnl"/>
        </w:rPr>
        <w:lastRenderedPageBreak/>
        <w:t>cuatrienales siguientes. Las disposiciones necesarias para la aplicación de este artículo deberán ser establecidas mediante resolución exenta de la Comisión Nacional de Energía.</w:t>
      </w:r>
    </w:p>
    <w:p w14:paraId="33411646" w14:textId="77777777" w:rsidR="00175443" w:rsidRPr="00363204" w:rsidRDefault="00175443" w:rsidP="00175443">
      <w:pPr>
        <w:shd w:val="clear" w:color="auto" w:fill="FFFFFF"/>
        <w:jc w:val="both"/>
        <w:rPr>
          <w:rFonts w:cs="Arial"/>
          <w:b/>
          <w:bCs/>
          <w:szCs w:val="24"/>
          <w:lang w:val="es-ES_tradnl"/>
        </w:rPr>
      </w:pPr>
    </w:p>
    <w:p w14:paraId="63004409" w14:textId="77777777" w:rsidR="00175443" w:rsidRPr="00363204" w:rsidRDefault="00175443" w:rsidP="00175443">
      <w:pPr>
        <w:shd w:val="clear" w:color="auto" w:fill="FFFFFF"/>
        <w:jc w:val="both"/>
        <w:rPr>
          <w:rFonts w:cs="Arial"/>
          <w:b/>
          <w:bCs/>
          <w:szCs w:val="24"/>
          <w:lang w:val="es-ES_tradnl"/>
        </w:rPr>
      </w:pPr>
      <w:r w:rsidRPr="00363204">
        <w:rPr>
          <w:rFonts w:cs="Arial"/>
          <w:b/>
          <w:bCs/>
          <w:szCs w:val="24"/>
          <w:lang w:val="es-ES_tradnl"/>
        </w:rPr>
        <w:tab/>
        <w:t xml:space="preserve">Por su parte, para el caso de los sistemas medianos la componente de energía y potencia será estabilizada a su valor vigente al 31 de octubre de 2019, de acuerdo al procedimiento de implementación del mecanismo de estabilización de precios establecido en la ley </w:t>
      </w:r>
      <w:proofErr w:type="spellStart"/>
      <w:r>
        <w:rPr>
          <w:rFonts w:cs="Arial"/>
          <w:b/>
          <w:bCs/>
          <w:szCs w:val="24"/>
          <w:lang w:val="es-ES_tradnl"/>
        </w:rPr>
        <w:t>N°</w:t>
      </w:r>
      <w:proofErr w:type="spellEnd"/>
      <w:r>
        <w:rPr>
          <w:rFonts w:cs="Arial"/>
          <w:b/>
          <w:bCs/>
          <w:szCs w:val="24"/>
          <w:lang w:val="es-ES_tradnl"/>
        </w:rPr>
        <w:t xml:space="preserve"> </w:t>
      </w:r>
      <w:r w:rsidRPr="00363204">
        <w:rPr>
          <w:rFonts w:cs="Arial"/>
          <w:b/>
          <w:bCs/>
          <w:szCs w:val="24"/>
          <w:lang w:val="es-ES_tradnl"/>
        </w:rPr>
        <w:t>21.185 y la resolución exenta que la Comisión Nacional de Energía dictará para tal efecto.</w:t>
      </w:r>
    </w:p>
    <w:p w14:paraId="1C3EE77C" w14:textId="77777777" w:rsidR="00175443" w:rsidRDefault="00175443" w:rsidP="00175443">
      <w:pPr>
        <w:shd w:val="clear" w:color="auto" w:fill="FFFFFF"/>
        <w:jc w:val="both"/>
        <w:rPr>
          <w:rFonts w:cs="Arial"/>
          <w:szCs w:val="24"/>
          <w:lang w:val="es-ES_tradnl"/>
        </w:rPr>
      </w:pPr>
    </w:p>
    <w:p w14:paraId="281FA931" w14:textId="34434E33" w:rsidR="009D4F3F" w:rsidRPr="009D4F3F" w:rsidRDefault="00175443" w:rsidP="00175443">
      <w:pPr>
        <w:tabs>
          <w:tab w:val="left" w:pos="547"/>
          <w:tab w:val="left" w:pos="2835"/>
        </w:tabs>
        <w:ind w:firstLine="2835"/>
        <w:jc w:val="both"/>
        <w:rPr>
          <w:rFonts w:cs="Arial"/>
          <w:szCs w:val="24"/>
          <w:lang w:val="es-MX"/>
        </w:rPr>
      </w:pPr>
      <w:r w:rsidRPr="009069F5">
        <w:rPr>
          <w:rFonts w:eastAsia="Times New Roman" w:cs="Arial"/>
          <w:b/>
          <w:bCs/>
          <w:szCs w:val="24"/>
          <w:lang w:val="es-ES" w:eastAsia="es-ES"/>
        </w:rPr>
        <w:t>Artículo décimo</w:t>
      </w:r>
      <w:r>
        <w:rPr>
          <w:rFonts w:eastAsia="Times New Roman" w:cs="Arial"/>
          <w:b/>
          <w:bCs/>
          <w:szCs w:val="24"/>
          <w:lang w:val="es-ES" w:eastAsia="es-ES"/>
        </w:rPr>
        <w:t xml:space="preserve"> </w:t>
      </w:r>
      <w:proofErr w:type="gramStart"/>
      <w:r w:rsidRPr="009069F5">
        <w:rPr>
          <w:rFonts w:eastAsia="Times New Roman" w:cs="Arial"/>
          <w:b/>
          <w:bCs/>
          <w:szCs w:val="24"/>
          <w:lang w:val="es-ES" w:eastAsia="es-ES"/>
        </w:rPr>
        <w:t>cuarto.-</w:t>
      </w:r>
      <w:proofErr w:type="gramEnd"/>
      <w:r w:rsidRPr="009069F5">
        <w:rPr>
          <w:rFonts w:eastAsia="Times New Roman" w:cs="Arial"/>
          <w:b/>
          <w:bCs/>
          <w:szCs w:val="24"/>
          <w:lang w:val="es-ES" w:eastAsia="es-ES"/>
        </w:rPr>
        <w:t xml:space="preserve"> La Comisión Nacional de Energía informará anualmente a las Comisiones de Minería y Energía del Senado y de la Cámara de Diputados, a contar del primer año de aplicación del periodo tarifario que considere las modificaciones introducidas por la presente ley, respecto al total de recursos que las empresas distribuidoras dejaron de percibir por concepto de rentabilidad, con respecto a la tasa actual de 10% antes de impuestos.</w:t>
      </w:r>
      <w:r w:rsidRPr="00716D56">
        <w:rPr>
          <w:rFonts w:cs="Arial"/>
          <w:szCs w:val="24"/>
        </w:rPr>
        <w:t>”.</w:t>
      </w:r>
    </w:p>
    <w:p w14:paraId="61AA7FC9" w14:textId="77777777" w:rsidR="009D4F3F" w:rsidRPr="009D4F3F" w:rsidRDefault="009D4F3F" w:rsidP="009D4F3F">
      <w:pPr>
        <w:jc w:val="both"/>
        <w:rPr>
          <w:rFonts w:eastAsia="Arial Unicode MS" w:cs="Arial"/>
          <w:szCs w:val="24"/>
          <w:lang w:val="es-ES" w:eastAsia="es-ES"/>
        </w:rPr>
      </w:pPr>
    </w:p>
    <w:p w14:paraId="64F52AB1" w14:textId="77777777" w:rsidR="009D4F3F" w:rsidRPr="009D4F3F" w:rsidRDefault="009D4F3F" w:rsidP="009D4F3F">
      <w:pPr>
        <w:jc w:val="both"/>
        <w:rPr>
          <w:rFonts w:eastAsia="Arial Unicode MS" w:cs="Arial"/>
          <w:szCs w:val="24"/>
          <w:lang w:val="es-ES" w:eastAsia="es-ES"/>
        </w:rPr>
      </w:pPr>
    </w:p>
    <w:p w14:paraId="2C73BEFD" w14:textId="77777777" w:rsidR="009D4F3F" w:rsidRPr="009D4F3F" w:rsidRDefault="009D4F3F" w:rsidP="009D4F3F">
      <w:pPr>
        <w:jc w:val="center"/>
        <w:rPr>
          <w:rFonts w:eastAsia="Arial Unicode MS" w:cs="Arial"/>
          <w:b/>
          <w:szCs w:val="24"/>
          <w:lang w:val="es-ES" w:eastAsia="es-ES"/>
        </w:rPr>
      </w:pPr>
      <w:r w:rsidRPr="009D4F3F">
        <w:rPr>
          <w:rFonts w:eastAsia="Arial Unicode MS" w:cs="Arial"/>
          <w:b/>
          <w:szCs w:val="24"/>
          <w:lang w:val="es-ES" w:eastAsia="es-ES"/>
        </w:rPr>
        <w:t>- - -</w:t>
      </w:r>
    </w:p>
    <w:p w14:paraId="085675FF" w14:textId="77777777" w:rsidR="00175443" w:rsidRDefault="009D4F3F" w:rsidP="00175443">
      <w:pPr>
        <w:rPr>
          <w:rFonts w:eastAsia="Times New Roman" w:cs="Times New Roman"/>
          <w:szCs w:val="24"/>
          <w:lang w:val="es-ES_tradnl" w:eastAsia="es-ES"/>
        </w:rPr>
      </w:pPr>
      <w:r w:rsidRPr="009D4F3F">
        <w:rPr>
          <w:rFonts w:eastAsia="Times New Roman" w:cs="Times New Roman"/>
          <w:szCs w:val="24"/>
          <w:lang w:val="es-ES_tradnl" w:eastAsia="es-ES"/>
        </w:rPr>
        <w:tab/>
      </w:r>
    </w:p>
    <w:p w14:paraId="548C2484" w14:textId="3E59DB5A" w:rsidR="009D4F3F" w:rsidRPr="009D4F3F" w:rsidRDefault="009D4F3F" w:rsidP="00175443">
      <w:pPr>
        <w:jc w:val="right"/>
        <w:rPr>
          <w:rFonts w:eastAsia="Times New Roman" w:cs="Times New Roman"/>
          <w:szCs w:val="24"/>
          <w:lang w:val="es-ES_tradnl" w:eastAsia="es-ES"/>
        </w:rPr>
      </w:pPr>
      <w:r w:rsidRPr="009D4F3F">
        <w:rPr>
          <w:rFonts w:eastAsia="Times New Roman" w:cs="Times New Roman"/>
          <w:szCs w:val="24"/>
          <w:lang w:val="es-ES_tradnl" w:eastAsia="es-ES"/>
        </w:rPr>
        <w:t xml:space="preserve">Sala de la Comisión, a </w:t>
      </w:r>
      <w:r w:rsidR="00175443">
        <w:rPr>
          <w:rFonts w:eastAsia="Times New Roman" w:cs="Times New Roman"/>
          <w:szCs w:val="24"/>
          <w:lang w:val="es-ES_tradnl" w:eastAsia="es-ES"/>
        </w:rPr>
        <w:t>3</w:t>
      </w:r>
      <w:r w:rsidRPr="009D4F3F">
        <w:rPr>
          <w:rFonts w:eastAsia="Times New Roman" w:cs="Times New Roman"/>
          <w:szCs w:val="24"/>
          <w:lang w:val="es-ES_tradnl" w:eastAsia="es-ES"/>
        </w:rPr>
        <w:t xml:space="preserve"> de diciembre de 201</w:t>
      </w:r>
      <w:r w:rsidR="00175443">
        <w:rPr>
          <w:rFonts w:eastAsia="Times New Roman" w:cs="Times New Roman"/>
          <w:szCs w:val="24"/>
          <w:lang w:val="es-ES_tradnl" w:eastAsia="es-ES"/>
        </w:rPr>
        <w:t>9</w:t>
      </w:r>
      <w:r w:rsidRPr="009D4F3F">
        <w:rPr>
          <w:rFonts w:eastAsia="Times New Roman" w:cs="Times New Roman"/>
          <w:szCs w:val="24"/>
          <w:lang w:val="es-ES_tradnl" w:eastAsia="es-ES"/>
        </w:rPr>
        <w:t>.</w:t>
      </w:r>
    </w:p>
    <w:p w14:paraId="1F61CEE5" w14:textId="77777777" w:rsidR="009D4F3F" w:rsidRPr="009D4F3F" w:rsidRDefault="009D4F3F" w:rsidP="009D4F3F">
      <w:pPr>
        <w:tabs>
          <w:tab w:val="left" w:pos="2835"/>
        </w:tabs>
        <w:jc w:val="both"/>
        <w:rPr>
          <w:rFonts w:eastAsia="Times New Roman" w:cs="Times New Roman"/>
          <w:szCs w:val="24"/>
          <w:lang w:val="es-ES_tradnl" w:eastAsia="es-ES"/>
        </w:rPr>
      </w:pPr>
    </w:p>
    <w:p w14:paraId="064AF319" w14:textId="77777777" w:rsidR="009D4F3F" w:rsidRPr="009D4F3F" w:rsidRDefault="009D4F3F" w:rsidP="009D4F3F">
      <w:pPr>
        <w:tabs>
          <w:tab w:val="left" w:pos="2835"/>
        </w:tabs>
        <w:jc w:val="both"/>
        <w:rPr>
          <w:rFonts w:eastAsia="Times New Roman" w:cs="Times New Roman"/>
          <w:szCs w:val="24"/>
          <w:lang w:val="es-ES_tradnl" w:eastAsia="es-ES"/>
        </w:rPr>
      </w:pPr>
    </w:p>
    <w:p w14:paraId="045CB9A3" w14:textId="77777777" w:rsidR="009D4F3F" w:rsidRPr="009D4F3F" w:rsidRDefault="009D4F3F" w:rsidP="009D4F3F">
      <w:pPr>
        <w:tabs>
          <w:tab w:val="left" w:pos="2835"/>
        </w:tabs>
        <w:jc w:val="both"/>
        <w:rPr>
          <w:rFonts w:eastAsia="Times New Roman" w:cs="Times New Roman"/>
          <w:szCs w:val="24"/>
          <w:lang w:val="es-ES_tradnl" w:eastAsia="es-ES"/>
        </w:rPr>
      </w:pPr>
    </w:p>
    <w:p w14:paraId="6127DCD8" w14:textId="77777777" w:rsidR="009D4F3F" w:rsidRPr="009D4F3F" w:rsidRDefault="009D4F3F" w:rsidP="009D4F3F">
      <w:pPr>
        <w:tabs>
          <w:tab w:val="left" w:pos="2835"/>
        </w:tabs>
        <w:jc w:val="both"/>
        <w:rPr>
          <w:rFonts w:eastAsia="Times New Roman" w:cs="Times New Roman"/>
          <w:szCs w:val="24"/>
          <w:lang w:val="es-ES_tradnl" w:eastAsia="es-ES"/>
        </w:rPr>
      </w:pPr>
    </w:p>
    <w:p w14:paraId="51502F52" w14:textId="77777777" w:rsidR="009D4F3F" w:rsidRPr="009D4F3F" w:rsidRDefault="009D4F3F" w:rsidP="009D4F3F">
      <w:pPr>
        <w:tabs>
          <w:tab w:val="left" w:pos="2835"/>
        </w:tabs>
        <w:jc w:val="both"/>
        <w:rPr>
          <w:rFonts w:eastAsia="Times New Roman" w:cs="Times New Roman"/>
          <w:szCs w:val="24"/>
          <w:lang w:val="es-ES_tradnl" w:eastAsia="es-ES"/>
        </w:rPr>
      </w:pPr>
    </w:p>
    <w:p w14:paraId="0C34495D" w14:textId="77777777" w:rsidR="009D4F3F" w:rsidRPr="009D4F3F" w:rsidRDefault="009D4F3F" w:rsidP="009D4F3F">
      <w:pPr>
        <w:tabs>
          <w:tab w:val="left" w:pos="2835"/>
        </w:tabs>
        <w:jc w:val="both"/>
        <w:rPr>
          <w:rFonts w:eastAsia="Times New Roman" w:cs="Times New Roman"/>
          <w:szCs w:val="24"/>
          <w:lang w:val="es-ES_tradnl" w:eastAsia="es-ES"/>
        </w:rPr>
      </w:pPr>
    </w:p>
    <w:p w14:paraId="4CEF2FD4" w14:textId="77777777" w:rsidR="009D4F3F" w:rsidRPr="009D4F3F" w:rsidRDefault="009D4F3F" w:rsidP="009D4F3F">
      <w:pPr>
        <w:tabs>
          <w:tab w:val="left" w:pos="2835"/>
        </w:tabs>
        <w:jc w:val="both"/>
        <w:rPr>
          <w:rFonts w:eastAsia="Times New Roman" w:cs="Times New Roman"/>
          <w:szCs w:val="24"/>
          <w:lang w:val="es-ES_tradnl" w:eastAsia="es-ES"/>
        </w:rPr>
      </w:pPr>
    </w:p>
    <w:p w14:paraId="0F0AB6F4" w14:textId="77777777" w:rsidR="009D4F3F" w:rsidRPr="009D4F3F" w:rsidRDefault="009D4F3F" w:rsidP="009D4F3F">
      <w:pPr>
        <w:tabs>
          <w:tab w:val="left" w:pos="2835"/>
        </w:tabs>
        <w:jc w:val="both"/>
        <w:rPr>
          <w:rFonts w:eastAsia="Times New Roman" w:cs="Times New Roman"/>
          <w:szCs w:val="24"/>
          <w:lang w:val="es-ES_tradnl" w:eastAsia="es-ES"/>
        </w:rPr>
      </w:pPr>
    </w:p>
    <w:p w14:paraId="29196770" w14:textId="77777777" w:rsidR="009D4F3F" w:rsidRPr="009D4F3F" w:rsidRDefault="009D4F3F" w:rsidP="009D4F3F">
      <w:pPr>
        <w:tabs>
          <w:tab w:val="left" w:pos="2835"/>
        </w:tabs>
        <w:jc w:val="both"/>
        <w:rPr>
          <w:rFonts w:eastAsia="Times New Roman" w:cs="Times New Roman"/>
          <w:szCs w:val="24"/>
          <w:lang w:val="es-ES_tradnl" w:eastAsia="es-ES"/>
        </w:rPr>
      </w:pPr>
    </w:p>
    <w:p w14:paraId="4EA20163" w14:textId="77777777" w:rsidR="009D4F3F" w:rsidRPr="009D4F3F" w:rsidRDefault="009D4F3F" w:rsidP="009D4F3F">
      <w:pPr>
        <w:tabs>
          <w:tab w:val="left" w:pos="2835"/>
        </w:tabs>
        <w:jc w:val="both"/>
        <w:rPr>
          <w:rFonts w:eastAsia="Times New Roman" w:cs="Times New Roman"/>
          <w:szCs w:val="24"/>
          <w:lang w:val="es-ES_tradnl" w:eastAsia="es-ES"/>
        </w:rPr>
      </w:pPr>
    </w:p>
    <w:p w14:paraId="381C1AAB" w14:textId="77777777" w:rsidR="009D4F3F" w:rsidRPr="009D4F3F" w:rsidRDefault="009D4F3F" w:rsidP="009D4F3F">
      <w:pPr>
        <w:tabs>
          <w:tab w:val="left" w:pos="2835"/>
        </w:tabs>
        <w:jc w:val="both"/>
        <w:rPr>
          <w:rFonts w:eastAsia="Times New Roman" w:cs="Times New Roman"/>
          <w:szCs w:val="24"/>
          <w:lang w:val="es-ES_tradnl" w:eastAsia="es-ES"/>
        </w:rPr>
      </w:pPr>
    </w:p>
    <w:p w14:paraId="2937D496" w14:textId="77777777" w:rsidR="009D4F3F" w:rsidRPr="009D4F3F" w:rsidRDefault="009D4F3F" w:rsidP="009D4F3F">
      <w:pPr>
        <w:tabs>
          <w:tab w:val="left" w:pos="2835"/>
        </w:tabs>
        <w:jc w:val="both"/>
        <w:rPr>
          <w:rFonts w:eastAsia="Times New Roman" w:cs="Times New Roman"/>
          <w:szCs w:val="24"/>
          <w:lang w:val="es-ES_tradnl" w:eastAsia="es-ES"/>
        </w:rPr>
      </w:pPr>
    </w:p>
    <w:p w14:paraId="5DE33663" w14:textId="77777777" w:rsidR="009D4F3F" w:rsidRPr="009D4F3F" w:rsidRDefault="009D4F3F" w:rsidP="009D4F3F">
      <w:pPr>
        <w:tabs>
          <w:tab w:val="left" w:pos="2835"/>
        </w:tabs>
        <w:jc w:val="both"/>
        <w:rPr>
          <w:rFonts w:eastAsia="Times New Roman" w:cs="Times New Roman"/>
          <w:szCs w:val="24"/>
          <w:lang w:val="es-ES_tradnl" w:eastAsia="es-ES"/>
        </w:rPr>
      </w:pPr>
    </w:p>
    <w:p w14:paraId="70AA6122" w14:textId="77777777" w:rsidR="009D4F3F" w:rsidRPr="009D4F3F" w:rsidRDefault="009D4F3F" w:rsidP="009D4F3F">
      <w:pPr>
        <w:tabs>
          <w:tab w:val="left" w:pos="2835"/>
        </w:tabs>
        <w:jc w:val="both"/>
        <w:rPr>
          <w:rFonts w:eastAsia="Times New Roman" w:cs="Times New Roman"/>
          <w:szCs w:val="24"/>
          <w:lang w:val="es-ES_tradnl" w:eastAsia="es-ES"/>
        </w:rPr>
      </w:pPr>
    </w:p>
    <w:p w14:paraId="535D4824" w14:textId="77777777" w:rsidR="009D4F3F" w:rsidRPr="009D4F3F" w:rsidRDefault="009D4F3F" w:rsidP="009D4F3F">
      <w:pPr>
        <w:tabs>
          <w:tab w:val="left" w:pos="2835"/>
        </w:tabs>
        <w:jc w:val="both"/>
        <w:rPr>
          <w:rFonts w:eastAsia="Times New Roman" w:cs="Times New Roman"/>
          <w:szCs w:val="24"/>
          <w:lang w:val="es-ES_tradnl" w:eastAsia="es-ES"/>
        </w:rPr>
      </w:pPr>
    </w:p>
    <w:p w14:paraId="3CA57168" w14:textId="77777777" w:rsidR="009D4F3F" w:rsidRPr="009D4F3F" w:rsidRDefault="009D4F3F" w:rsidP="009D4F3F">
      <w:pPr>
        <w:tabs>
          <w:tab w:val="left" w:pos="2835"/>
        </w:tabs>
        <w:jc w:val="both"/>
        <w:rPr>
          <w:rFonts w:eastAsia="Times New Roman" w:cs="Times New Roman"/>
          <w:szCs w:val="24"/>
          <w:lang w:val="es-ES_tradnl" w:eastAsia="es-ES"/>
        </w:rPr>
      </w:pPr>
    </w:p>
    <w:p w14:paraId="31FC84F0" w14:textId="77777777" w:rsidR="009D4F3F" w:rsidRPr="009D4F3F" w:rsidRDefault="009D4F3F" w:rsidP="009D4F3F">
      <w:pPr>
        <w:tabs>
          <w:tab w:val="left" w:pos="2835"/>
        </w:tabs>
        <w:jc w:val="both"/>
        <w:rPr>
          <w:rFonts w:eastAsia="Times New Roman" w:cs="Times New Roman"/>
          <w:szCs w:val="24"/>
          <w:lang w:val="es-ES_tradnl" w:eastAsia="es-ES"/>
        </w:rPr>
      </w:pPr>
    </w:p>
    <w:p w14:paraId="3F84C314" w14:textId="77777777" w:rsidR="009D4F3F" w:rsidRPr="009D4F3F" w:rsidRDefault="009D4F3F" w:rsidP="009D4F3F">
      <w:pPr>
        <w:tabs>
          <w:tab w:val="left" w:pos="2835"/>
        </w:tabs>
        <w:jc w:val="both"/>
        <w:rPr>
          <w:rFonts w:eastAsia="Times New Roman" w:cs="Times New Roman"/>
          <w:szCs w:val="24"/>
          <w:lang w:val="es-ES_tradnl" w:eastAsia="es-ES"/>
        </w:rPr>
      </w:pPr>
    </w:p>
    <w:p w14:paraId="633CB293" w14:textId="77777777" w:rsidR="009D4F3F" w:rsidRPr="009D4F3F" w:rsidRDefault="009D4F3F" w:rsidP="009D4F3F">
      <w:pPr>
        <w:tabs>
          <w:tab w:val="left" w:pos="2835"/>
        </w:tabs>
        <w:jc w:val="both"/>
        <w:rPr>
          <w:rFonts w:eastAsia="Times New Roman" w:cs="Times New Roman"/>
          <w:szCs w:val="24"/>
          <w:lang w:val="es-ES_tradnl" w:eastAsia="es-ES"/>
        </w:rPr>
      </w:pPr>
    </w:p>
    <w:p w14:paraId="2A9BA937" w14:textId="77777777" w:rsidR="009D4F3F" w:rsidRPr="009D4F3F" w:rsidRDefault="009D4F3F" w:rsidP="009D4F3F">
      <w:pPr>
        <w:tabs>
          <w:tab w:val="left" w:pos="2835"/>
        </w:tabs>
        <w:jc w:val="both"/>
        <w:rPr>
          <w:rFonts w:eastAsia="Times New Roman" w:cs="Times New Roman"/>
          <w:szCs w:val="24"/>
          <w:lang w:val="es-ES_tradnl" w:eastAsia="es-ES"/>
        </w:rPr>
      </w:pPr>
    </w:p>
    <w:p w14:paraId="57A62D4F" w14:textId="77777777" w:rsidR="00175443" w:rsidRPr="00716D56" w:rsidRDefault="00175443" w:rsidP="00175443">
      <w:pPr>
        <w:jc w:val="center"/>
        <w:rPr>
          <w:rFonts w:cs="Arial"/>
          <w:szCs w:val="24"/>
        </w:rPr>
      </w:pPr>
      <w:bookmarkStart w:id="5" w:name="_Hlk26176568"/>
      <w:r>
        <w:rPr>
          <w:rFonts w:cs="Arial"/>
          <w:szCs w:val="24"/>
        </w:rPr>
        <w:t>Soledad Aravena Cifuentes</w:t>
      </w:r>
    </w:p>
    <w:p w14:paraId="1D251142" w14:textId="77777777" w:rsidR="00175443" w:rsidRPr="00716D56" w:rsidRDefault="00175443" w:rsidP="00175443">
      <w:pPr>
        <w:jc w:val="center"/>
        <w:rPr>
          <w:rFonts w:cs="Arial"/>
          <w:szCs w:val="24"/>
        </w:rPr>
      </w:pPr>
      <w:r w:rsidRPr="00716D56">
        <w:rPr>
          <w:rFonts w:cs="Arial"/>
          <w:szCs w:val="24"/>
        </w:rPr>
        <w:t>Secretari</w:t>
      </w:r>
      <w:r>
        <w:rPr>
          <w:rFonts w:cs="Arial"/>
          <w:szCs w:val="24"/>
        </w:rPr>
        <w:t>a</w:t>
      </w:r>
      <w:r w:rsidRPr="00716D56">
        <w:rPr>
          <w:rFonts w:cs="Arial"/>
          <w:szCs w:val="24"/>
        </w:rPr>
        <w:t xml:space="preserve"> de la Comisión</w:t>
      </w:r>
    </w:p>
    <w:bookmarkEnd w:id="5"/>
    <w:p w14:paraId="07091AD3" w14:textId="3EFEFFC0" w:rsidR="009D4F3F" w:rsidRPr="00175443" w:rsidRDefault="009D4F3F" w:rsidP="009D4F3F">
      <w:pPr>
        <w:tabs>
          <w:tab w:val="left" w:pos="2835"/>
        </w:tabs>
        <w:jc w:val="both"/>
        <w:rPr>
          <w:rFonts w:eastAsia="Times New Roman" w:cs="Times New Roman"/>
          <w:b/>
          <w:szCs w:val="24"/>
          <w:lang w:eastAsia="es-ES"/>
        </w:rPr>
      </w:pPr>
    </w:p>
    <w:p w14:paraId="0356B4EC" w14:textId="77777777" w:rsidR="00FA6C44" w:rsidRPr="009D4F3F" w:rsidRDefault="00FA6C44" w:rsidP="002360C6">
      <w:pPr>
        <w:tabs>
          <w:tab w:val="left" w:pos="2835"/>
        </w:tabs>
        <w:jc w:val="center"/>
        <w:rPr>
          <w:szCs w:val="24"/>
        </w:rPr>
      </w:pPr>
    </w:p>
    <w:sectPr w:rsidR="00FA6C44" w:rsidRPr="009D4F3F" w:rsidSect="006037B2">
      <w:headerReference w:type="even" r:id="rId8"/>
      <w:headerReference w:type="default" r:id="rId9"/>
      <w:pgSz w:w="12240" w:h="18720" w:code="14"/>
      <w:pgMar w:top="2835" w:right="1701" w:bottom="2835" w:left="2268" w:header="1701" w:footer="72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0DB3" w14:textId="77777777" w:rsidR="00F204AD" w:rsidRDefault="00F204AD">
      <w:r>
        <w:separator/>
      </w:r>
    </w:p>
  </w:endnote>
  <w:endnote w:type="continuationSeparator" w:id="0">
    <w:p w14:paraId="7C39E056" w14:textId="77777777" w:rsidR="00F204AD" w:rsidRDefault="00F2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36BB" w14:textId="77777777" w:rsidR="00F204AD" w:rsidRDefault="00F204AD">
      <w:r>
        <w:separator/>
      </w:r>
    </w:p>
  </w:footnote>
  <w:footnote w:type="continuationSeparator" w:id="0">
    <w:p w14:paraId="141AEFCE" w14:textId="77777777" w:rsidR="00F204AD" w:rsidRDefault="00F2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6010"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14:paraId="12DE1B89" w14:textId="77777777" w:rsidR="002360C6" w:rsidRDefault="002360C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F202"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106</w:t>
    </w:r>
    <w:r>
      <w:rPr>
        <w:rStyle w:val="Nmerodepgina"/>
      </w:rPr>
      <w:fldChar w:fldCharType="end"/>
    </w:r>
  </w:p>
  <w:p w14:paraId="727E16DB" w14:textId="77777777" w:rsidR="002360C6" w:rsidRDefault="002360C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9B3"/>
    <w:multiLevelType w:val="hybridMultilevel"/>
    <w:tmpl w:val="24B80230"/>
    <w:lvl w:ilvl="0" w:tplc="30A482D2">
      <w:start w:val="2"/>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A84F18"/>
    <w:multiLevelType w:val="hybridMultilevel"/>
    <w:tmpl w:val="093EF3B0"/>
    <w:lvl w:ilvl="0" w:tplc="6BA661E0">
      <w:start w:val="1"/>
      <w:numFmt w:val="lowerLetter"/>
      <w:lvlText w:val="%1)"/>
      <w:lvlJc w:val="left"/>
      <w:pPr>
        <w:tabs>
          <w:tab w:val="num" w:pos="1647"/>
        </w:tabs>
        <w:ind w:left="1647" w:hanging="360"/>
      </w:pPr>
      <w:rPr>
        <w:rFonts w:ascii="Courier New" w:hAnsi="Courier New" w:hint="default"/>
        <w:b w:val="0"/>
        <w:i w:val="0"/>
        <w:sz w:val="24"/>
      </w:rPr>
    </w:lvl>
    <w:lvl w:ilvl="1" w:tplc="6E705E2A">
      <w:start w:val="3"/>
      <w:numFmt w:val="decimal"/>
      <w:lvlText w:val="%2."/>
      <w:lvlJc w:val="left"/>
      <w:pPr>
        <w:tabs>
          <w:tab w:val="num" w:pos="1440"/>
        </w:tabs>
        <w:ind w:left="1440" w:hanging="360"/>
      </w:pPr>
      <w:rPr>
        <w:rFonts w:ascii="Courier New" w:hAnsi="Courier New" w:hint="default"/>
        <w:b/>
        <w:i w:val="0"/>
        <w:sz w:val="24"/>
      </w:rPr>
    </w:lvl>
    <w:lvl w:ilvl="2" w:tplc="6BA661E0">
      <w:start w:val="1"/>
      <w:numFmt w:val="lowerLetter"/>
      <w:lvlText w:val="%3)"/>
      <w:lvlJc w:val="left"/>
      <w:pPr>
        <w:tabs>
          <w:tab w:val="num" w:pos="2340"/>
        </w:tabs>
        <w:ind w:left="2340" w:hanging="360"/>
      </w:pPr>
      <w:rPr>
        <w:rFonts w:ascii="Courier New" w:hAnsi="Courier New" w:hint="default"/>
        <w:b w:val="0"/>
        <w:i w:val="0"/>
        <w:sz w:val="24"/>
      </w:rPr>
    </w:lvl>
    <w:lvl w:ilvl="3" w:tplc="FB9E7B8C">
      <w:start w:val="1"/>
      <w:numFmt w:val="lowerLetter"/>
      <w:lvlText w:val="%4)"/>
      <w:lvlJc w:val="left"/>
      <w:pPr>
        <w:tabs>
          <w:tab w:val="num" w:pos="2880"/>
        </w:tabs>
        <w:ind w:left="2880" w:hanging="360"/>
      </w:pPr>
      <w:rPr>
        <w:rFonts w:ascii="Courier New" w:hAnsi="Courier New" w:hint="default"/>
        <w:b w:val="0"/>
        <w:i w:val="0"/>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B77861"/>
    <w:multiLevelType w:val="hybridMultilevel"/>
    <w:tmpl w:val="44BC58FA"/>
    <w:lvl w:ilvl="0" w:tplc="65E6AF9A">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 w15:restartNumberingAfterBreak="0">
    <w:nsid w:val="17292AEA"/>
    <w:multiLevelType w:val="hybridMultilevel"/>
    <w:tmpl w:val="0212C7CC"/>
    <w:lvl w:ilvl="0" w:tplc="8C8680EE">
      <w:start w:val="2"/>
      <w:numFmt w:val="lowerLetter"/>
      <w:lvlText w:val="%1)"/>
      <w:lvlJc w:val="left"/>
      <w:pPr>
        <w:tabs>
          <w:tab w:val="num" w:pos="2629"/>
        </w:tabs>
        <w:ind w:left="2629" w:hanging="360"/>
      </w:pPr>
      <w:rPr>
        <w:rFonts w:ascii="Arial" w:hAnsi="Arial" w:cs="Arial" w:hint="default"/>
        <w:b w:val="0"/>
        <w:i w:val="0"/>
        <w:sz w:val="24"/>
      </w:rPr>
    </w:lvl>
    <w:lvl w:ilvl="1" w:tplc="0C0A0019" w:tentative="1">
      <w:start w:val="1"/>
      <w:numFmt w:val="lowerLetter"/>
      <w:lvlText w:val="%2."/>
      <w:lvlJc w:val="left"/>
      <w:pPr>
        <w:tabs>
          <w:tab w:val="num" w:pos="1549"/>
        </w:tabs>
        <w:ind w:left="1549" w:hanging="360"/>
      </w:pPr>
    </w:lvl>
    <w:lvl w:ilvl="2" w:tplc="0C0A001B" w:tentative="1">
      <w:start w:val="1"/>
      <w:numFmt w:val="lowerRoman"/>
      <w:lvlText w:val="%3."/>
      <w:lvlJc w:val="right"/>
      <w:pPr>
        <w:tabs>
          <w:tab w:val="num" w:pos="2269"/>
        </w:tabs>
        <w:ind w:left="2269" w:hanging="180"/>
      </w:pPr>
    </w:lvl>
    <w:lvl w:ilvl="3" w:tplc="0C0A000F" w:tentative="1">
      <w:start w:val="1"/>
      <w:numFmt w:val="decimal"/>
      <w:lvlText w:val="%4."/>
      <w:lvlJc w:val="left"/>
      <w:pPr>
        <w:tabs>
          <w:tab w:val="num" w:pos="2989"/>
        </w:tabs>
        <w:ind w:left="2989" w:hanging="360"/>
      </w:pPr>
    </w:lvl>
    <w:lvl w:ilvl="4" w:tplc="0C0A0019" w:tentative="1">
      <w:start w:val="1"/>
      <w:numFmt w:val="lowerLetter"/>
      <w:lvlText w:val="%5."/>
      <w:lvlJc w:val="left"/>
      <w:pPr>
        <w:tabs>
          <w:tab w:val="num" w:pos="3709"/>
        </w:tabs>
        <w:ind w:left="3709" w:hanging="360"/>
      </w:pPr>
    </w:lvl>
    <w:lvl w:ilvl="5" w:tplc="0C0A001B" w:tentative="1">
      <w:start w:val="1"/>
      <w:numFmt w:val="lowerRoman"/>
      <w:lvlText w:val="%6."/>
      <w:lvlJc w:val="right"/>
      <w:pPr>
        <w:tabs>
          <w:tab w:val="num" w:pos="4429"/>
        </w:tabs>
        <w:ind w:left="4429" w:hanging="180"/>
      </w:pPr>
    </w:lvl>
    <w:lvl w:ilvl="6" w:tplc="0C0A000F" w:tentative="1">
      <w:start w:val="1"/>
      <w:numFmt w:val="decimal"/>
      <w:lvlText w:val="%7."/>
      <w:lvlJc w:val="left"/>
      <w:pPr>
        <w:tabs>
          <w:tab w:val="num" w:pos="5149"/>
        </w:tabs>
        <w:ind w:left="5149" w:hanging="360"/>
      </w:pPr>
    </w:lvl>
    <w:lvl w:ilvl="7" w:tplc="0C0A0019" w:tentative="1">
      <w:start w:val="1"/>
      <w:numFmt w:val="lowerLetter"/>
      <w:lvlText w:val="%8."/>
      <w:lvlJc w:val="left"/>
      <w:pPr>
        <w:tabs>
          <w:tab w:val="num" w:pos="5869"/>
        </w:tabs>
        <w:ind w:left="5869" w:hanging="360"/>
      </w:pPr>
    </w:lvl>
    <w:lvl w:ilvl="8" w:tplc="0C0A001B" w:tentative="1">
      <w:start w:val="1"/>
      <w:numFmt w:val="lowerRoman"/>
      <w:lvlText w:val="%9."/>
      <w:lvlJc w:val="right"/>
      <w:pPr>
        <w:tabs>
          <w:tab w:val="num" w:pos="6589"/>
        </w:tabs>
        <w:ind w:left="6589" w:hanging="180"/>
      </w:pPr>
    </w:lvl>
  </w:abstractNum>
  <w:abstractNum w:abstractNumId="4" w15:restartNumberingAfterBreak="0">
    <w:nsid w:val="17682DD8"/>
    <w:multiLevelType w:val="hybridMultilevel"/>
    <w:tmpl w:val="11843986"/>
    <w:lvl w:ilvl="0" w:tplc="340A000F">
      <w:start w:val="1"/>
      <w:numFmt w:val="decimal"/>
      <w:lvlText w:val="%1."/>
      <w:lvlJc w:val="left"/>
      <w:pPr>
        <w:tabs>
          <w:tab w:val="num" w:pos="1260"/>
        </w:tabs>
        <w:ind w:left="1260" w:hanging="360"/>
      </w:pPr>
    </w:lvl>
    <w:lvl w:ilvl="1" w:tplc="340A0017">
      <w:start w:val="1"/>
      <w:numFmt w:val="lowerLetter"/>
      <w:lvlText w:val="%2)"/>
      <w:lvlJc w:val="left"/>
      <w:pPr>
        <w:tabs>
          <w:tab w:val="num" w:pos="1980"/>
        </w:tabs>
        <w:ind w:left="1980" w:hanging="360"/>
      </w:pPr>
    </w:lvl>
    <w:lvl w:ilvl="2" w:tplc="340A0001">
      <w:start w:val="1"/>
      <w:numFmt w:val="bullet"/>
      <w:lvlText w:val=""/>
      <w:lvlJc w:val="left"/>
      <w:pPr>
        <w:tabs>
          <w:tab w:val="num" w:pos="2880"/>
        </w:tabs>
        <w:ind w:left="2880" w:hanging="360"/>
      </w:pPr>
      <w:rPr>
        <w:rFonts w:ascii="Symbol" w:hAnsi="Symbol" w:hint="default"/>
      </w:rPr>
    </w:lvl>
    <w:lvl w:ilvl="3" w:tplc="340A000F" w:tentative="1">
      <w:start w:val="1"/>
      <w:numFmt w:val="decimal"/>
      <w:lvlText w:val="%4."/>
      <w:lvlJc w:val="left"/>
      <w:pPr>
        <w:tabs>
          <w:tab w:val="num" w:pos="3420"/>
        </w:tabs>
        <w:ind w:left="3420" w:hanging="360"/>
      </w:pPr>
    </w:lvl>
    <w:lvl w:ilvl="4" w:tplc="340A0019" w:tentative="1">
      <w:start w:val="1"/>
      <w:numFmt w:val="lowerLetter"/>
      <w:lvlText w:val="%5."/>
      <w:lvlJc w:val="left"/>
      <w:pPr>
        <w:tabs>
          <w:tab w:val="num" w:pos="4140"/>
        </w:tabs>
        <w:ind w:left="4140" w:hanging="360"/>
      </w:pPr>
    </w:lvl>
    <w:lvl w:ilvl="5" w:tplc="340A001B" w:tentative="1">
      <w:start w:val="1"/>
      <w:numFmt w:val="lowerRoman"/>
      <w:lvlText w:val="%6."/>
      <w:lvlJc w:val="right"/>
      <w:pPr>
        <w:tabs>
          <w:tab w:val="num" w:pos="4860"/>
        </w:tabs>
        <w:ind w:left="4860" w:hanging="180"/>
      </w:pPr>
    </w:lvl>
    <w:lvl w:ilvl="6" w:tplc="340A000F" w:tentative="1">
      <w:start w:val="1"/>
      <w:numFmt w:val="decimal"/>
      <w:lvlText w:val="%7."/>
      <w:lvlJc w:val="left"/>
      <w:pPr>
        <w:tabs>
          <w:tab w:val="num" w:pos="5580"/>
        </w:tabs>
        <w:ind w:left="5580" w:hanging="360"/>
      </w:pPr>
    </w:lvl>
    <w:lvl w:ilvl="7" w:tplc="340A0019" w:tentative="1">
      <w:start w:val="1"/>
      <w:numFmt w:val="lowerLetter"/>
      <w:lvlText w:val="%8."/>
      <w:lvlJc w:val="left"/>
      <w:pPr>
        <w:tabs>
          <w:tab w:val="num" w:pos="6300"/>
        </w:tabs>
        <w:ind w:left="6300" w:hanging="360"/>
      </w:pPr>
    </w:lvl>
    <w:lvl w:ilvl="8" w:tplc="340A001B" w:tentative="1">
      <w:start w:val="1"/>
      <w:numFmt w:val="lowerRoman"/>
      <w:lvlText w:val="%9."/>
      <w:lvlJc w:val="right"/>
      <w:pPr>
        <w:tabs>
          <w:tab w:val="num" w:pos="7020"/>
        </w:tabs>
        <w:ind w:left="7020" w:hanging="180"/>
      </w:pPr>
    </w:lvl>
  </w:abstractNum>
  <w:abstractNum w:abstractNumId="5" w15:restartNumberingAfterBreak="0">
    <w:nsid w:val="1A6669E3"/>
    <w:multiLevelType w:val="hybridMultilevel"/>
    <w:tmpl w:val="B2ECB00E"/>
    <w:lvl w:ilvl="0" w:tplc="1A9E7EF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3F781CB5"/>
    <w:multiLevelType w:val="hybridMultilevel"/>
    <w:tmpl w:val="CB7833DA"/>
    <w:lvl w:ilvl="0" w:tplc="198A3FA4">
      <w:start w:val="3"/>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7" w15:restartNumberingAfterBreak="0">
    <w:nsid w:val="45214E02"/>
    <w:multiLevelType w:val="hybridMultilevel"/>
    <w:tmpl w:val="64FA67C2"/>
    <w:lvl w:ilvl="0" w:tplc="F48EAAD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553C158B"/>
    <w:multiLevelType w:val="hybridMultilevel"/>
    <w:tmpl w:val="B2782A74"/>
    <w:lvl w:ilvl="0" w:tplc="0E9863FA">
      <w:start w:val="1"/>
      <w:numFmt w:val="lowerLetter"/>
      <w:lvlText w:val="%1)"/>
      <w:lvlJc w:val="left"/>
      <w:pPr>
        <w:tabs>
          <w:tab w:val="num" w:pos="2520"/>
        </w:tabs>
        <w:ind w:left="2520" w:hanging="360"/>
      </w:pPr>
      <w:rPr>
        <w:rFonts w:ascii="Arial" w:hAnsi="Arial" w:cs="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4FB2FE8"/>
    <w:multiLevelType w:val="hybridMultilevel"/>
    <w:tmpl w:val="90CC60EE"/>
    <w:lvl w:ilvl="0" w:tplc="33080ED0">
      <w:start w:val="1"/>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671E24E3"/>
    <w:multiLevelType w:val="hybridMultilevel"/>
    <w:tmpl w:val="79A89C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9367FA"/>
    <w:multiLevelType w:val="hybridMultilevel"/>
    <w:tmpl w:val="2B48EBBC"/>
    <w:lvl w:ilvl="0" w:tplc="558EBAF8">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2" w15:restartNumberingAfterBreak="0">
    <w:nsid w:val="78DF6421"/>
    <w:multiLevelType w:val="hybridMultilevel"/>
    <w:tmpl w:val="8C6A3636"/>
    <w:lvl w:ilvl="0" w:tplc="104A2ED2">
      <w:start w:val="3"/>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0"/>
  </w:num>
  <w:num w:numId="5">
    <w:abstractNumId w:val="12"/>
  </w:num>
  <w:num w:numId="6">
    <w:abstractNumId w:val="3"/>
  </w:num>
  <w:num w:numId="7">
    <w:abstractNumId w:val="8"/>
  </w:num>
  <w:num w:numId="8">
    <w:abstractNumId w:val="11"/>
  </w:num>
  <w:num w:numId="9">
    <w:abstractNumId w:val="2"/>
  </w:num>
  <w:num w:numId="10">
    <w:abstractNumId w:val="6"/>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F"/>
    <w:rsid w:val="00175443"/>
    <w:rsid w:val="002360C6"/>
    <w:rsid w:val="006037B2"/>
    <w:rsid w:val="006B2D30"/>
    <w:rsid w:val="0070175D"/>
    <w:rsid w:val="00721CBF"/>
    <w:rsid w:val="00872BB7"/>
    <w:rsid w:val="009D4F3F"/>
    <w:rsid w:val="00AE4757"/>
    <w:rsid w:val="00CA1623"/>
    <w:rsid w:val="00CC378D"/>
    <w:rsid w:val="00D3673C"/>
    <w:rsid w:val="00F204AD"/>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AADA"/>
  <w15:chartTrackingRefBased/>
  <w15:docId w15:val="{F6A2434F-FFCB-40CE-9AAD-59DCF52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D4F3F"/>
    <w:pPr>
      <w:keepNext/>
      <w:spacing w:before="240"/>
      <w:ind w:left="2880" w:right="-1"/>
      <w:jc w:val="both"/>
      <w:outlineLvl w:val="0"/>
    </w:pPr>
    <w:rPr>
      <w:rFonts w:ascii="Courier" w:eastAsia="Times New Roman" w:hAnsi="Courier" w:cs="Times New Roman"/>
      <w:b/>
      <w:szCs w:val="20"/>
      <w:lang w:val="es-ES_tradnl" w:eastAsia="es-ES"/>
    </w:rPr>
  </w:style>
  <w:style w:type="paragraph" w:styleId="Ttulo2">
    <w:name w:val="heading 2"/>
    <w:basedOn w:val="Normal"/>
    <w:next w:val="Normal"/>
    <w:link w:val="Ttulo2Car"/>
    <w:qFormat/>
    <w:rsid w:val="009D4F3F"/>
    <w:pPr>
      <w:keepNext/>
      <w:tabs>
        <w:tab w:val="left" w:pos="2835"/>
      </w:tabs>
      <w:jc w:val="center"/>
      <w:outlineLvl w:val="1"/>
    </w:pPr>
    <w:rPr>
      <w:rFonts w:ascii="Times New Roman" w:eastAsia="Times New Roman" w:hAnsi="Times New Roman" w:cs="Times New Roman"/>
      <w:b/>
      <w:sz w:val="36"/>
      <w:szCs w:val="20"/>
      <w:u w:val="single"/>
      <w:lang w:val="es-ES_tradnl" w:eastAsia="es-ES"/>
    </w:rPr>
  </w:style>
  <w:style w:type="paragraph" w:styleId="Ttulo3">
    <w:name w:val="heading 3"/>
    <w:basedOn w:val="Normal"/>
    <w:next w:val="Normal"/>
    <w:link w:val="Ttulo3Car"/>
    <w:qFormat/>
    <w:rsid w:val="009D4F3F"/>
    <w:pPr>
      <w:keepNext/>
      <w:tabs>
        <w:tab w:val="left" w:pos="2835"/>
      </w:tabs>
      <w:ind w:left="851" w:hanging="851"/>
      <w:jc w:val="both"/>
      <w:outlineLvl w:val="2"/>
    </w:pPr>
    <w:rPr>
      <w:rFonts w:ascii="Courier" w:eastAsia="Times New Roman" w:hAnsi="Courier" w:cs="Times New Roman"/>
      <w:b/>
      <w:szCs w:val="20"/>
      <w:lang w:val="es-ES_tradnl" w:eastAsia="es-ES"/>
    </w:rPr>
  </w:style>
  <w:style w:type="paragraph" w:styleId="Ttulo4">
    <w:name w:val="heading 4"/>
    <w:basedOn w:val="Normal"/>
    <w:next w:val="Normal"/>
    <w:link w:val="Ttulo4Car"/>
    <w:qFormat/>
    <w:rsid w:val="009D4F3F"/>
    <w:pPr>
      <w:keepNext/>
      <w:tabs>
        <w:tab w:val="left" w:pos="2835"/>
      </w:tabs>
      <w:spacing w:line="360" w:lineRule="auto"/>
      <w:jc w:val="center"/>
      <w:outlineLvl w:val="3"/>
    </w:pPr>
    <w:rPr>
      <w:rFonts w:ascii="Courier" w:eastAsia="Times New Roman" w:hAnsi="Courier" w:cs="Times New Roman"/>
      <w:b/>
      <w:szCs w:val="20"/>
      <w:lang w:val="es-ES_tradnl" w:eastAsia="es-ES"/>
    </w:rPr>
  </w:style>
  <w:style w:type="paragraph" w:styleId="Ttulo5">
    <w:name w:val="heading 5"/>
    <w:basedOn w:val="Normal"/>
    <w:next w:val="Normal"/>
    <w:link w:val="Ttulo5Car"/>
    <w:qFormat/>
    <w:rsid w:val="009D4F3F"/>
    <w:pPr>
      <w:keepNext/>
      <w:tabs>
        <w:tab w:val="left" w:pos="2552"/>
        <w:tab w:val="left" w:pos="3119"/>
      </w:tabs>
      <w:jc w:val="both"/>
      <w:outlineLvl w:val="4"/>
    </w:pPr>
    <w:rPr>
      <w:rFonts w:eastAsia="Times New Roman" w:cs="Times New Roman"/>
      <w:b/>
      <w:szCs w:val="20"/>
      <w:lang w:val="es-ES_tradnl" w:eastAsia="es-ES"/>
    </w:rPr>
  </w:style>
  <w:style w:type="paragraph" w:styleId="Ttulo6">
    <w:name w:val="heading 6"/>
    <w:basedOn w:val="Normal"/>
    <w:next w:val="Normal"/>
    <w:link w:val="Ttulo6Car"/>
    <w:qFormat/>
    <w:rsid w:val="009D4F3F"/>
    <w:pPr>
      <w:keepNext/>
      <w:suppressAutoHyphens/>
      <w:ind w:left="2835" w:hanging="2835"/>
      <w:jc w:val="center"/>
      <w:outlineLvl w:val="5"/>
    </w:pPr>
    <w:rPr>
      <w:rFonts w:eastAsia="Times New Roman" w:cs="Times New Roman"/>
      <w:b/>
      <w:szCs w:val="20"/>
      <w:lang w:val="es-ES_tradnl" w:eastAsia="es-ES"/>
    </w:rPr>
  </w:style>
  <w:style w:type="paragraph" w:styleId="Ttulo7">
    <w:name w:val="heading 7"/>
    <w:basedOn w:val="Normal"/>
    <w:next w:val="Normal"/>
    <w:link w:val="Ttulo7Car"/>
    <w:qFormat/>
    <w:rsid w:val="009D4F3F"/>
    <w:pPr>
      <w:keepNext/>
      <w:tabs>
        <w:tab w:val="left" w:pos="2835"/>
      </w:tabs>
      <w:jc w:val="center"/>
      <w:outlineLvl w:val="6"/>
    </w:pPr>
    <w:rPr>
      <w:rFonts w:eastAsia="Times New Roman" w:cs="Times New Roman"/>
      <w:b/>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F3F"/>
    <w:rPr>
      <w:rFonts w:ascii="Courier" w:eastAsia="Times New Roman" w:hAnsi="Courier" w:cs="Times New Roman"/>
      <w:b/>
      <w:szCs w:val="20"/>
      <w:lang w:val="es-ES_tradnl" w:eastAsia="es-ES"/>
    </w:rPr>
  </w:style>
  <w:style w:type="character" w:customStyle="1" w:styleId="Ttulo2Car">
    <w:name w:val="Título 2 Car"/>
    <w:basedOn w:val="Fuentedeprrafopredeter"/>
    <w:link w:val="Ttulo2"/>
    <w:rsid w:val="009D4F3F"/>
    <w:rPr>
      <w:rFonts w:ascii="Times New Roman" w:eastAsia="Times New Roman" w:hAnsi="Times New Roman" w:cs="Times New Roman"/>
      <w:b/>
      <w:sz w:val="36"/>
      <w:szCs w:val="20"/>
      <w:u w:val="single"/>
      <w:lang w:val="es-ES_tradnl" w:eastAsia="es-ES"/>
    </w:rPr>
  </w:style>
  <w:style w:type="character" w:customStyle="1" w:styleId="Ttulo3Car">
    <w:name w:val="Título 3 Car"/>
    <w:basedOn w:val="Fuentedeprrafopredeter"/>
    <w:link w:val="Ttulo3"/>
    <w:rsid w:val="009D4F3F"/>
    <w:rPr>
      <w:rFonts w:ascii="Courier" w:eastAsia="Times New Roman" w:hAnsi="Courier" w:cs="Times New Roman"/>
      <w:b/>
      <w:szCs w:val="20"/>
      <w:lang w:val="es-ES_tradnl" w:eastAsia="es-ES"/>
    </w:rPr>
  </w:style>
  <w:style w:type="character" w:customStyle="1" w:styleId="Ttulo4Car">
    <w:name w:val="Título 4 Car"/>
    <w:basedOn w:val="Fuentedeprrafopredeter"/>
    <w:link w:val="Ttulo4"/>
    <w:rsid w:val="009D4F3F"/>
    <w:rPr>
      <w:rFonts w:ascii="Courier" w:eastAsia="Times New Roman" w:hAnsi="Courier" w:cs="Times New Roman"/>
      <w:b/>
      <w:szCs w:val="20"/>
      <w:lang w:val="es-ES_tradnl" w:eastAsia="es-ES"/>
    </w:rPr>
  </w:style>
  <w:style w:type="character" w:customStyle="1" w:styleId="Ttulo5Car">
    <w:name w:val="Título 5 Car"/>
    <w:basedOn w:val="Fuentedeprrafopredeter"/>
    <w:link w:val="Ttulo5"/>
    <w:rsid w:val="009D4F3F"/>
    <w:rPr>
      <w:rFonts w:eastAsia="Times New Roman" w:cs="Times New Roman"/>
      <w:b/>
      <w:szCs w:val="20"/>
      <w:lang w:val="es-ES_tradnl" w:eastAsia="es-ES"/>
    </w:rPr>
  </w:style>
  <w:style w:type="character" w:customStyle="1" w:styleId="Ttulo6Car">
    <w:name w:val="Título 6 Car"/>
    <w:basedOn w:val="Fuentedeprrafopredeter"/>
    <w:link w:val="Ttulo6"/>
    <w:rsid w:val="009D4F3F"/>
    <w:rPr>
      <w:rFonts w:eastAsia="Times New Roman" w:cs="Times New Roman"/>
      <w:b/>
      <w:szCs w:val="20"/>
      <w:lang w:val="es-ES_tradnl" w:eastAsia="es-ES"/>
    </w:rPr>
  </w:style>
  <w:style w:type="character" w:customStyle="1" w:styleId="Ttulo7Car">
    <w:name w:val="Título 7 Car"/>
    <w:basedOn w:val="Fuentedeprrafopredeter"/>
    <w:link w:val="Ttulo7"/>
    <w:rsid w:val="009D4F3F"/>
    <w:rPr>
      <w:rFonts w:eastAsia="Times New Roman" w:cs="Times New Roman"/>
      <w:b/>
      <w:szCs w:val="20"/>
      <w:u w:val="single"/>
      <w:lang w:val="es-ES_tradnl" w:eastAsia="es-ES"/>
    </w:rPr>
  </w:style>
  <w:style w:type="numbering" w:customStyle="1" w:styleId="Sinlista1">
    <w:name w:val="Sin lista1"/>
    <w:next w:val="Sinlista"/>
    <w:uiPriority w:val="99"/>
    <w:semiHidden/>
    <w:unhideWhenUsed/>
    <w:rsid w:val="009D4F3F"/>
  </w:style>
  <w:style w:type="numbering" w:customStyle="1" w:styleId="Sinlista11">
    <w:name w:val="Sin lista11"/>
    <w:next w:val="Sinlista"/>
    <w:semiHidden/>
    <w:rsid w:val="009D4F3F"/>
  </w:style>
  <w:style w:type="paragraph" w:styleId="Encabezado">
    <w:name w:val="header"/>
    <w:basedOn w:val="Normal"/>
    <w:link w:val="EncabezadoCar"/>
    <w:rsid w:val="009D4F3F"/>
    <w:pPr>
      <w:tabs>
        <w:tab w:val="center" w:pos="4252"/>
        <w:tab w:val="right" w:pos="8504"/>
      </w:tabs>
    </w:pPr>
    <w:rPr>
      <w:rFonts w:ascii="Courier" w:eastAsia="Times New Roman" w:hAnsi="Courier" w:cs="Times New Roman"/>
      <w:szCs w:val="20"/>
      <w:lang w:val="es-ES_tradnl" w:eastAsia="es-ES"/>
    </w:rPr>
  </w:style>
  <w:style w:type="character" w:customStyle="1" w:styleId="EncabezadoCar">
    <w:name w:val="Encabezado Car"/>
    <w:basedOn w:val="Fuentedeprrafopredeter"/>
    <w:link w:val="Encabezado"/>
    <w:rsid w:val="009D4F3F"/>
    <w:rPr>
      <w:rFonts w:ascii="Courier" w:eastAsia="Times New Roman" w:hAnsi="Courier" w:cs="Times New Roman"/>
      <w:szCs w:val="20"/>
      <w:lang w:val="es-ES_tradnl" w:eastAsia="es-ES"/>
    </w:rPr>
  </w:style>
  <w:style w:type="character" w:styleId="Nmerodepgina">
    <w:name w:val="page number"/>
    <w:basedOn w:val="Fuentedeprrafopredeter"/>
    <w:rsid w:val="009D4F3F"/>
  </w:style>
  <w:style w:type="paragraph" w:styleId="Textoindependiente">
    <w:name w:val="Body Text"/>
    <w:basedOn w:val="Normal"/>
    <w:link w:val="TextoindependienteCar"/>
    <w:rsid w:val="009D4F3F"/>
    <w:pPr>
      <w:spacing w:after="120"/>
    </w:pPr>
    <w:rPr>
      <w:rFonts w:ascii="Courier" w:eastAsia="Times New Roman" w:hAnsi="Courier" w:cs="Times New Roman"/>
      <w:szCs w:val="20"/>
      <w:lang w:val="es-ES_tradnl" w:eastAsia="es-ES"/>
    </w:rPr>
  </w:style>
  <w:style w:type="character" w:customStyle="1" w:styleId="TextoindependienteCar">
    <w:name w:val="Texto independiente Car"/>
    <w:basedOn w:val="Fuentedeprrafopredeter"/>
    <w:link w:val="Textoindependiente"/>
    <w:rsid w:val="009D4F3F"/>
    <w:rPr>
      <w:rFonts w:ascii="Courier" w:eastAsia="Times New Roman" w:hAnsi="Courier" w:cs="Times New Roman"/>
      <w:szCs w:val="20"/>
      <w:lang w:val="es-ES_tradnl" w:eastAsia="es-ES"/>
    </w:rPr>
  </w:style>
  <w:style w:type="paragraph" w:styleId="Textoindependiente2">
    <w:name w:val="Body Text 2"/>
    <w:basedOn w:val="Normal"/>
    <w:link w:val="Textoindependiente2Car"/>
    <w:rsid w:val="009D4F3F"/>
    <w:pPr>
      <w:jc w:val="both"/>
    </w:pPr>
    <w:rPr>
      <w:rFonts w:ascii="Courier" w:eastAsia="Times New Roman" w:hAnsi="Courier" w:cs="Times New Roman"/>
      <w:szCs w:val="20"/>
      <w:lang w:val="es-ES_tradnl" w:eastAsia="es-ES"/>
    </w:rPr>
  </w:style>
  <w:style w:type="character" w:customStyle="1" w:styleId="Textoindependiente2Car">
    <w:name w:val="Texto independiente 2 Car"/>
    <w:basedOn w:val="Fuentedeprrafopredeter"/>
    <w:link w:val="Textoindependiente2"/>
    <w:rsid w:val="009D4F3F"/>
    <w:rPr>
      <w:rFonts w:ascii="Courier" w:eastAsia="Times New Roman" w:hAnsi="Courier" w:cs="Times New Roman"/>
      <w:szCs w:val="20"/>
      <w:lang w:val="es-ES_tradnl" w:eastAsia="es-ES"/>
    </w:rPr>
  </w:style>
  <w:style w:type="paragraph" w:styleId="Sangradetextonormal">
    <w:name w:val="Body Text Indent"/>
    <w:basedOn w:val="Normal"/>
    <w:link w:val="SangradetextonormalCar"/>
    <w:rsid w:val="009D4F3F"/>
    <w:pPr>
      <w:ind w:left="2835"/>
      <w:jc w:val="both"/>
    </w:pPr>
    <w:rPr>
      <w:rFonts w:ascii="Courier" w:eastAsia="Times New Roman" w:hAnsi="Courier" w:cs="Times New Roman"/>
      <w:szCs w:val="20"/>
      <w:lang w:val="es-ES_tradnl" w:eastAsia="es-ES"/>
    </w:rPr>
  </w:style>
  <w:style w:type="character" w:customStyle="1" w:styleId="SangradetextonormalCar">
    <w:name w:val="Sangría de texto normal Car"/>
    <w:basedOn w:val="Fuentedeprrafopredeter"/>
    <w:link w:val="Sangradetextonormal"/>
    <w:rsid w:val="009D4F3F"/>
    <w:rPr>
      <w:rFonts w:ascii="Courier" w:eastAsia="Times New Roman" w:hAnsi="Courier" w:cs="Times New Roman"/>
      <w:szCs w:val="20"/>
      <w:lang w:val="es-ES_tradnl" w:eastAsia="es-ES"/>
    </w:rPr>
  </w:style>
  <w:style w:type="paragraph" w:styleId="Textoindependiente3">
    <w:name w:val="Body Text 3"/>
    <w:basedOn w:val="Normal"/>
    <w:link w:val="Textoindependiente3Car"/>
    <w:rsid w:val="009D4F3F"/>
    <w:pPr>
      <w:spacing w:line="360" w:lineRule="auto"/>
      <w:jc w:val="both"/>
    </w:pPr>
    <w:rPr>
      <w:rFonts w:ascii="Courier" w:eastAsia="Times New Roman" w:hAnsi="Courier" w:cs="Times New Roman"/>
      <w:b/>
      <w:szCs w:val="20"/>
      <w:lang w:val="es-ES_tradnl" w:eastAsia="es-ES"/>
    </w:rPr>
  </w:style>
  <w:style w:type="character" w:customStyle="1" w:styleId="Textoindependiente3Car">
    <w:name w:val="Texto independiente 3 Car"/>
    <w:basedOn w:val="Fuentedeprrafopredeter"/>
    <w:link w:val="Textoindependiente3"/>
    <w:rsid w:val="009D4F3F"/>
    <w:rPr>
      <w:rFonts w:ascii="Courier" w:eastAsia="Times New Roman" w:hAnsi="Courier" w:cs="Times New Roman"/>
      <w:b/>
      <w:szCs w:val="20"/>
      <w:lang w:val="es-ES_tradnl" w:eastAsia="es-ES"/>
    </w:rPr>
  </w:style>
  <w:style w:type="paragraph" w:styleId="Textosinformato">
    <w:name w:val="Plain Text"/>
    <w:basedOn w:val="Normal"/>
    <w:link w:val="TextosinformatoCar"/>
    <w:rsid w:val="009D4F3F"/>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9D4F3F"/>
    <w:rPr>
      <w:rFonts w:ascii="Courier New" w:eastAsia="Times New Roman" w:hAnsi="Courier New" w:cs="Times New Roman"/>
      <w:sz w:val="20"/>
      <w:szCs w:val="20"/>
      <w:lang w:eastAsia="es-ES"/>
    </w:rPr>
  </w:style>
  <w:style w:type="paragraph" w:styleId="Sangra2detindependiente">
    <w:name w:val="Body Text Indent 2"/>
    <w:basedOn w:val="Normal"/>
    <w:link w:val="Sangra2detindependienteCar"/>
    <w:rsid w:val="009D4F3F"/>
    <w:pPr>
      <w:suppressAutoHyphens/>
      <w:ind w:left="851" w:hanging="851"/>
      <w:jc w:val="both"/>
    </w:pPr>
    <w:rPr>
      <w:rFonts w:ascii="Courier" w:eastAsia="Times New Roman" w:hAnsi="Courier" w:cs="Times New Roman"/>
      <w:szCs w:val="20"/>
      <w:lang w:val="es-ES_tradnl" w:eastAsia="es-ES"/>
    </w:rPr>
  </w:style>
  <w:style w:type="character" w:customStyle="1" w:styleId="Sangra2detindependienteCar">
    <w:name w:val="Sangría 2 de t. independiente Car"/>
    <w:basedOn w:val="Fuentedeprrafopredeter"/>
    <w:link w:val="Sangra2detindependiente"/>
    <w:rsid w:val="009D4F3F"/>
    <w:rPr>
      <w:rFonts w:ascii="Courier" w:eastAsia="Times New Roman" w:hAnsi="Courier" w:cs="Times New Roman"/>
      <w:szCs w:val="20"/>
      <w:lang w:val="es-ES_tradnl" w:eastAsia="es-ES"/>
    </w:rPr>
  </w:style>
  <w:style w:type="paragraph" w:styleId="Sangra3detindependiente">
    <w:name w:val="Body Text Indent 3"/>
    <w:basedOn w:val="Normal"/>
    <w:link w:val="Sangra3detindependienteCar"/>
    <w:rsid w:val="009D4F3F"/>
    <w:pPr>
      <w:suppressAutoHyphens/>
      <w:spacing w:line="360" w:lineRule="auto"/>
      <w:ind w:hanging="2835"/>
      <w:jc w:val="both"/>
    </w:pPr>
    <w:rPr>
      <w:rFonts w:ascii="Courier" w:eastAsia="Times New Roman" w:hAnsi="Courier" w:cs="Times New Roman"/>
      <w:szCs w:val="20"/>
      <w:lang w:val="es-ES_tradnl" w:eastAsia="es-ES"/>
    </w:rPr>
  </w:style>
  <w:style w:type="character" w:customStyle="1" w:styleId="Sangra3detindependienteCar">
    <w:name w:val="Sangría 3 de t. independiente Car"/>
    <w:basedOn w:val="Fuentedeprrafopredeter"/>
    <w:link w:val="Sangra3detindependiente"/>
    <w:rsid w:val="009D4F3F"/>
    <w:rPr>
      <w:rFonts w:ascii="Courier" w:eastAsia="Times New Roman" w:hAnsi="Courier" w:cs="Times New Roman"/>
      <w:szCs w:val="20"/>
      <w:lang w:val="es-ES_tradnl" w:eastAsia="es-ES"/>
    </w:rPr>
  </w:style>
  <w:style w:type="paragraph" w:customStyle="1" w:styleId="Documento1">
    <w:name w:val="Documento 1"/>
    <w:rsid w:val="009D4F3F"/>
    <w:pPr>
      <w:keepNext/>
      <w:keepLines/>
      <w:tabs>
        <w:tab w:val="left" w:pos="-720"/>
      </w:tabs>
      <w:suppressAutoHyphens/>
    </w:pPr>
    <w:rPr>
      <w:rFonts w:ascii="Courier" w:eastAsia="Times New Roman" w:hAnsi="Courier" w:cs="Times New Roman"/>
      <w:szCs w:val="20"/>
      <w:lang w:val="en-US" w:eastAsia="es-ES"/>
    </w:rPr>
  </w:style>
  <w:style w:type="paragraph" w:styleId="Ttulo">
    <w:name w:val="Title"/>
    <w:basedOn w:val="Normal"/>
    <w:link w:val="TtuloCar"/>
    <w:qFormat/>
    <w:rsid w:val="009D4F3F"/>
    <w:pPr>
      <w:jc w:val="center"/>
    </w:pPr>
    <w:rPr>
      <w:rFonts w:ascii="Courier New" w:eastAsia="Times New Roman" w:hAnsi="Courier New" w:cs="Times New Roman"/>
      <w:szCs w:val="20"/>
      <w:lang w:val="es-MX" w:eastAsia="es-ES"/>
    </w:rPr>
  </w:style>
  <w:style w:type="character" w:customStyle="1" w:styleId="TtuloCar">
    <w:name w:val="Título Car"/>
    <w:basedOn w:val="Fuentedeprrafopredeter"/>
    <w:link w:val="Ttulo"/>
    <w:rsid w:val="009D4F3F"/>
    <w:rPr>
      <w:rFonts w:ascii="Courier New" w:eastAsia="Times New Roman" w:hAnsi="Courier New" w:cs="Times New Roman"/>
      <w:szCs w:val="20"/>
      <w:lang w:val="es-MX" w:eastAsia="es-ES"/>
    </w:rPr>
  </w:style>
  <w:style w:type="paragraph" w:styleId="Piedepgina">
    <w:name w:val="footer"/>
    <w:basedOn w:val="Normal"/>
    <w:link w:val="PiedepginaCar"/>
    <w:rsid w:val="009D4F3F"/>
    <w:pPr>
      <w:tabs>
        <w:tab w:val="center" w:pos="4252"/>
        <w:tab w:val="right" w:pos="8504"/>
      </w:tabs>
      <w:spacing w:line="360" w:lineRule="auto"/>
      <w:jc w:val="both"/>
    </w:pPr>
    <w:rPr>
      <w:rFonts w:ascii="Courier New" w:eastAsia="Times New Roman" w:hAnsi="Courier New" w:cs="Times New Roman"/>
      <w:sz w:val="22"/>
      <w:szCs w:val="20"/>
      <w:lang w:val="es-ES_tradnl" w:eastAsia="es-ES"/>
    </w:rPr>
  </w:style>
  <w:style w:type="character" w:customStyle="1" w:styleId="PiedepginaCar">
    <w:name w:val="Pie de página Car"/>
    <w:basedOn w:val="Fuentedeprrafopredeter"/>
    <w:link w:val="Piedepgina"/>
    <w:rsid w:val="009D4F3F"/>
    <w:rPr>
      <w:rFonts w:ascii="Courier New" w:eastAsia="Times New Roman" w:hAnsi="Courier New" w:cs="Times New Roman"/>
      <w:sz w:val="22"/>
      <w:szCs w:val="20"/>
      <w:lang w:val="es-ES_tradnl" w:eastAsia="es-ES"/>
    </w:rPr>
  </w:style>
  <w:style w:type="paragraph" w:customStyle="1" w:styleId="Textoindependiente31">
    <w:name w:val="Texto independiente 31"/>
    <w:basedOn w:val="Normal"/>
    <w:rsid w:val="009D4F3F"/>
    <w:pPr>
      <w:widowControl w:val="0"/>
      <w:tabs>
        <w:tab w:val="left" w:pos="2999"/>
      </w:tabs>
      <w:spacing w:line="360" w:lineRule="auto"/>
      <w:jc w:val="both"/>
    </w:pPr>
    <w:rPr>
      <w:rFonts w:eastAsia="Times New Roman" w:cs="Times New Roman"/>
      <w:spacing w:val="-3"/>
      <w:szCs w:val="20"/>
      <w:lang w:val="es-ES_tradnl" w:eastAsia="es-ES"/>
    </w:rPr>
  </w:style>
  <w:style w:type="paragraph" w:styleId="Textodebloque">
    <w:name w:val="Block Text"/>
    <w:basedOn w:val="Normal"/>
    <w:rsid w:val="009D4F3F"/>
    <w:pPr>
      <w:spacing w:before="240"/>
      <w:ind w:left="2835" w:right="-1" w:hanging="2126"/>
      <w:jc w:val="both"/>
    </w:pPr>
    <w:rPr>
      <w:rFonts w:ascii="Courier" w:eastAsia="Times New Roman" w:hAnsi="Courier" w:cs="Times New Roman"/>
      <w:spacing w:val="-3"/>
      <w:szCs w:val="20"/>
      <w:lang w:val="es-ES_tradnl" w:eastAsia="es-ES"/>
    </w:rPr>
  </w:style>
  <w:style w:type="paragraph" w:customStyle="1" w:styleId="personal">
    <w:name w:val="personal"/>
    <w:basedOn w:val="Normal"/>
    <w:rsid w:val="009D4F3F"/>
    <w:pPr>
      <w:jc w:val="both"/>
    </w:pPr>
    <w:rPr>
      <w:rFonts w:eastAsia="Times New Roman" w:cs="Times New Roman"/>
      <w:spacing w:val="6"/>
      <w:szCs w:val="20"/>
      <w:lang w:val="es-ES_tradnl" w:eastAsia="es-ES"/>
    </w:rPr>
  </w:style>
  <w:style w:type="paragraph" w:customStyle="1" w:styleId="Estilo1">
    <w:name w:val="Estilo1"/>
    <w:basedOn w:val="Normal"/>
    <w:rsid w:val="009D4F3F"/>
    <w:pPr>
      <w:tabs>
        <w:tab w:val="left" w:pos="2268"/>
      </w:tabs>
      <w:jc w:val="both"/>
    </w:pPr>
    <w:rPr>
      <w:rFonts w:eastAsia="Times New Roman" w:cs="Times New Roman"/>
      <w:szCs w:val="20"/>
      <w:lang w:val="es-ES_tradnl" w:eastAsia="es-ES"/>
    </w:rPr>
  </w:style>
  <w:style w:type="paragraph" w:styleId="NormalWeb">
    <w:name w:val="Normal (Web)"/>
    <w:basedOn w:val="Normal"/>
    <w:rsid w:val="009D4F3F"/>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uppercase">
    <w:name w:val="uppercase"/>
    <w:basedOn w:val="Fuentedeprrafopredeter"/>
    <w:rsid w:val="009D4F3F"/>
  </w:style>
  <w:style w:type="character" w:styleId="Hipervnculo">
    <w:name w:val="Hyperlink"/>
    <w:basedOn w:val="Fuentedeprrafopredeter"/>
    <w:rsid w:val="009D4F3F"/>
    <w:rPr>
      <w:color w:val="0000FF"/>
      <w:u w:val="single"/>
    </w:rPr>
  </w:style>
  <w:style w:type="character" w:customStyle="1" w:styleId="apple-converted-space">
    <w:name w:val="apple-converted-space"/>
    <w:basedOn w:val="Fuentedeprrafopredeter"/>
    <w:rsid w:val="009D4F3F"/>
  </w:style>
  <w:style w:type="character" w:customStyle="1" w:styleId="initialstyle">
    <w:name w:val="initialstyle"/>
    <w:basedOn w:val="Fuentedeprrafopredeter"/>
    <w:rsid w:val="009D4F3F"/>
    <w:rPr>
      <w:rFonts w:cs="Times New Roman"/>
    </w:rPr>
  </w:style>
  <w:style w:type="character" w:customStyle="1" w:styleId="InitialStyle0">
    <w:name w:val="InitialStyle"/>
    <w:rsid w:val="009D4F3F"/>
    <w:rPr>
      <w:rFonts w:ascii="Courier New" w:hAnsi="Courier New"/>
      <w:color w:val="auto"/>
      <w:spacing w:val="0"/>
      <w:sz w:val="24"/>
    </w:rPr>
  </w:style>
  <w:style w:type="table" w:styleId="Tablaconcuadrcula">
    <w:name w:val="Table Grid"/>
    <w:basedOn w:val="Tablanormal"/>
    <w:rsid w:val="009D4F3F"/>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D4F3F"/>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9D4F3F"/>
    <w:pPr>
      <w:spacing w:after="200" w:line="276" w:lineRule="auto"/>
      <w:ind w:left="720"/>
      <w:contextualSpacing/>
    </w:pPr>
    <w:rPr>
      <w:rFonts w:ascii="Calibri" w:hAnsi="Calibri"/>
      <w:sz w:val="22"/>
    </w:rPr>
  </w:style>
  <w:style w:type="paragraph" w:styleId="Textodeglobo">
    <w:name w:val="Balloon Text"/>
    <w:basedOn w:val="Normal"/>
    <w:link w:val="TextodegloboCar"/>
    <w:uiPriority w:val="99"/>
    <w:semiHidden/>
    <w:unhideWhenUsed/>
    <w:rsid w:val="009D4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F3F"/>
    <w:rPr>
      <w:rFonts w:ascii="Tahoma" w:hAnsi="Tahoma" w:cs="Tahoma"/>
      <w:sz w:val="16"/>
      <w:szCs w:val="16"/>
    </w:rPr>
  </w:style>
  <w:style w:type="paragraph" w:customStyle="1" w:styleId="Textoindependiente32">
    <w:name w:val="Texto independiente 32"/>
    <w:basedOn w:val="Normal"/>
    <w:rsid w:val="009D4F3F"/>
    <w:pPr>
      <w:tabs>
        <w:tab w:val="left" w:pos="170"/>
      </w:tabs>
      <w:spacing w:before="120"/>
      <w:jc w:val="both"/>
    </w:pPr>
    <w:rPr>
      <w:rFonts w:eastAsia="Times New Roman" w:cs="Times New Roman"/>
      <w:spacing w:val="-24"/>
      <w:szCs w:val="20"/>
      <w:lang w:eastAsia="es-ES"/>
    </w:rPr>
  </w:style>
  <w:style w:type="paragraph" w:customStyle="1" w:styleId="Car">
    <w:name w:val="Car"/>
    <w:basedOn w:val="Normal"/>
    <w:rsid w:val="00CC378D"/>
    <w:pPr>
      <w:spacing w:after="160" w:line="240" w:lineRule="exact"/>
    </w:pPr>
    <w:rPr>
      <w:rFonts w:ascii="Verdana" w:eastAsia="Times New Roman" w:hAnsi="Verdana" w:cs="Times New Roman"/>
      <w:spacing w:val="-5"/>
      <w:szCs w:val="24"/>
      <w:lang w:val="en-US"/>
    </w:rPr>
  </w:style>
  <w:style w:type="character" w:customStyle="1" w:styleId="Cuerpodeltexto4Exact">
    <w:name w:val="Cuerpo del texto (4) Exact"/>
    <w:link w:val="Cuerpodeltexto4"/>
    <w:rsid w:val="00175443"/>
    <w:rPr>
      <w:rFonts w:ascii="Tahoma" w:eastAsia="Tahoma" w:hAnsi="Tahoma" w:cs="Tahoma"/>
      <w:b/>
      <w:bCs/>
      <w:sz w:val="19"/>
      <w:szCs w:val="19"/>
      <w:shd w:val="clear" w:color="auto" w:fill="FFFFFF"/>
    </w:rPr>
  </w:style>
  <w:style w:type="paragraph" w:customStyle="1" w:styleId="Cuerpodeltexto4">
    <w:name w:val="Cuerpo del texto (4)"/>
    <w:basedOn w:val="Normal"/>
    <w:link w:val="Cuerpodeltexto4Exact"/>
    <w:rsid w:val="00175443"/>
    <w:pPr>
      <w:widowControl w:val="0"/>
      <w:shd w:val="clear" w:color="auto" w:fill="FFFFFF"/>
      <w:spacing w:line="230" w:lineRule="exact"/>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5775</Words>
  <Characters>31765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EMARZI</cp:lastModifiedBy>
  <cp:revision>4</cp:revision>
  <cp:lastPrinted>2019-12-03T19:39:00Z</cp:lastPrinted>
  <dcterms:created xsi:type="dcterms:W3CDTF">2019-12-03T19:32:00Z</dcterms:created>
  <dcterms:modified xsi:type="dcterms:W3CDTF">2019-12-03T19:52:00Z</dcterms:modified>
</cp:coreProperties>
</file>