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220"/>
        <w:gridCol w:w="8220"/>
      </w:tblGrid>
      <w:tr w:rsidR="004D43F5" w:rsidTr="00A9119D">
        <w:tc>
          <w:tcPr>
            <w:tcW w:w="8220" w:type="dxa"/>
          </w:tcPr>
          <w:p w:rsidR="004D43F5" w:rsidRDefault="004D43F5" w:rsidP="004D43F5">
            <w:pPr>
              <w:spacing w:before="120" w:after="120"/>
              <w:jc w:val="center"/>
            </w:pPr>
            <w:r>
              <w:rPr>
                <w:b/>
              </w:rPr>
              <w:t>LEY VIGENTE</w:t>
            </w:r>
          </w:p>
        </w:tc>
        <w:tc>
          <w:tcPr>
            <w:tcW w:w="8220" w:type="dxa"/>
          </w:tcPr>
          <w:p w:rsidR="004D43F5" w:rsidRDefault="004D43F5" w:rsidP="004D43F5">
            <w:pPr>
              <w:spacing w:before="120" w:after="120"/>
              <w:jc w:val="center"/>
            </w:pPr>
            <w:r>
              <w:rPr>
                <w:b/>
              </w:rPr>
              <w:t>PROYECTO DE LEY</w:t>
            </w:r>
          </w:p>
        </w:tc>
      </w:tr>
      <w:tr w:rsidR="004D43F5" w:rsidTr="00A9119D">
        <w:tc>
          <w:tcPr>
            <w:tcW w:w="8220" w:type="dxa"/>
          </w:tcPr>
          <w:p w:rsidR="00931B31" w:rsidRPr="00931B31" w:rsidRDefault="0071468A" w:rsidP="00931B31">
            <w:pPr>
              <w:jc w:val="both"/>
              <w:rPr>
                <w:b/>
              </w:rPr>
            </w:pPr>
            <w:hyperlink r:id="rId7" w:history="1">
              <w:r w:rsidR="00931B31" w:rsidRPr="0071468A">
                <w:rPr>
                  <w:rStyle w:val="Hipervnculo"/>
                  <w:b/>
                </w:rPr>
                <w:t>LEY N° 21.306</w:t>
              </w:r>
            </w:hyperlink>
            <w:r w:rsidR="00931B31" w:rsidRPr="00931B31">
              <w:rPr>
                <w:b/>
              </w:rPr>
              <w:t xml:space="preserve">, </w:t>
            </w:r>
            <w:r w:rsidR="00931B31">
              <w:rPr>
                <w:b/>
              </w:rPr>
              <w:t xml:space="preserve">QUE </w:t>
            </w:r>
            <w:r w:rsidR="00931B31" w:rsidRPr="00931B31">
              <w:rPr>
                <w:b/>
              </w:rPr>
              <w:t>OTORGA REAJUSTE DE REMUNERACIONES A LOS TRABAJADORES DEL SECTOR PÚBLICO, CONCEDE AGUINALDOS QUE SEÑALA, CONCEDE OTROS BENEFICIOS QUE INDICA, Y MODIFICA DIVERSOS CUERPOS LEGALES</w:t>
            </w:r>
            <w:r w:rsidR="00931B31">
              <w:rPr>
                <w:b/>
              </w:rPr>
              <w:t>.</w:t>
            </w:r>
          </w:p>
          <w:p w:rsidR="00931B31" w:rsidRDefault="00931B31"/>
          <w:p w:rsidR="00931B31" w:rsidRDefault="008F6BA6" w:rsidP="00931B31">
            <w:pPr>
              <w:jc w:val="both"/>
            </w:pPr>
            <w:r>
              <w:t xml:space="preserve">   </w:t>
            </w:r>
            <w:r w:rsidRPr="008F6BA6">
              <w:t xml:space="preserve">Artículo 1.- </w:t>
            </w:r>
          </w:p>
          <w:p w:rsidR="00027092" w:rsidRDefault="00027092" w:rsidP="00931B31">
            <w:pPr>
              <w:jc w:val="both"/>
            </w:pPr>
            <w:bookmarkStart w:id="0" w:name="_GoBack"/>
            <w:bookmarkEnd w:id="0"/>
          </w:p>
          <w:p w:rsidR="00931B31" w:rsidRPr="00931B31" w:rsidRDefault="00931B31" w:rsidP="00931B31">
            <w:pPr>
              <w:jc w:val="both"/>
              <w:rPr>
                <w:b/>
              </w:rPr>
            </w:pPr>
            <w:r w:rsidRPr="00931B31">
              <w:rPr>
                <w:b/>
              </w:rPr>
              <w:t>Inciso primero</w:t>
            </w:r>
          </w:p>
          <w:p w:rsidR="004D43F5" w:rsidRDefault="008F6BA6" w:rsidP="00931B31">
            <w:pPr>
              <w:jc w:val="both"/>
            </w:pPr>
            <w:r w:rsidRPr="008F6BA6">
              <w:t>Otórgase, a contar del 1 de diciembre de 2020, un reajuste de 0,8 por ciento a las remuneraciones, asignaciones, beneficios y demás retribuciones en dinero, imponibles para salud y pensiones, o no imponibles, de los trabajadores del sector público, incluidos los profesionales regidos por la ley Nº 15.076 y el personal del acuerdo complementario de la ley Nº 19.297.</w:t>
            </w:r>
          </w:p>
          <w:p w:rsidR="008F6BA6" w:rsidRDefault="008F6BA6"/>
          <w:p w:rsidR="008F6BA6" w:rsidRPr="00931B31" w:rsidRDefault="00931B31">
            <w:pPr>
              <w:rPr>
                <w:b/>
              </w:rPr>
            </w:pPr>
            <w:r w:rsidRPr="00931B31">
              <w:rPr>
                <w:b/>
              </w:rPr>
              <w:t>Inciso décimo</w:t>
            </w:r>
          </w:p>
          <w:p w:rsidR="008F6BA6" w:rsidRDefault="008F6BA6" w:rsidP="008F6BA6">
            <w:pPr>
              <w:jc w:val="both"/>
            </w:pPr>
            <w:r>
              <w:t xml:space="preserve">   </w:t>
            </w:r>
            <w:r w:rsidRPr="008F6BA6">
              <w:t>Respecto de los trabajadores del sector público a quienes se les aplique el inciso primero y no estén afectos a algunos de los sistemas remuneracionales señalados en los incisos tercero a sexto, y cuya remuneración bruta del mes de noviembre de 2020 sea de un monto igual o inferior a $2.000.000.-, el reajuste señalado en el inciso primero se incrementará en 1,9 puntos porcentuales por una jornada completa. Para efectos del cálculo de la remuneración bruta antes señalado no se considerarán la asignación de zona, las bonificaciones especiales de zonas extremas, las bonificaciones, asignaciones y bonos asociados al desempeño individual, colectivo o institucional. Por su parte, respecto de aquellos trabajadores con jornadas inferiores a la completa se les aplicará lo dispuesto en este inciso ajustado de manera proporcional a la fracción de jornada que realicen.</w:t>
            </w:r>
          </w:p>
          <w:p w:rsidR="00027092" w:rsidRDefault="00027092" w:rsidP="008F6BA6">
            <w:pPr>
              <w:jc w:val="both"/>
            </w:pPr>
          </w:p>
          <w:p w:rsidR="00931B31" w:rsidRDefault="00931B31" w:rsidP="008F6BA6">
            <w:pPr>
              <w:jc w:val="both"/>
            </w:pPr>
          </w:p>
        </w:tc>
        <w:tc>
          <w:tcPr>
            <w:tcW w:w="8220" w:type="dxa"/>
          </w:tcPr>
          <w:p w:rsidR="00931B31" w:rsidRDefault="00931B31" w:rsidP="0069708A">
            <w:pPr>
              <w:jc w:val="both"/>
            </w:pPr>
          </w:p>
          <w:p w:rsidR="0069708A" w:rsidRDefault="005B106B" w:rsidP="0069708A">
            <w:pPr>
              <w:jc w:val="both"/>
            </w:pPr>
            <w:r>
              <w:t xml:space="preserve">  </w:t>
            </w:r>
            <w:r w:rsidR="0069708A">
              <w:t xml:space="preserve">Artículo 1.- Otórgase, a contar de la fecha de publicación de la presente ley, el reajuste establecido en los </w:t>
            </w:r>
            <w:r w:rsidR="0069708A" w:rsidRPr="00931B31">
              <w:rPr>
                <w:b/>
              </w:rPr>
              <w:t>incisos primero y décimo del artículo 1 de la ley N° 21.306</w:t>
            </w:r>
            <w:r w:rsidR="0069708A" w:rsidRPr="00931B31">
              <w:t xml:space="preserve">, </w:t>
            </w:r>
            <w:r w:rsidR="0069708A">
              <w:t>según corresponda, a las remuneraciones, asignaciones, beneficios y demás retribuciones en dinero, imponibles para salud y pensiones, o no imponibles, de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Dicho reajuste será de cargo de su entidad empleadora.</w:t>
            </w:r>
          </w:p>
          <w:p w:rsidR="0069708A" w:rsidRDefault="005B106B" w:rsidP="0069708A">
            <w:pPr>
              <w:jc w:val="both"/>
            </w:pPr>
            <w:r>
              <w:t xml:space="preserve">   </w:t>
            </w:r>
            <w:r w:rsidR="0069708A">
              <w:t>Las remuneraciones adicionales a que se refiere el inciso anterior, establecidas en porcentajes de los sueldos no se reajustarán directamente, pero se calcularán sobre éstos, reajustados cuando corresponda en conformidad con lo establecido en este artículo, a contar de la fecha de publicación de la presente ley.</w:t>
            </w:r>
          </w:p>
          <w:p w:rsidR="004D43F5" w:rsidRDefault="005B106B" w:rsidP="005B106B">
            <w:pPr>
              <w:jc w:val="both"/>
            </w:pPr>
            <w:r>
              <w:t xml:space="preserve">   </w:t>
            </w:r>
            <w:r w:rsidR="0069708A">
              <w:t>El reajuste establecido en este artículo no será aplicable al personal indicado en el inciso primero, en los casos en que se les haya otorgado el mismo porcentaje de reajuste y en la misma oportunidad que aquel establecido en el artículo 1 de la ley N° 21.306, por sus respectivos empleadores. En el caso que se les haya otorgado un reajuste inferior al establecido en este artículo, tendrán derecho a la diferencia, a contar de la fecha de publicación de la presente ley.</w:t>
            </w:r>
          </w:p>
          <w:p w:rsidR="005B106B" w:rsidRDefault="005B106B" w:rsidP="005B106B">
            <w:pPr>
              <w:jc w:val="both"/>
            </w:pPr>
          </w:p>
        </w:tc>
      </w:tr>
      <w:tr w:rsidR="004D43F5" w:rsidTr="00A9119D">
        <w:tc>
          <w:tcPr>
            <w:tcW w:w="8220" w:type="dxa"/>
          </w:tcPr>
          <w:p w:rsidR="00931B31" w:rsidRPr="00124AF1" w:rsidRDefault="00931B31" w:rsidP="00124AF1">
            <w:pPr>
              <w:jc w:val="both"/>
            </w:pPr>
            <w:r w:rsidRPr="00124AF1">
              <w:rPr>
                <w:b/>
              </w:rPr>
              <w:lastRenderedPageBreak/>
              <w:t>Artículo 8.-</w:t>
            </w:r>
            <w:r w:rsidRPr="00124AF1">
              <w:t xml:space="preserve"> Concédese, por una sola vez, un aguinaldo de Fiestas Patrias del año 2021 a los trabajadores que, al 31 de agosto del año 2021, desempeñen cargos de planta o a contrata en las entidades a que se refiere el artículo 2 y a los trabajadores a que se refieren los artículos 3, 5 y 6 de esta ley.</w:t>
            </w:r>
          </w:p>
          <w:p w:rsidR="00931B31" w:rsidRPr="00124AF1" w:rsidRDefault="00931B31" w:rsidP="00124AF1">
            <w:pPr>
              <w:jc w:val="both"/>
            </w:pPr>
            <w:r w:rsidRPr="00124AF1">
              <w:t xml:space="preserve">   El monto del aguinaldo será de $76.528.- para los trabajadores cuya remuneración líquida, que les corresponda percibir en el mes de agosto del año 2021, sea igual o inferior a $794.149.-, y de $53.124.-, para aquellos cuya remuneración líquida supere tal cantidad. Para estos efectos, se entenderá como remuneración líquida el total de las de carácter permanente correspondientes a dicho mes, excluidas las bonificaciones, asignaciones y bonos asociados al desempeño individual, colectivo o institucional; con la sola deducción de los impuestos y de las cotizaciones previsionales de carácter obligatorio.</w:t>
            </w:r>
          </w:p>
          <w:p w:rsidR="00931B31" w:rsidRPr="00124AF1" w:rsidRDefault="00931B31" w:rsidP="00124AF1">
            <w:pPr>
              <w:jc w:val="both"/>
            </w:pPr>
            <w:r w:rsidRPr="00124AF1">
              <w:t xml:space="preserve">   El aguinaldo de Fiestas Patrias concedido por este artículo, en lo que se refiere a los órganos y servicios públicos centralizados, será de cargo del Fisco, y respecto de los servicios descentralizados, de las empresas señaladas expresamente en el artículo 2 y de las entidades a que se refiere el artículo 3, será de cargo de la propia entidad empleadora. El Ministro de Hacienda dispondrá la entrega a las entidades con patrimonio propio de las cantidades necesarias para pagarlos, si no pueden financiarlos en todo o en parte con sus recursos propios, siempre que dichos recursos le sean requeridos, como máximo, dentro de los dos meses posteriores al del pago del beneficio.</w:t>
            </w:r>
          </w:p>
          <w:p w:rsidR="00931B31" w:rsidRPr="00124AF1" w:rsidRDefault="00931B31" w:rsidP="00124AF1">
            <w:pPr>
              <w:jc w:val="both"/>
            </w:pPr>
            <w:r w:rsidRPr="00124AF1">
              <w:t xml:space="preserve">   Respecto de los trabajadores de los establecimientos de enseñanza a que se refiere el artículo 5 de esta ley, el Ministerio de Educación fijará internamente los procedimientos de pago y entrega de los recursos a los sostenedores o representantes legales de los referidos establecimientos y de resguardo de su aplicación al pago del aguinaldo que otorga este artículo. Dichos recursos se transferirán a través de la Subsecretaría de Educación. Tratándose de los trabajadores de las instituciones a que se refiere el artículo 6 de esta ley, el Ministerio de Justicia y Derechos Humanos fijará internamente los procedimientos de entrega de los recursos a las referidas instituciones y de resguardo de su aplicación al pago del beneficio que otorga este artículo. Dichos recursos se transferirán </w:t>
            </w:r>
            <w:r w:rsidRPr="00124AF1">
              <w:lastRenderedPageBreak/>
              <w:t>a través del Servicio Nacional de Menores o de la Secretaría y Administración General del Ministerio de Justicia y Derechos Humanos, según corresponda.</w:t>
            </w:r>
          </w:p>
          <w:p w:rsidR="004D43F5" w:rsidRDefault="00931B31" w:rsidP="00124AF1">
            <w:pPr>
              <w:jc w:val="both"/>
            </w:pPr>
            <w:r w:rsidRPr="00124AF1">
              <w:t xml:space="preserve">   En los casos a que se refieren los artículos 5 y 6, el pago del aguinaldo se efectuará por el respectivo empleador, el que recibirá los fondos pertinentes del ministerio que corresponda, cuando procediere.</w:t>
            </w:r>
          </w:p>
          <w:p w:rsidR="00124AF1" w:rsidRPr="00124AF1" w:rsidRDefault="00124AF1" w:rsidP="00124AF1">
            <w:pPr>
              <w:jc w:val="both"/>
            </w:pPr>
          </w:p>
        </w:tc>
        <w:tc>
          <w:tcPr>
            <w:tcW w:w="8220" w:type="dxa"/>
          </w:tcPr>
          <w:p w:rsidR="0069708A" w:rsidRDefault="005B106B" w:rsidP="0069708A">
            <w:pPr>
              <w:jc w:val="both"/>
            </w:pPr>
            <w:r>
              <w:lastRenderedPageBreak/>
              <w:t xml:space="preserve">   </w:t>
            </w:r>
            <w:r w:rsidR="0069708A">
              <w:t xml:space="preserve">Artículo 2.- Concédese, por una sola vez, el aguinaldo de Fiestas Patrias del año 2021, en los mismos términos y montos establecidos en el </w:t>
            </w:r>
            <w:r w:rsidR="0069708A" w:rsidRPr="0071468A">
              <w:rPr>
                <w:b/>
              </w:rPr>
              <w:t>artículo 8 de la ley N° 21.306</w:t>
            </w:r>
            <w:r w:rsidR="0069708A">
              <w:t>, 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El pago del aguinaldo se efectuará por el respectivo empleador. A dicho aguinaldo también le será aplicable lo dispuesto en los artículos 9°, 10, 11, 12 y 19 de la ley N° 21.306, según corresponda.</w:t>
            </w:r>
          </w:p>
          <w:p w:rsidR="004D43F5" w:rsidRDefault="005B106B" w:rsidP="005B106B">
            <w:pPr>
              <w:jc w:val="both"/>
            </w:pPr>
            <w:r>
              <w:t xml:space="preserve">   </w:t>
            </w:r>
            <w:r w:rsidR="0069708A">
              <w:t>El aguinaldo establecido en este artículo será de cargo de la propia entidad empleadora. El Ministro de Hacienda dispondrá la entrega a los servicios locales de educación pública de las cantidades necesarias para pagarlos, si no pueden financiarlos en todo o en parte con sus recursos propios, siempre que dichos recursos le sean requeridos, como máximo, dentro de los dos meses posteriores al del pago del beneficio.</w:t>
            </w:r>
          </w:p>
          <w:p w:rsidR="005B106B" w:rsidRDefault="005B106B" w:rsidP="005B106B">
            <w:pPr>
              <w:jc w:val="both"/>
            </w:pPr>
          </w:p>
        </w:tc>
      </w:tr>
      <w:tr w:rsidR="004D43F5" w:rsidTr="00A9119D">
        <w:tc>
          <w:tcPr>
            <w:tcW w:w="8220" w:type="dxa"/>
          </w:tcPr>
          <w:p w:rsidR="00124AF1" w:rsidRDefault="00124AF1" w:rsidP="00124AF1">
            <w:pPr>
              <w:jc w:val="both"/>
            </w:pPr>
            <w:r>
              <w:rPr>
                <w:b/>
              </w:rPr>
              <w:lastRenderedPageBreak/>
              <w:t xml:space="preserve">   </w:t>
            </w:r>
            <w:r w:rsidRPr="00124AF1">
              <w:rPr>
                <w:b/>
              </w:rPr>
              <w:t>Artículo 67.-</w:t>
            </w:r>
            <w:r>
              <w:t xml:space="preserve"> Otórgase durante el año 2021 un bono mensual, de cargo fiscal, al personal afecto al inciso primero del artículo 1, cuya remuneración bruta en el mes de su pago sea inferior a $545.000.- y que se desempeñen por una jornada completa.</w:t>
            </w:r>
          </w:p>
          <w:p w:rsidR="00124AF1" w:rsidRDefault="00124AF1" w:rsidP="00124AF1">
            <w:pPr>
              <w:jc w:val="both"/>
            </w:pPr>
            <w:r>
              <w:t xml:space="preserve">    El monto mensual del bono será de $45.000 para quienes su remuneración bruta en el mes de pago del bono sea igual o inferior a $482.000. En caso de que la remuneración bruta mensual sea superior a $482.000 e inferior a $545.000, el monto del bono será equivalente a la cantidad que resulte de restar al aporte máximo el valor afecto al bono. Para estos efectos se entenderá por:</w:t>
            </w:r>
          </w:p>
          <w:p w:rsidR="00124AF1" w:rsidRDefault="00124AF1" w:rsidP="00124AF1">
            <w:pPr>
              <w:jc w:val="both"/>
            </w:pPr>
            <w:r>
              <w:t xml:space="preserve">   a) Aporte máximo: $45.000.-</w:t>
            </w:r>
          </w:p>
          <w:p w:rsidR="00124AF1" w:rsidRDefault="00124AF1" w:rsidP="00124AF1">
            <w:pPr>
              <w:jc w:val="both"/>
            </w:pPr>
            <w:r>
              <w:t xml:space="preserve">   b) Valor afecto a bono: corresponde al 71,428 por ciento de la diferencia entre la remuneración bruta mensual y $482.000.-</w:t>
            </w:r>
          </w:p>
          <w:p w:rsidR="00124AF1" w:rsidRDefault="00124AF1" w:rsidP="00124AF1">
            <w:pPr>
              <w:jc w:val="both"/>
            </w:pPr>
            <w:r>
              <w:t xml:space="preserve">   Este bono será imponible y tributable, y no servirá de base de cálculo de ninguna otra remuneración.</w:t>
            </w:r>
          </w:p>
          <w:p w:rsidR="00124AF1" w:rsidRDefault="00124AF1" w:rsidP="00124AF1">
            <w:pPr>
              <w:jc w:val="both"/>
            </w:pPr>
            <w:r>
              <w:t xml:space="preserve">   También tendrá derecho al bono de este artículo el personal asistente de la educación regido por la ley Nº 19.464, de los establecimientos educacionales administrados directamente por las municipalidades, o por corporaciones privadas sin fines de lucro creadas por éstas para administrar la educación municipal y de los Servicios Locales de Educación Pública, en las mismas condiciones que establece este artículo.</w:t>
            </w:r>
          </w:p>
          <w:p w:rsidR="004D43F5" w:rsidRDefault="00124AF1" w:rsidP="00124AF1">
            <w:pPr>
              <w:jc w:val="both"/>
            </w:pPr>
            <w:r>
              <w:t xml:space="preserve">   A la Subsecretaría de Desarrollo Regional y Administrativo le corresponderá solicitar a los municipios la información necesaria para determinar el monto de los recursos para efectos de este artículo. Les corresponderá a los municipios remitir los antecedentes que le requiera la referida Subsecretaría conforme a las instrucciones que les imparta, siendo </w:t>
            </w:r>
            <w:proofErr w:type="gramStart"/>
            <w:r>
              <w:lastRenderedPageBreak/>
              <w:t>éstos</w:t>
            </w:r>
            <w:proofErr w:type="gramEnd"/>
            <w:r>
              <w:t xml:space="preserve"> responsables de la verificación del cumplimiento de los requisitos que establece este artículo.</w:t>
            </w:r>
          </w:p>
        </w:tc>
        <w:tc>
          <w:tcPr>
            <w:tcW w:w="8220" w:type="dxa"/>
          </w:tcPr>
          <w:p w:rsidR="0069708A" w:rsidRDefault="005B106B" w:rsidP="0069708A">
            <w:pPr>
              <w:jc w:val="both"/>
            </w:pPr>
            <w:r>
              <w:lastRenderedPageBreak/>
              <w:t xml:space="preserve">   </w:t>
            </w:r>
            <w:r w:rsidR="0069708A">
              <w:t xml:space="preserve">Artículo 3.- Otórgase, a contar del día 1 del mes siguiente a la publicación de la presente ley y hasta el 31 de diciembre de 2021, el bono mensual, de cargo fiscal, establecido en el </w:t>
            </w:r>
            <w:r w:rsidR="0069708A" w:rsidRPr="0071468A">
              <w:rPr>
                <w:b/>
              </w:rPr>
              <w:t>artículo 67 de la ley N° 21.306</w:t>
            </w:r>
            <w:r w:rsidR="0069708A">
              <w:t>, en los mismos términos que dicha disposición indica, 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w:t>
            </w:r>
          </w:p>
          <w:p w:rsidR="004D43F5" w:rsidRDefault="005B106B" w:rsidP="0069708A">
            <w:pPr>
              <w:jc w:val="both"/>
            </w:pPr>
            <w:r>
              <w:t xml:space="preserve">   </w:t>
            </w:r>
            <w:r w:rsidR="0069708A">
              <w:t>El bono establecido en este artículo no será aplicable al personal indicado en el inciso primero, en los casos en que se les haya otorgado en las mismas condiciones establecidas en el artículo 67 de la ley N° 21.306.</w:t>
            </w:r>
          </w:p>
          <w:p w:rsidR="005B106B" w:rsidRDefault="005B106B" w:rsidP="0069708A">
            <w:pPr>
              <w:jc w:val="both"/>
            </w:pPr>
          </w:p>
        </w:tc>
      </w:tr>
      <w:tr w:rsidR="004D43F5" w:rsidTr="00A9119D">
        <w:tc>
          <w:tcPr>
            <w:tcW w:w="8220" w:type="dxa"/>
          </w:tcPr>
          <w:p w:rsidR="004D43F5" w:rsidRDefault="004D43F5"/>
        </w:tc>
        <w:tc>
          <w:tcPr>
            <w:tcW w:w="8220" w:type="dxa"/>
          </w:tcPr>
          <w:p w:rsidR="0069708A" w:rsidRDefault="005B106B" w:rsidP="0069708A">
            <w:pPr>
              <w:jc w:val="both"/>
            </w:pPr>
            <w:r>
              <w:t xml:space="preserve">   </w:t>
            </w:r>
            <w:r w:rsidR="0069708A">
              <w:t xml:space="preserve">Artículo 4°.- </w:t>
            </w:r>
            <w:r>
              <w:t>C</w:t>
            </w:r>
            <w:r w:rsidR="0069708A">
              <w:t>oncédese, por una sola vez, un bono compensatorio, de cargo fiscal, 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Este bono ascenderá a $400.000.- (cuatrocientos mil pesos) para quienes desempeñen un cargo de una jornada ordinaria de trabajo de cuarenta y cuatro o cuarenta y cinco horas semanales. El personal que se desempeñe en jornadas inferiores a la antes señaladas, percibirá el bono compensatorio en forma proporcional, de acuerdo con las horas establecidas en sus respectivos contratos de trabajo.</w:t>
            </w:r>
          </w:p>
          <w:p w:rsidR="0069708A" w:rsidRDefault="005B106B" w:rsidP="0069708A">
            <w:pPr>
              <w:jc w:val="both"/>
            </w:pPr>
            <w:r>
              <w:t xml:space="preserve">   </w:t>
            </w:r>
            <w:r w:rsidR="0069708A">
              <w:t xml:space="preserve">Este bono no será imponible, ni tributable y no constituirá renta para ningún efecto legal, y será pagado por la entidad empleadora, al personal señalado en el inciso anterior en servicio a la fecha de su pago. Se tendrá derecho a sólo un bono y se pagará dentro de los treinta días hábiles siguientes a la publicación de la presente ley. </w:t>
            </w:r>
          </w:p>
          <w:p w:rsidR="004D43F5" w:rsidRDefault="005B106B" w:rsidP="005B106B">
            <w:pPr>
              <w:jc w:val="both"/>
            </w:pPr>
            <w:r>
              <w:t xml:space="preserve">   </w:t>
            </w:r>
            <w:r w:rsidR="0069708A">
              <w:t>En los casos, en que el empleador hubiese otorgado al personal señalado en el inciso primero todos los beneficios establecidos en los artículos 1°, 2°, 8°, 13, 14 y 25 de la ley N° 21.306, en las mismas condiciones que establece aquella, no tendrá derecho al bono compensatorio.</w:t>
            </w:r>
          </w:p>
          <w:p w:rsidR="005B106B" w:rsidRDefault="005B106B" w:rsidP="005B106B">
            <w:pPr>
              <w:jc w:val="both"/>
            </w:pPr>
          </w:p>
        </w:tc>
      </w:tr>
      <w:tr w:rsidR="0069708A" w:rsidTr="00A9119D">
        <w:tc>
          <w:tcPr>
            <w:tcW w:w="8220" w:type="dxa"/>
          </w:tcPr>
          <w:p w:rsidR="0069708A" w:rsidRDefault="0069708A"/>
        </w:tc>
        <w:tc>
          <w:tcPr>
            <w:tcW w:w="8220" w:type="dxa"/>
          </w:tcPr>
          <w:p w:rsidR="0069708A" w:rsidRDefault="005B106B" w:rsidP="0069708A">
            <w:pPr>
              <w:jc w:val="both"/>
            </w:pPr>
            <w:r>
              <w:t xml:space="preserve">   </w:t>
            </w:r>
            <w:r w:rsidR="0069708A" w:rsidRPr="0069708A">
              <w:t>Artículo transitorio.- El mayor gasto fiscal que irrogue la aplicación de esta ley durante el primer año presupuestario de su vigencia, se financiará con cargo a la Partida Presupuestaria del Ministerio de Educación.</w:t>
            </w:r>
          </w:p>
          <w:p w:rsidR="005B106B" w:rsidRDefault="005B106B" w:rsidP="0069708A">
            <w:pPr>
              <w:jc w:val="both"/>
            </w:pPr>
          </w:p>
        </w:tc>
      </w:tr>
    </w:tbl>
    <w:p w:rsidR="004D43F5" w:rsidRDefault="004D43F5"/>
    <w:sectPr w:rsidR="004D43F5" w:rsidSect="002D70EE">
      <w:headerReference w:type="default" r:id="rId8"/>
      <w:footerReference w:type="default" r:id="rId9"/>
      <w:headerReference w:type="first" r:id="rId10"/>
      <w:footerReference w:type="first" r:id="rId11"/>
      <w:pgSz w:w="20160" w:h="12240" w:orient="landscape" w:code="5"/>
      <w:pgMar w:top="2268" w:right="1134" w:bottom="2268"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A9" w:rsidRDefault="007808A9" w:rsidP="00565675">
      <w:pPr>
        <w:spacing w:after="0" w:line="240" w:lineRule="auto"/>
      </w:pPr>
      <w:r>
        <w:separator/>
      </w:r>
    </w:p>
  </w:endnote>
  <w:endnote w:type="continuationSeparator" w:id="0">
    <w:p w:rsidR="007808A9" w:rsidRDefault="007808A9" w:rsidP="0056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75" w:rsidRPr="00C067D7" w:rsidRDefault="00565675" w:rsidP="00565675">
    <w:pPr>
      <w:pStyle w:val="Piedepgina"/>
      <w:jc w:val="center"/>
      <w:rPr>
        <w:sz w:val="24"/>
        <w:szCs w:val="24"/>
      </w:rPr>
    </w:pPr>
    <w:r w:rsidRPr="00C067D7">
      <w:rPr>
        <w:i/>
        <w:sz w:val="24"/>
        <w:szCs w:val="24"/>
      </w:rPr>
      <w:t>COMISIÓN DE EDUCACIÓN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D7" w:rsidRDefault="00C067D7" w:rsidP="00C067D7">
    <w:pPr>
      <w:pStyle w:val="Piedepgina"/>
      <w:jc w:val="center"/>
    </w:pPr>
    <w:r w:rsidRPr="00C067D7">
      <w:rPr>
        <w:i/>
        <w:sz w:val="24"/>
        <w:szCs w:val="24"/>
      </w:rPr>
      <w:t>COMISIÓN DE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A9" w:rsidRDefault="007808A9" w:rsidP="00565675">
      <w:pPr>
        <w:spacing w:after="0" w:line="240" w:lineRule="auto"/>
      </w:pPr>
      <w:r>
        <w:separator/>
      </w:r>
    </w:p>
  </w:footnote>
  <w:footnote w:type="continuationSeparator" w:id="0">
    <w:p w:rsidR="007808A9" w:rsidRDefault="007808A9" w:rsidP="00565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014776"/>
      <w:docPartObj>
        <w:docPartGallery w:val="Page Numbers (Top of Page)"/>
        <w:docPartUnique/>
      </w:docPartObj>
    </w:sdtPr>
    <w:sdtEndPr/>
    <w:sdtContent>
      <w:p w:rsidR="00DD77AC" w:rsidRDefault="00DD77AC">
        <w:pPr>
          <w:pStyle w:val="Encabezado"/>
          <w:jc w:val="right"/>
        </w:pPr>
        <w:r>
          <w:fldChar w:fldCharType="begin"/>
        </w:r>
        <w:r>
          <w:instrText>PAGE   \* MERGEFORMAT</w:instrText>
        </w:r>
        <w:r>
          <w:fldChar w:fldCharType="separate"/>
        </w:r>
        <w:r w:rsidR="00027092">
          <w:rPr>
            <w:noProof/>
          </w:rPr>
          <w:t>4</w:t>
        </w:r>
        <w:r>
          <w:fldChar w:fldCharType="end"/>
        </w:r>
      </w:p>
    </w:sdtContent>
  </w:sdt>
  <w:p w:rsidR="00565675" w:rsidRDefault="00565675" w:rsidP="00DD77AC">
    <w:pPr>
      <w:pStyle w:val="Encabezado"/>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B7" w:rsidRPr="00D670B7" w:rsidRDefault="009024F8" w:rsidP="009024F8">
    <w:pPr>
      <w:pStyle w:val="Encabezado"/>
      <w:ind w:right="315"/>
      <w:jc w:val="center"/>
      <w:rPr>
        <w:b/>
        <w:sz w:val="24"/>
        <w:szCs w:val="24"/>
      </w:rPr>
    </w:pPr>
    <w:r w:rsidRPr="009024F8">
      <w:rPr>
        <w:b/>
        <w:sz w:val="24"/>
        <w:szCs w:val="24"/>
      </w:rPr>
      <w:t xml:space="preserve">PROYECTO DE LEY </w:t>
    </w:r>
    <w:r w:rsidR="004D43F5">
      <w:rPr>
        <w:b/>
        <w:sz w:val="24"/>
        <w:szCs w:val="24"/>
      </w:rPr>
      <w:t xml:space="preserve">QUE </w:t>
    </w:r>
    <w:r w:rsidR="004D43F5" w:rsidRPr="004D43F5">
      <w:rPr>
        <w:b/>
        <w:sz w:val="24"/>
        <w:szCs w:val="24"/>
      </w:rPr>
      <w:t xml:space="preserve">ESTABLECE REAJUSTE DE REMUNERACIONES Y OTROS BENEFICIOS LEGALES PARA EL PERSONAL QUE INDICA, QUE SE DESEMPEÑA EN LOS ESTABLECIMIENTOS DE EDUCACIÓN PARVULARIA FINANCIADOS POR LA JUNTA NACIONAL DE JARDINES INFANTILES VÍA TRANSFERENCIA DE FONDOS TRASPASADOS A LOS SERVICIOS LOCALES DE EDUCACIÓN PÚBLICA </w:t>
    </w:r>
    <w:r>
      <w:rPr>
        <w:b/>
        <w:sz w:val="24"/>
        <w:szCs w:val="24"/>
      </w:rPr>
      <w:t>(</w:t>
    </w:r>
    <w:r w:rsidRPr="009024F8">
      <w:rPr>
        <w:b/>
        <w:sz w:val="24"/>
        <w:szCs w:val="24"/>
      </w:rPr>
      <w:t>BOLETÍN N°</w:t>
    </w:r>
    <w:r w:rsidR="004D43F5">
      <w:rPr>
        <w:b/>
        <w:sz w:val="24"/>
        <w:szCs w:val="24"/>
      </w:rPr>
      <w:t xml:space="preserve"> </w:t>
    </w:r>
    <w:r w:rsidR="004D43F5" w:rsidRPr="004D43F5">
      <w:rPr>
        <w:b/>
        <w:sz w:val="24"/>
        <w:szCs w:val="24"/>
      </w:rPr>
      <w:t>14</w:t>
    </w:r>
    <w:r w:rsidR="00984DF1">
      <w:rPr>
        <w:b/>
        <w:sz w:val="24"/>
        <w:szCs w:val="24"/>
      </w:rPr>
      <w:t>.</w:t>
    </w:r>
    <w:r w:rsidR="004D43F5" w:rsidRPr="004D43F5">
      <w:rPr>
        <w:b/>
        <w:sz w:val="24"/>
        <w:szCs w:val="24"/>
      </w:rPr>
      <w:t>558-04</w:t>
    </w:r>
    <w:r>
      <w:rPr>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75"/>
    <w:rsid w:val="000057B6"/>
    <w:rsid w:val="00027092"/>
    <w:rsid w:val="00041D20"/>
    <w:rsid w:val="0004337D"/>
    <w:rsid w:val="00070324"/>
    <w:rsid w:val="00076520"/>
    <w:rsid w:val="00083122"/>
    <w:rsid w:val="000C7E25"/>
    <w:rsid w:val="000E4260"/>
    <w:rsid w:val="0011566D"/>
    <w:rsid w:val="00116A71"/>
    <w:rsid w:val="00124AF1"/>
    <w:rsid w:val="00130B31"/>
    <w:rsid w:val="001370E6"/>
    <w:rsid w:val="0014067F"/>
    <w:rsid w:val="00150C5E"/>
    <w:rsid w:val="00175974"/>
    <w:rsid w:val="00175A6A"/>
    <w:rsid w:val="001B1412"/>
    <w:rsid w:val="001B65CE"/>
    <w:rsid w:val="001D3502"/>
    <w:rsid w:val="00223657"/>
    <w:rsid w:val="00237FF7"/>
    <w:rsid w:val="00240E1F"/>
    <w:rsid w:val="00281852"/>
    <w:rsid w:val="002B028A"/>
    <w:rsid w:val="002D43E7"/>
    <w:rsid w:val="002D70EE"/>
    <w:rsid w:val="002E2CD2"/>
    <w:rsid w:val="003108A7"/>
    <w:rsid w:val="00313818"/>
    <w:rsid w:val="003155A1"/>
    <w:rsid w:val="003206CE"/>
    <w:rsid w:val="003331ED"/>
    <w:rsid w:val="00334D0D"/>
    <w:rsid w:val="003A12A5"/>
    <w:rsid w:val="003B0D69"/>
    <w:rsid w:val="003D3AA7"/>
    <w:rsid w:val="003F108F"/>
    <w:rsid w:val="003F77DF"/>
    <w:rsid w:val="00440D7B"/>
    <w:rsid w:val="00441241"/>
    <w:rsid w:val="00450B4F"/>
    <w:rsid w:val="00475E3D"/>
    <w:rsid w:val="00490703"/>
    <w:rsid w:val="00494FB6"/>
    <w:rsid w:val="004951F8"/>
    <w:rsid w:val="004D01F1"/>
    <w:rsid w:val="004D43F5"/>
    <w:rsid w:val="004D7BF5"/>
    <w:rsid w:val="0053527F"/>
    <w:rsid w:val="00535A84"/>
    <w:rsid w:val="005615B1"/>
    <w:rsid w:val="00565675"/>
    <w:rsid w:val="005842F1"/>
    <w:rsid w:val="005B106B"/>
    <w:rsid w:val="005B269F"/>
    <w:rsid w:val="005C3782"/>
    <w:rsid w:val="005C76A6"/>
    <w:rsid w:val="005F3BE9"/>
    <w:rsid w:val="00604CEC"/>
    <w:rsid w:val="006136C7"/>
    <w:rsid w:val="00625749"/>
    <w:rsid w:val="00630F29"/>
    <w:rsid w:val="00671E99"/>
    <w:rsid w:val="00675F5F"/>
    <w:rsid w:val="00677CC4"/>
    <w:rsid w:val="0069708A"/>
    <w:rsid w:val="006B5D19"/>
    <w:rsid w:val="006F03AC"/>
    <w:rsid w:val="006F11B1"/>
    <w:rsid w:val="00701798"/>
    <w:rsid w:val="0071468A"/>
    <w:rsid w:val="0073139A"/>
    <w:rsid w:val="00735D49"/>
    <w:rsid w:val="00744ADC"/>
    <w:rsid w:val="00776C8F"/>
    <w:rsid w:val="007808A9"/>
    <w:rsid w:val="007E0253"/>
    <w:rsid w:val="008164A5"/>
    <w:rsid w:val="00835DEF"/>
    <w:rsid w:val="00842570"/>
    <w:rsid w:val="00884F35"/>
    <w:rsid w:val="00886DC4"/>
    <w:rsid w:val="008C03A5"/>
    <w:rsid w:val="008C6D6F"/>
    <w:rsid w:val="008D0AA6"/>
    <w:rsid w:val="008F6BA6"/>
    <w:rsid w:val="009024F8"/>
    <w:rsid w:val="009035E6"/>
    <w:rsid w:val="00914395"/>
    <w:rsid w:val="009316B4"/>
    <w:rsid w:val="00931B31"/>
    <w:rsid w:val="00967DBF"/>
    <w:rsid w:val="00984DF1"/>
    <w:rsid w:val="009C2C04"/>
    <w:rsid w:val="009C35ED"/>
    <w:rsid w:val="00A25CC8"/>
    <w:rsid w:val="00A52AE3"/>
    <w:rsid w:val="00A56D01"/>
    <w:rsid w:val="00A65F3C"/>
    <w:rsid w:val="00A8046F"/>
    <w:rsid w:val="00A9119D"/>
    <w:rsid w:val="00AA4E8B"/>
    <w:rsid w:val="00AB6634"/>
    <w:rsid w:val="00AC43D4"/>
    <w:rsid w:val="00AC6C3E"/>
    <w:rsid w:val="00AE0366"/>
    <w:rsid w:val="00AE6245"/>
    <w:rsid w:val="00AF4804"/>
    <w:rsid w:val="00B03732"/>
    <w:rsid w:val="00B45F0F"/>
    <w:rsid w:val="00B75C0F"/>
    <w:rsid w:val="00B8794A"/>
    <w:rsid w:val="00BA08A0"/>
    <w:rsid w:val="00BF4AAA"/>
    <w:rsid w:val="00C067D7"/>
    <w:rsid w:val="00C37CC8"/>
    <w:rsid w:val="00C65C03"/>
    <w:rsid w:val="00C7533A"/>
    <w:rsid w:val="00C8402F"/>
    <w:rsid w:val="00C86FA6"/>
    <w:rsid w:val="00C94A67"/>
    <w:rsid w:val="00C96C2A"/>
    <w:rsid w:val="00CB650D"/>
    <w:rsid w:val="00CE2591"/>
    <w:rsid w:val="00CF49D4"/>
    <w:rsid w:val="00D147DE"/>
    <w:rsid w:val="00D17CEF"/>
    <w:rsid w:val="00D33600"/>
    <w:rsid w:val="00D670B7"/>
    <w:rsid w:val="00DD3BC2"/>
    <w:rsid w:val="00DD77AC"/>
    <w:rsid w:val="00E72601"/>
    <w:rsid w:val="00E824A1"/>
    <w:rsid w:val="00F06AD7"/>
    <w:rsid w:val="00F54D2F"/>
    <w:rsid w:val="00F77718"/>
    <w:rsid w:val="00F85216"/>
    <w:rsid w:val="00F9502E"/>
    <w:rsid w:val="00FA4412"/>
    <w:rsid w:val="00FB2088"/>
    <w:rsid w:val="00FC5862"/>
    <w:rsid w:val="00FF4B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49AD-3DC9-4ECF-AAD5-5775523E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6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675"/>
  </w:style>
  <w:style w:type="paragraph" w:styleId="Piedepgina">
    <w:name w:val="footer"/>
    <w:basedOn w:val="Normal"/>
    <w:link w:val="PiedepginaCar"/>
    <w:uiPriority w:val="99"/>
    <w:unhideWhenUsed/>
    <w:rsid w:val="005656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675"/>
  </w:style>
  <w:style w:type="table" w:styleId="Tablaconcuadrcula">
    <w:name w:val="Table Grid"/>
    <w:basedOn w:val="Tablanormal"/>
    <w:uiPriority w:val="39"/>
    <w:rsid w:val="0056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70B7"/>
    <w:rPr>
      <w:color w:val="0563C1" w:themeColor="hyperlink"/>
      <w:u w:val="single"/>
    </w:rPr>
  </w:style>
  <w:style w:type="paragraph" w:styleId="Textonotapie">
    <w:name w:val="footnote text"/>
    <w:basedOn w:val="Normal"/>
    <w:link w:val="TextonotapieCar"/>
    <w:uiPriority w:val="99"/>
    <w:semiHidden/>
    <w:unhideWhenUsed/>
    <w:rsid w:val="003331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1ED"/>
    <w:rPr>
      <w:sz w:val="20"/>
      <w:szCs w:val="20"/>
    </w:rPr>
  </w:style>
  <w:style w:type="character" w:styleId="Refdenotaalpie">
    <w:name w:val="footnote reference"/>
    <w:basedOn w:val="Fuentedeprrafopredeter"/>
    <w:uiPriority w:val="99"/>
    <w:semiHidden/>
    <w:unhideWhenUsed/>
    <w:rsid w:val="00333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cn.cl/leychile/navegar?idNorma=11540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B8B2-C0DF-439D-BC20-1342E379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1699</Words>
  <Characters>9346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Comisión.Educacion</dc:creator>
  <cp:keywords/>
  <dc:description/>
  <cp:lastModifiedBy>comision_educacion</cp:lastModifiedBy>
  <cp:revision>9</cp:revision>
  <dcterms:created xsi:type="dcterms:W3CDTF">2021-08-30T17:17:00Z</dcterms:created>
  <dcterms:modified xsi:type="dcterms:W3CDTF">2021-08-30T17:41:00Z</dcterms:modified>
</cp:coreProperties>
</file>