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28C" w:rsidRPr="00F07783" w:rsidRDefault="004724F8">
      <w:pPr>
        <w:pStyle w:val="Ttulo1"/>
        <w:rPr>
          <w:rFonts w:ascii="Arial" w:hAnsi="Arial" w:cs="Arial"/>
          <w:szCs w:val="24"/>
        </w:rPr>
      </w:pPr>
      <w:r>
        <w:rPr>
          <w:rFonts w:ascii="Arial" w:hAnsi="Arial" w:cs="Arial"/>
          <w:szCs w:val="24"/>
        </w:rPr>
        <w:t>Valparaíso</w:t>
      </w:r>
      <w:r w:rsidR="00095474">
        <w:rPr>
          <w:rFonts w:ascii="Arial" w:hAnsi="Arial" w:cs="Arial"/>
          <w:szCs w:val="24"/>
        </w:rPr>
        <w:t>, 22</w:t>
      </w:r>
      <w:r w:rsidR="007264FB" w:rsidRPr="00F07783">
        <w:rPr>
          <w:rFonts w:ascii="Arial" w:hAnsi="Arial" w:cs="Arial"/>
          <w:szCs w:val="24"/>
        </w:rPr>
        <w:t xml:space="preserve"> </w:t>
      </w:r>
      <w:r w:rsidR="0003528C" w:rsidRPr="00F07783">
        <w:rPr>
          <w:rFonts w:ascii="Arial" w:hAnsi="Arial" w:cs="Arial"/>
          <w:szCs w:val="24"/>
        </w:rPr>
        <w:t xml:space="preserve">de </w:t>
      </w:r>
      <w:r w:rsidR="00F07783" w:rsidRPr="00F07783">
        <w:rPr>
          <w:rFonts w:ascii="Arial" w:hAnsi="Arial" w:cs="Arial"/>
          <w:szCs w:val="24"/>
        </w:rPr>
        <w:t>septiembre de 2021</w:t>
      </w:r>
      <w:r w:rsidR="005541F1" w:rsidRPr="00F07783">
        <w:rPr>
          <w:rFonts w:ascii="Arial" w:hAnsi="Arial" w:cs="Arial"/>
          <w:szCs w:val="24"/>
        </w:rPr>
        <w:t>.</w:t>
      </w:r>
    </w:p>
    <w:p w:rsidR="0003528C" w:rsidRPr="00F07783" w:rsidRDefault="0003528C">
      <w:pPr>
        <w:tabs>
          <w:tab w:val="left" w:pos="3686"/>
        </w:tabs>
        <w:spacing w:line="360" w:lineRule="atLeast"/>
        <w:ind w:right="74"/>
        <w:jc w:val="both"/>
        <w:rPr>
          <w:rFonts w:ascii="Arial" w:hAnsi="Arial" w:cs="Arial"/>
          <w:sz w:val="24"/>
          <w:szCs w:val="24"/>
        </w:rPr>
      </w:pPr>
    </w:p>
    <w:p w:rsidR="0003528C" w:rsidRPr="00F07783" w:rsidRDefault="0003528C">
      <w:pPr>
        <w:tabs>
          <w:tab w:val="left" w:pos="3686"/>
        </w:tabs>
        <w:spacing w:line="360" w:lineRule="atLeast"/>
        <w:ind w:right="74"/>
        <w:jc w:val="both"/>
        <w:rPr>
          <w:rFonts w:ascii="Arial" w:hAnsi="Arial" w:cs="Arial"/>
          <w:sz w:val="24"/>
          <w:szCs w:val="24"/>
        </w:rPr>
      </w:pPr>
    </w:p>
    <w:p w:rsidR="0003528C" w:rsidRPr="00F07783" w:rsidRDefault="0003528C" w:rsidP="00F07783">
      <w:pPr>
        <w:tabs>
          <w:tab w:val="left" w:pos="851"/>
          <w:tab w:val="left" w:pos="3686"/>
        </w:tabs>
        <w:spacing w:line="360" w:lineRule="atLeast"/>
        <w:ind w:right="74"/>
        <w:jc w:val="both"/>
        <w:rPr>
          <w:rFonts w:ascii="Arial" w:hAnsi="Arial" w:cs="Arial"/>
          <w:sz w:val="24"/>
          <w:szCs w:val="24"/>
        </w:rPr>
      </w:pPr>
      <w:r w:rsidRPr="00F07783">
        <w:rPr>
          <w:rFonts w:ascii="Arial" w:hAnsi="Arial" w:cs="Arial"/>
          <w:sz w:val="24"/>
          <w:szCs w:val="24"/>
        </w:rPr>
        <w:tab/>
        <w:t xml:space="preserve">El </w:t>
      </w:r>
      <w:r w:rsidRPr="00F07783">
        <w:rPr>
          <w:rFonts w:ascii="Arial" w:hAnsi="Arial" w:cs="Arial"/>
          <w:spacing w:val="10"/>
          <w:sz w:val="24"/>
          <w:szCs w:val="24"/>
        </w:rPr>
        <w:t>Secretario de Comisiones</w:t>
      </w:r>
      <w:r w:rsidRPr="00F07783">
        <w:rPr>
          <w:rFonts w:ascii="Arial" w:hAnsi="Arial" w:cs="Arial"/>
          <w:sz w:val="24"/>
          <w:szCs w:val="24"/>
        </w:rPr>
        <w:t xml:space="preserve"> que suscribe,</w:t>
      </w:r>
      <w:r w:rsidRPr="00F07783">
        <w:rPr>
          <w:rFonts w:ascii="Arial" w:hAnsi="Arial" w:cs="Arial"/>
          <w:b/>
          <w:sz w:val="24"/>
          <w:szCs w:val="24"/>
        </w:rPr>
        <w:t xml:space="preserve"> </w:t>
      </w:r>
      <w:r w:rsidRPr="00F07783">
        <w:rPr>
          <w:rFonts w:ascii="Arial" w:hAnsi="Arial" w:cs="Arial"/>
          <w:b/>
          <w:spacing w:val="20"/>
          <w:sz w:val="24"/>
          <w:szCs w:val="24"/>
        </w:rPr>
        <w:t>CERTIFICA</w:t>
      </w:r>
      <w:r w:rsidRPr="00F07783">
        <w:rPr>
          <w:rFonts w:ascii="Arial" w:hAnsi="Arial" w:cs="Arial"/>
          <w:b/>
          <w:sz w:val="24"/>
          <w:szCs w:val="24"/>
        </w:rPr>
        <w:t>:</w:t>
      </w:r>
    </w:p>
    <w:p w:rsidR="0003528C" w:rsidRPr="00F07783" w:rsidRDefault="0003528C">
      <w:pPr>
        <w:tabs>
          <w:tab w:val="left" w:pos="3686"/>
        </w:tabs>
        <w:spacing w:line="360" w:lineRule="atLeast"/>
        <w:ind w:right="74"/>
        <w:jc w:val="both"/>
        <w:rPr>
          <w:rFonts w:ascii="Arial" w:hAnsi="Arial" w:cs="Arial"/>
          <w:sz w:val="24"/>
          <w:szCs w:val="24"/>
        </w:rPr>
      </w:pPr>
    </w:p>
    <w:p w:rsidR="00095474" w:rsidRPr="00095474" w:rsidRDefault="005541F1" w:rsidP="00095474">
      <w:pPr>
        <w:tabs>
          <w:tab w:val="left" w:pos="851"/>
          <w:tab w:val="left" w:pos="1843"/>
          <w:tab w:val="left" w:pos="3402"/>
        </w:tabs>
        <w:spacing w:line="276" w:lineRule="auto"/>
        <w:ind w:right="51" w:firstLine="851"/>
        <w:jc w:val="both"/>
        <w:rPr>
          <w:rFonts w:ascii="Arial" w:hAnsi="Arial" w:cs="Arial"/>
          <w:bCs/>
          <w:sz w:val="24"/>
          <w:szCs w:val="24"/>
        </w:rPr>
      </w:pPr>
      <w:r w:rsidRPr="00F07783">
        <w:rPr>
          <w:rFonts w:ascii="Arial" w:hAnsi="Arial" w:cs="Arial"/>
          <w:sz w:val="24"/>
          <w:szCs w:val="24"/>
        </w:rPr>
        <w:t>Que e</w:t>
      </w:r>
      <w:r w:rsidR="0003528C" w:rsidRPr="00F07783">
        <w:rPr>
          <w:rFonts w:ascii="Arial" w:hAnsi="Arial" w:cs="Arial"/>
          <w:sz w:val="24"/>
          <w:szCs w:val="24"/>
        </w:rPr>
        <w:t xml:space="preserve">l proyecto </w:t>
      </w:r>
      <w:r w:rsidR="009846C0" w:rsidRPr="00F07783">
        <w:rPr>
          <w:rFonts w:ascii="Arial" w:hAnsi="Arial" w:cs="Arial"/>
          <w:sz w:val="24"/>
          <w:szCs w:val="24"/>
        </w:rPr>
        <w:t>de</w:t>
      </w:r>
      <w:r w:rsidR="00B43C9A" w:rsidRPr="00F07783">
        <w:rPr>
          <w:rFonts w:ascii="Arial" w:hAnsi="Arial" w:cs="Arial"/>
          <w:sz w:val="24"/>
          <w:szCs w:val="24"/>
        </w:rPr>
        <w:t xml:space="preserve"> </w:t>
      </w:r>
      <w:r w:rsidR="004724F8">
        <w:rPr>
          <w:rFonts w:ascii="Arial" w:hAnsi="Arial" w:cs="Arial"/>
          <w:sz w:val="24"/>
          <w:szCs w:val="24"/>
        </w:rPr>
        <w:t>ley</w:t>
      </w:r>
      <w:r w:rsidR="00B43C9A" w:rsidRPr="00F07783">
        <w:rPr>
          <w:rFonts w:ascii="Arial" w:hAnsi="Arial" w:cs="Arial"/>
          <w:sz w:val="24"/>
          <w:szCs w:val="24"/>
        </w:rPr>
        <w:t xml:space="preserve"> </w:t>
      </w:r>
      <w:r w:rsidR="00031FFE">
        <w:rPr>
          <w:rFonts w:ascii="Arial" w:hAnsi="Arial" w:cs="Arial"/>
          <w:sz w:val="24"/>
          <w:szCs w:val="24"/>
        </w:rPr>
        <w:t xml:space="preserve">que </w:t>
      </w:r>
      <w:r w:rsidR="004724F8">
        <w:rPr>
          <w:rFonts w:ascii="Arial" w:hAnsi="Arial" w:cs="Arial"/>
          <w:sz w:val="24"/>
          <w:szCs w:val="24"/>
        </w:rPr>
        <w:t>“Modifica y Complementa la Ley N° 21.226 para reactivar y dar Continuidad al Sistema d</w:t>
      </w:r>
      <w:r w:rsidR="004724F8" w:rsidRPr="004724F8">
        <w:rPr>
          <w:rFonts w:ascii="Arial" w:hAnsi="Arial" w:cs="Arial"/>
          <w:sz w:val="24"/>
          <w:szCs w:val="24"/>
        </w:rPr>
        <w:t>e Justicia</w:t>
      </w:r>
      <w:r w:rsidR="004724F8">
        <w:rPr>
          <w:rFonts w:ascii="Arial" w:hAnsi="Arial" w:cs="Arial"/>
          <w:sz w:val="24"/>
          <w:szCs w:val="24"/>
        </w:rPr>
        <w:t>”</w:t>
      </w:r>
      <w:r w:rsidR="00031FFE">
        <w:rPr>
          <w:rFonts w:ascii="Arial" w:hAnsi="Arial" w:cs="Arial"/>
          <w:sz w:val="24"/>
          <w:szCs w:val="24"/>
        </w:rPr>
        <w:t xml:space="preserve">, </w:t>
      </w:r>
      <w:r w:rsidR="004724F8">
        <w:rPr>
          <w:rFonts w:ascii="Arial" w:hAnsi="Arial" w:cs="Arial"/>
          <w:sz w:val="24"/>
          <w:szCs w:val="24"/>
        </w:rPr>
        <w:t xml:space="preserve">boletín N° 14.590-07, </w:t>
      </w:r>
      <w:r w:rsidR="00B43C9A" w:rsidRPr="00F07783">
        <w:rPr>
          <w:rFonts w:ascii="Arial" w:hAnsi="Arial" w:cs="Arial"/>
          <w:sz w:val="24"/>
          <w:szCs w:val="24"/>
        </w:rPr>
        <w:t xml:space="preserve">originado en </w:t>
      </w:r>
      <w:r w:rsidR="004724F8">
        <w:rPr>
          <w:rFonts w:ascii="Arial" w:hAnsi="Arial" w:cs="Arial"/>
          <w:sz w:val="24"/>
          <w:szCs w:val="24"/>
        </w:rPr>
        <w:t xml:space="preserve">mensaje de S.E. el Presidente de la República, fue </w:t>
      </w:r>
      <w:r w:rsidRPr="00F07783">
        <w:rPr>
          <w:rFonts w:ascii="Arial" w:hAnsi="Arial" w:cs="Arial"/>
          <w:sz w:val="24"/>
          <w:szCs w:val="24"/>
        </w:rPr>
        <w:t>tratado en</w:t>
      </w:r>
      <w:r w:rsidR="0003528C" w:rsidRPr="00F07783">
        <w:rPr>
          <w:rFonts w:ascii="Arial" w:hAnsi="Arial" w:cs="Arial"/>
          <w:sz w:val="24"/>
          <w:szCs w:val="24"/>
        </w:rPr>
        <w:t xml:space="preserve"> esta Comisión</w:t>
      </w:r>
      <w:r w:rsidR="00F218DE">
        <w:rPr>
          <w:rFonts w:ascii="Arial" w:hAnsi="Arial" w:cs="Arial"/>
          <w:sz w:val="24"/>
          <w:szCs w:val="24"/>
        </w:rPr>
        <w:t xml:space="preserve"> de Constitución, Legislación Justicia y Reglamento</w:t>
      </w:r>
      <w:r w:rsidRPr="00F07783">
        <w:rPr>
          <w:rFonts w:ascii="Arial" w:hAnsi="Arial" w:cs="Arial"/>
          <w:sz w:val="24"/>
          <w:szCs w:val="24"/>
        </w:rPr>
        <w:t xml:space="preserve">, </w:t>
      </w:r>
      <w:r w:rsidR="00186AE7" w:rsidRPr="00F07783">
        <w:rPr>
          <w:rFonts w:ascii="Arial" w:hAnsi="Arial" w:cs="Arial"/>
          <w:sz w:val="24"/>
          <w:szCs w:val="24"/>
        </w:rPr>
        <w:t xml:space="preserve">en primer trámite constitucional y reglamentario, </w:t>
      </w:r>
      <w:r w:rsidR="005F00F0" w:rsidRPr="00F07783">
        <w:rPr>
          <w:rFonts w:ascii="Arial" w:hAnsi="Arial" w:cs="Arial"/>
          <w:sz w:val="24"/>
          <w:szCs w:val="24"/>
        </w:rPr>
        <w:t xml:space="preserve">en </w:t>
      </w:r>
      <w:r w:rsidR="004724F8">
        <w:rPr>
          <w:rFonts w:ascii="Arial" w:hAnsi="Arial" w:cs="Arial"/>
          <w:sz w:val="24"/>
          <w:szCs w:val="24"/>
        </w:rPr>
        <w:t>sesión de fecha 22</w:t>
      </w:r>
      <w:r w:rsidR="003A2E7D">
        <w:rPr>
          <w:rFonts w:ascii="Arial" w:hAnsi="Arial" w:cs="Arial"/>
          <w:sz w:val="24"/>
          <w:szCs w:val="24"/>
        </w:rPr>
        <w:t xml:space="preserve"> de </w:t>
      </w:r>
      <w:r w:rsidR="004724F8">
        <w:rPr>
          <w:rFonts w:ascii="Arial" w:hAnsi="Arial" w:cs="Arial"/>
          <w:sz w:val="24"/>
          <w:szCs w:val="24"/>
        </w:rPr>
        <w:t xml:space="preserve">septiembre de 2021, </w:t>
      </w:r>
      <w:r w:rsidR="003A2E7D">
        <w:rPr>
          <w:rFonts w:ascii="Arial" w:hAnsi="Arial" w:cs="Arial"/>
          <w:sz w:val="24"/>
          <w:szCs w:val="24"/>
        </w:rPr>
        <w:t>con la asistencia de los d</w:t>
      </w:r>
      <w:r w:rsidR="00186AE7" w:rsidRPr="00F07783">
        <w:rPr>
          <w:rFonts w:ascii="Arial" w:hAnsi="Arial" w:cs="Arial"/>
          <w:sz w:val="24"/>
          <w:szCs w:val="24"/>
        </w:rPr>
        <w:t xml:space="preserve">iputados </w:t>
      </w:r>
      <w:r w:rsidR="003A2E7D">
        <w:rPr>
          <w:rFonts w:ascii="Arial" w:hAnsi="Arial" w:cs="Arial"/>
          <w:sz w:val="24"/>
          <w:szCs w:val="24"/>
        </w:rPr>
        <w:t>(as) señores Marcos Ilaba</w:t>
      </w:r>
      <w:r w:rsidR="00095474">
        <w:rPr>
          <w:rFonts w:ascii="Arial" w:hAnsi="Arial" w:cs="Arial"/>
          <w:sz w:val="24"/>
          <w:szCs w:val="24"/>
        </w:rPr>
        <w:t xml:space="preserve">ca (Presidente de la Comisión), </w:t>
      </w:r>
      <w:r w:rsidR="00095474" w:rsidRPr="00095474">
        <w:rPr>
          <w:rFonts w:ascii="Arial" w:hAnsi="Arial" w:cs="Arial"/>
          <w:bCs/>
          <w:sz w:val="24"/>
          <w:szCs w:val="24"/>
        </w:rPr>
        <w:t>Jorge Alessandri, Karol Cariola, Juan Antonio Coloma, Luciano Cruz-Coke,  Tomás Fuentes (en reemplazo de la señora Camila Flores), Karin Luck (en reemplazo del señor Gonzalo Fuenzalida),Diego Ibáñez, Pamela Jiles, Paulina Núñez</w:t>
      </w:r>
      <w:r w:rsidR="00095474">
        <w:rPr>
          <w:rFonts w:ascii="Arial" w:hAnsi="Arial" w:cs="Arial"/>
          <w:bCs/>
          <w:sz w:val="24"/>
          <w:szCs w:val="24"/>
        </w:rPr>
        <w:t>,</w:t>
      </w:r>
      <w:r w:rsidR="00095474" w:rsidRPr="00095474">
        <w:rPr>
          <w:rFonts w:ascii="Arial" w:hAnsi="Arial" w:cs="Arial"/>
          <w:bCs/>
          <w:sz w:val="24"/>
          <w:szCs w:val="24"/>
        </w:rPr>
        <w:t xml:space="preserve"> René Saffirio</w:t>
      </w:r>
      <w:r w:rsidR="00F218DE">
        <w:rPr>
          <w:rFonts w:ascii="Arial" w:hAnsi="Arial" w:cs="Arial"/>
          <w:bCs/>
          <w:sz w:val="24"/>
          <w:szCs w:val="24"/>
        </w:rPr>
        <w:t>,</w:t>
      </w:r>
      <w:r w:rsidR="00095474" w:rsidRPr="00095474">
        <w:rPr>
          <w:rFonts w:ascii="Arial" w:hAnsi="Arial" w:cs="Arial"/>
          <w:bCs/>
          <w:sz w:val="24"/>
          <w:szCs w:val="24"/>
        </w:rPr>
        <w:t xml:space="preserve"> Leonardo Soto y Matías Walker.</w:t>
      </w:r>
      <w:r w:rsidR="00095474">
        <w:rPr>
          <w:rFonts w:ascii="Arial" w:hAnsi="Arial" w:cs="Arial"/>
          <w:bCs/>
          <w:sz w:val="24"/>
          <w:szCs w:val="24"/>
        </w:rPr>
        <w:t xml:space="preserve"> </w:t>
      </w:r>
      <w:r w:rsidR="00095474" w:rsidRPr="00095474">
        <w:rPr>
          <w:rFonts w:ascii="Arial" w:hAnsi="Arial" w:cs="Arial"/>
          <w:bCs/>
          <w:sz w:val="24"/>
          <w:szCs w:val="24"/>
        </w:rPr>
        <w:t>Asimismo, los (as) diputados (as) señores (a</w:t>
      </w:r>
      <w:r w:rsidR="00751A61">
        <w:rPr>
          <w:rFonts w:ascii="Arial" w:hAnsi="Arial" w:cs="Arial"/>
          <w:bCs/>
          <w:sz w:val="24"/>
          <w:szCs w:val="24"/>
        </w:rPr>
        <w:t>s</w:t>
      </w:r>
      <w:r w:rsidR="00095474" w:rsidRPr="00095474">
        <w:rPr>
          <w:rFonts w:ascii="Arial" w:hAnsi="Arial" w:cs="Arial"/>
          <w:bCs/>
          <w:sz w:val="24"/>
          <w:szCs w:val="24"/>
        </w:rPr>
        <w:t xml:space="preserve">) René Alinco, Karim Bianchi, Andrés Celis, Eduardo Durán, Jorge Durán, Carolina Marzán, Jaime Naranjo, Andrea Parra, Pablo Prieto, Hugo Rey, Marisela Santibáñez, Alejandra Sepúlveda, Alexis Sepúlveda, Jorge Sabag, </w:t>
      </w:r>
      <w:r w:rsidR="00095474">
        <w:rPr>
          <w:rFonts w:ascii="Arial" w:hAnsi="Arial" w:cs="Arial"/>
          <w:bCs/>
          <w:sz w:val="24"/>
          <w:szCs w:val="24"/>
        </w:rPr>
        <w:t>Raúl Soto, y Virginia Troncoso.</w:t>
      </w:r>
    </w:p>
    <w:p w:rsidR="00095474" w:rsidRPr="00095474" w:rsidRDefault="00095474" w:rsidP="00095474">
      <w:pPr>
        <w:suppressAutoHyphens/>
        <w:spacing w:line="276" w:lineRule="auto"/>
        <w:ind w:right="48" w:firstLine="851"/>
        <w:jc w:val="both"/>
        <w:rPr>
          <w:rFonts w:ascii="Arial" w:hAnsi="Arial" w:cs="Arial"/>
          <w:bCs/>
          <w:sz w:val="24"/>
          <w:szCs w:val="24"/>
          <w:highlight w:val="green"/>
        </w:rPr>
      </w:pPr>
    </w:p>
    <w:p w:rsidR="003A2E7D" w:rsidRDefault="00966E5D" w:rsidP="00F07783">
      <w:pPr>
        <w:tabs>
          <w:tab w:val="left" w:pos="851"/>
          <w:tab w:val="left" w:pos="1843"/>
          <w:tab w:val="left" w:pos="3402"/>
        </w:tabs>
        <w:spacing w:line="360" w:lineRule="atLeast"/>
        <w:ind w:right="51"/>
        <w:jc w:val="both"/>
        <w:rPr>
          <w:rFonts w:ascii="Arial" w:hAnsi="Arial" w:cs="Arial"/>
          <w:sz w:val="24"/>
          <w:szCs w:val="24"/>
        </w:rPr>
      </w:pPr>
      <w:r w:rsidRPr="00F07783">
        <w:rPr>
          <w:rFonts w:ascii="Arial" w:hAnsi="Arial" w:cs="Arial"/>
          <w:sz w:val="24"/>
          <w:szCs w:val="24"/>
        </w:rPr>
        <w:tab/>
      </w:r>
      <w:r w:rsidR="006B7A10" w:rsidRPr="00F07783">
        <w:rPr>
          <w:rFonts w:ascii="Arial" w:hAnsi="Arial" w:cs="Arial"/>
          <w:sz w:val="24"/>
          <w:szCs w:val="24"/>
        </w:rPr>
        <w:t>La idea matriz o fundame</w:t>
      </w:r>
      <w:r w:rsidR="001E28BA" w:rsidRPr="00F07783">
        <w:rPr>
          <w:rFonts w:ascii="Arial" w:hAnsi="Arial" w:cs="Arial"/>
          <w:sz w:val="24"/>
          <w:szCs w:val="24"/>
        </w:rPr>
        <w:t xml:space="preserve">ntal del proyecto consiste en </w:t>
      </w:r>
      <w:r w:rsidR="00FD55F8" w:rsidRPr="00FD55F8">
        <w:rPr>
          <w:rFonts w:ascii="Arial" w:hAnsi="Arial" w:cs="Arial"/>
          <w:sz w:val="24"/>
          <w:szCs w:val="24"/>
        </w:rPr>
        <w:t xml:space="preserve">dar continuidad al servicio de justicia, extendiendo por </w:t>
      </w:r>
      <w:r w:rsidR="00FD55F8">
        <w:rPr>
          <w:rFonts w:ascii="Arial" w:hAnsi="Arial" w:cs="Arial"/>
          <w:sz w:val="24"/>
          <w:szCs w:val="24"/>
        </w:rPr>
        <w:t>el</w:t>
      </w:r>
      <w:r w:rsidR="00FD55F8" w:rsidRPr="00FD55F8">
        <w:rPr>
          <w:rFonts w:ascii="Arial" w:hAnsi="Arial" w:cs="Arial"/>
          <w:sz w:val="24"/>
          <w:szCs w:val="24"/>
        </w:rPr>
        <w:t xml:space="preserve"> plazo</w:t>
      </w:r>
      <w:r w:rsidR="00FD55F8">
        <w:rPr>
          <w:rFonts w:ascii="Arial" w:hAnsi="Arial" w:cs="Arial"/>
          <w:sz w:val="24"/>
          <w:szCs w:val="24"/>
        </w:rPr>
        <w:t xml:space="preserve"> que indica</w:t>
      </w:r>
      <w:r w:rsidR="00FD55F8" w:rsidRPr="00FD55F8">
        <w:rPr>
          <w:rFonts w:ascii="Arial" w:hAnsi="Arial" w:cs="Arial"/>
          <w:sz w:val="24"/>
          <w:szCs w:val="24"/>
        </w:rPr>
        <w:t>, el régimen jurídico establecido por la ley Nº 21.226, para los procesos ante tribunales, en las audiencias y actuaciones judiciales, y para los plazos y ej</w:t>
      </w:r>
      <w:r w:rsidR="00FD55F8">
        <w:rPr>
          <w:rFonts w:ascii="Arial" w:hAnsi="Arial" w:cs="Arial"/>
          <w:sz w:val="24"/>
          <w:szCs w:val="24"/>
        </w:rPr>
        <w:t>ercicio de acciones que indica.</w:t>
      </w:r>
    </w:p>
    <w:p w:rsidR="00FD55F8" w:rsidRDefault="00FD55F8" w:rsidP="00F07783">
      <w:pPr>
        <w:tabs>
          <w:tab w:val="left" w:pos="851"/>
          <w:tab w:val="left" w:pos="1843"/>
          <w:tab w:val="left" w:pos="3402"/>
        </w:tabs>
        <w:spacing w:line="360" w:lineRule="atLeast"/>
        <w:ind w:right="51"/>
        <w:jc w:val="both"/>
        <w:rPr>
          <w:rFonts w:ascii="Arial" w:hAnsi="Arial" w:cs="Arial"/>
          <w:sz w:val="24"/>
          <w:szCs w:val="24"/>
        </w:rPr>
      </w:pPr>
    </w:p>
    <w:p w:rsidR="006B7A10" w:rsidRPr="00F07783" w:rsidRDefault="006B7A10" w:rsidP="00F07783">
      <w:pPr>
        <w:tabs>
          <w:tab w:val="left" w:pos="851"/>
          <w:tab w:val="left" w:pos="1843"/>
          <w:tab w:val="left" w:pos="3402"/>
        </w:tabs>
        <w:spacing w:line="360" w:lineRule="atLeast"/>
        <w:ind w:right="51"/>
        <w:jc w:val="both"/>
        <w:rPr>
          <w:rFonts w:ascii="Arial" w:hAnsi="Arial" w:cs="Arial"/>
          <w:sz w:val="24"/>
          <w:szCs w:val="24"/>
        </w:rPr>
      </w:pPr>
      <w:r w:rsidRPr="00F07783">
        <w:rPr>
          <w:rFonts w:ascii="Arial" w:hAnsi="Arial" w:cs="Arial"/>
          <w:sz w:val="24"/>
          <w:szCs w:val="24"/>
        </w:rPr>
        <w:tab/>
      </w:r>
      <w:r w:rsidRPr="00B33930">
        <w:rPr>
          <w:rFonts w:ascii="Arial" w:hAnsi="Arial" w:cs="Arial"/>
          <w:sz w:val="24"/>
          <w:szCs w:val="24"/>
        </w:rPr>
        <w:t xml:space="preserve">De conformidad a lo establecido en el Nº 4 </w:t>
      </w:r>
      <w:r w:rsidR="00F218DE">
        <w:rPr>
          <w:rFonts w:ascii="Arial" w:hAnsi="Arial" w:cs="Arial"/>
          <w:sz w:val="24"/>
          <w:szCs w:val="24"/>
        </w:rPr>
        <w:t xml:space="preserve">del </w:t>
      </w:r>
      <w:r w:rsidRPr="00B33930">
        <w:rPr>
          <w:rFonts w:ascii="Arial" w:hAnsi="Arial" w:cs="Arial"/>
          <w:sz w:val="24"/>
          <w:szCs w:val="24"/>
        </w:rPr>
        <w:t>artículo 302 del Reglamento de la Corporación, la Comisión deja constancia que el proyecto no requiere ser conocido por la Comisión de Hacienda.</w:t>
      </w:r>
      <w:r w:rsidRPr="00F07783">
        <w:rPr>
          <w:rFonts w:ascii="Arial" w:hAnsi="Arial" w:cs="Arial"/>
          <w:sz w:val="24"/>
          <w:szCs w:val="24"/>
        </w:rPr>
        <w:t xml:space="preserve"> </w:t>
      </w:r>
    </w:p>
    <w:p w:rsidR="00F61ABD" w:rsidRPr="00F07783" w:rsidRDefault="00F61ABD" w:rsidP="00F07783">
      <w:pPr>
        <w:tabs>
          <w:tab w:val="left" w:pos="851"/>
          <w:tab w:val="left" w:pos="1843"/>
          <w:tab w:val="left" w:pos="3402"/>
        </w:tabs>
        <w:spacing w:line="360" w:lineRule="atLeast"/>
        <w:ind w:right="51"/>
        <w:jc w:val="both"/>
        <w:rPr>
          <w:rFonts w:ascii="Arial" w:hAnsi="Arial" w:cs="Arial"/>
          <w:sz w:val="24"/>
          <w:szCs w:val="24"/>
        </w:rPr>
      </w:pPr>
    </w:p>
    <w:p w:rsidR="00633529" w:rsidRDefault="00CA4D29" w:rsidP="00F07783">
      <w:pPr>
        <w:tabs>
          <w:tab w:val="left" w:pos="851"/>
          <w:tab w:val="left" w:pos="1843"/>
          <w:tab w:val="left" w:pos="3402"/>
        </w:tabs>
        <w:spacing w:line="360" w:lineRule="atLeast"/>
        <w:ind w:right="51"/>
        <w:jc w:val="both"/>
        <w:rPr>
          <w:rFonts w:ascii="Arial" w:hAnsi="Arial" w:cs="Arial"/>
          <w:sz w:val="24"/>
          <w:szCs w:val="24"/>
        </w:rPr>
      </w:pPr>
      <w:r w:rsidRPr="00F07783">
        <w:rPr>
          <w:rFonts w:ascii="Arial" w:hAnsi="Arial" w:cs="Arial"/>
          <w:sz w:val="24"/>
          <w:szCs w:val="24"/>
        </w:rPr>
        <w:tab/>
      </w:r>
      <w:r w:rsidR="00633529" w:rsidRPr="00F07783">
        <w:rPr>
          <w:rFonts w:ascii="Arial" w:hAnsi="Arial" w:cs="Arial"/>
          <w:sz w:val="24"/>
          <w:szCs w:val="24"/>
        </w:rPr>
        <w:t>Asisti</w:t>
      </w:r>
      <w:r w:rsidR="00CA34D2" w:rsidRPr="00F07783">
        <w:rPr>
          <w:rFonts w:ascii="Arial" w:hAnsi="Arial" w:cs="Arial"/>
          <w:sz w:val="24"/>
          <w:szCs w:val="24"/>
        </w:rPr>
        <w:t>eron</w:t>
      </w:r>
      <w:r w:rsidR="004178C8" w:rsidRPr="00F07783">
        <w:rPr>
          <w:rFonts w:ascii="Arial" w:hAnsi="Arial" w:cs="Arial"/>
          <w:sz w:val="24"/>
          <w:szCs w:val="24"/>
        </w:rPr>
        <w:t xml:space="preserve"> </w:t>
      </w:r>
      <w:r w:rsidR="00633529" w:rsidRPr="00F07783">
        <w:rPr>
          <w:rFonts w:ascii="Arial" w:hAnsi="Arial" w:cs="Arial"/>
          <w:sz w:val="24"/>
          <w:szCs w:val="24"/>
        </w:rPr>
        <w:t>a la</w:t>
      </w:r>
      <w:r w:rsidR="0070544F" w:rsidRPr="00F07783">
        <w:rPr>
          <w:rFonts w:ascii="Arial" w:hAnsi="Arial" w:cs="Arial"/>
          <w:sz w:val="24"/>
          <w:szCs w:val="24"/>
        </w:rPr>
        <w:t xml:space="preserve"> Comisión durante el estudio de la inici</w:t>
      </w:r>
      <w:r w:rsidR="005F5458" w:rsidRPr="00F07783">
        <w:rPr>
          <w:rFonts w:ascii="Arial" w:hAnsi="Arial" w:cs="Arial"/>
          <w:sz w:val="24"/>
          <w:szCs w:val="24"/>
        </w:rPr>
        <w:t>a</w:t>
      </w:r>
      <w:r w:rsidR="0070544F" w:rsidRPr="00F07783">
        <w:rPr>
          <w:rFonts w:ascii="Arial" w:hAnsi="Arial" w:cs="Arial"/>
          <w:sz w:val="24"/>
          <w:szCs w:val="24"/>
        </w:rPr>
        <w:t xml:space="preserve">tiva </w:t>
      </w:r>
      <w:r w:rsidR="003A2E7D">
        <w:rPr>
          <w:rFonts w:ascii="Arial" w:hAnsi="Arial" w:cs="Arial"/>
          <w:sz w:val="24"/>
          <w:szCs w:val="24"/>
        </w:rPr>
        <w:t>las siguientes personas y entidades:</w:t>
      </w:r>
      <w:r w:rsidR="00B33930">
        <w:rPr>
          <w:rFonts w:ascii="Arial" w:hAnsi="Arial" w:cs="Arial"/>
          <w:sz w:val="24"/>
          <w:szCs w:val="24"/>
        </w:rPr>
        <w:t xml:space="preserve"> </w:t>
      </w:r>
      <w:r w:rsidR="00095474">
        <w:rPr>
          <w:rFonts w:ascii="Arial" w:hAnsi="Arial" w:cs="Arial"/>
          <w:sz w:val="24"/>
          <w:szCs w:val="24"/>
        </w:rPr>
        <w:t>el M</w:t>
      </w:r>
      <w:r w:rsidR="00095474" w:rsidRPr="00095474">
        <w:rPr>
          <w:rFonts w:ascii="Arial" w:hAnsi="Arial" w:cs="Arial"/>
          <w:sz w:val="24"/>
          <w:szCs w:val="24"/>
        </w:rPr>
        <w:t xml:space="preserve">inistro de Justicia y Derechos Humanos, señor Hernán Larraín; </w:t>
      </w:r>
      <w:r w:rsidR="001D6DE8">
        <w:rPr>
          <w:rFonts w:ascii="Arial" w:hAnsi="Arial" w:cs="Arial"/>
          <w:sz w:val="24"/>
          <w:szCs w:val="24"/>
        </w:rPr>
        <w:t>e</w:t>
      </w:r>
      <w:r w:rsidR="00095474">
        <w:rPr>
          <w:rFonts w:ascii="Arial" w:hAnsi="Arial" w:cs="Arial"/>
          <w:sz w:val="24"/>
          <w:szCs w:val="24"/>
        </w:rPr>
        <w:t xml:space="preserve">l Ministro Secretario General de la Presidencia, señor Juan José Ossa; </w:t>
      </w:r>
      <w:r w:rsidR="00095474" w:rsidRPr="00095474">
        <w:rPr>
          <w:rFonts w:ascii="Arial" w:hAnsi="Arial" w:cs="Arial"/>
          <w:sz w:val="24"/>
          <w:szCs w:val="24"/>
        </w:rPr>
        <w:t>el subsecretario de Justicia</w:t>
      </w:r>
      <w:r w:rsidR="00095474">
        <w:rPr>
          <w:rFonts w:ascii="Arial" w:hAnsi="Arial" w:cs="Arial"/>
          <w:sz w:val="24"/>
          <w:szCs w:val="24"/>
        </w:rPr>
        <w:t>, señor Sebastián Valenzuela; la J</w:t>
      </w:r>
      <w:r w:rsidR="00095474" w:rsidRPr="00095474">
        <w:rPr>
          <w:rFonts w:ascii="Arial" w:hAnsi="Arial" w:cs="Arial"/>
          <w:sz w:val="24"/>
          <w:szCs w:val="24"/>
        </w:rPr>
        <w:t xml:space="preserve">efa de la División Jurídica, </w:t>
      </w:r>
      <w:r w:rsidR="00095474">
        <w:rPr>
          <w:rFonts w:ascii="Arial" w:hAnsi="Arial" w:cs="Arial"/>
          <w:sz w:val="24"/>
          <w:szCs w:val="24"/>
        </w:rPr>
        <w:t>señora Mónica Naranjo</w:t>
      </w:r>
      <w:r w:rsidR="00095474" w:rsidRPr="00095474">
        <w:rPr>
          <w:rFonts w:ascii="Arial" w:hAnsi="Arial" w:cs="Arial"/>
          <w:sz w:val="24"/>
          <w:szCs w:val="24"/>
        </w:rPr>
        <w:t xml:space="preserve"> y el </w:t>
      </w:r>
      <w:r w:rsidR="00095474">
        <w:rPr>
          <w:rFonts w:ascii="Arial" w:hAnsi="Arial" w:cs="Arial"/>
          <w:sz w:val="24"/>
          <w:szCs w:val="24"/>
        </w:rPr>
        <w:t>J</w:t>
      </w:r>
      <w:r w:rsidR="00095474" w:rsidRPr="00095474">
        <w:rPr>
          <w:rFonts w:ascii="Arial" w:hAnsi="Arial" w:cs="Arial"/>
          <w:sz w:val="24"/>
          <w:szCs w:val="24"/>
        </w:rPr>
        <w:t>efe del Departamento de Asesorías y Estudios</w:t>
      </w:r>
      <w:r w:rsidR="00095474">
        <w:rPr>
          <w:rFonts w:ascii="Arial" w:hAnsi="Arial" w:cs="Arial"/>
          <w:sz w:val="24"/>
          <w:szCs w:val="24"/>
        </w:rPr>
        <w:t>, señor Milton Espinoza</w:t>
      </w:r>
      <w:r w:rsidR="00095474" w:rsidRPr="00095474">
        <w:rPr>
          <w:rFonts w:ascii="Arial" w:hAnsi="Arial" w:cs="Arial"/>
          <w:sz w:val="24"/>
          <w:szCs w:val="24"/>
        </w:rPr>
        <w:t>.</w:t>
      </w:r>
    </w:p>
    <w:p w:rsidR="00E4471D" w:rsidRPr="00F07783" w:rsidRDefault="00E4471D" w:rsidP="00184BE3">
      <w:pPr>
        <w:tabs>
          <w:tab w:val="left" w:pos="1843"/>
          <w:tab w:val="left" w:pos="3402"/>
        </w:tabs>
        <w:spacing w:line="360" w:lineRule="atLeast"/>
        <w:ind w:right="51"/>
        <w:jc w:val="both"/>
        <w:rPr>
          <w:rFonts w:ascii="Arial" w:hAnsi="Arial" w:cs="Arial"/>
          <w:sz w:val="24"/>
          <w:szCs w:val="24"/>
        </w:rPr>
      </w:pPr>
    </w:p>
    <w:p w:rsidR="00184BE3" w:rsidRPr="00F07783" w:rsidRDefault="00F7156C" w:rsidP="00F07783">
      <w:pPr>
        <w:tabs>
          <w:tab w:val="left" w:pos="851"/>
          <w:tab w:val="left" w:pos="1843"/>
          <w:tab w:val="left" w:pos="3686"/>
        </w:tabs>
        <w:spacing w:line="360" w:lineRule="atLeast"/>
        <w:ind w:right="74" w:firstLine="851"/>
        <w:jc w:val="both"/>
        <w:rPr>
          <w:rFonts w:ascii="Arial" w:hAnsi="Arial" w:cs="Arial"/>
          <w:sz w:val="24"/>
          <w:szCs w:val="24"/>
        </w:rPr>
      </w:pPr>
      <w:r w:rsidRPr="00F07783">
        <w:rPr>
          <w:rFonts w:ascii="Arial" w:hAnsi="Arial" w:cs="Arial"/>
          <w:sz w:val="24"/>
          <w:szCs w:val="24"/>
        </w:rPr>
        <w:lastRenderedPageBreak/>
        <w:t xml:space="preserve">    Se h</w:t>
      </w:r>
      <w:r w:rsidR="002618B9" w:rsidRPr="00F07783">
        <w:rPr>
          <w:rFonts w:ascii="Arial" w:hAnsi="Arial" w:cs="Arial"/>
          <w:sz w:val="24"/>
          <w:szCs w:val="24"/>
        </w:rPr>
        <w:t xml:space="preserve">ace presente que el </w:t>
      </w:r>
      <w:r w:rsidR="00FD55F8">
        <w:rPr>
          <w:rFonts w:ascii="Arial" w:hAnsi="Arial" w:cs="Arial"/>
          <w:sz w:val="24"/>
          <w:szCs w:val="24"/>
        </w:rPr>
        <w:t>proyecto de ley requiere para su aprobación el quórum</w:t>
      </w:r>
      <w:r w:rsidR="00FD55F8" w:rsidRPr="00FD55F8">
        <w:rPr>
          <w:rFonts w:ascii="Arial" w:hAnsi="Arial" w:cs="Arial"/>
          <w:sz w:val="24"/>
          <w:szCs w:val="24"/>
        </w:rPr>
        <w:t xml:space="preserve"> dispuesto en el inciso segundo del artículo 66 de la Constitución Política de la República</w:t>
      </w:r>
    </w:p>
    <w:p w:rsidR="005600B8" w:rsidRPr="00F07783" w:rsidRDefault="005600B8" w:rsidP="00F07783">
      <w:pPr>
        <w:tabs>
          <w:tab w:val="left" w:pos="851"/>
          <w:tab w:val="left" w:pos="3686"/>
        </w:tabs>
        <w:spacing w:line="360" w:lineRule="atLeast"/>
        <w:ind w:right="74" w:firstLine="851"/>
        <w:jc w:val="both"/>
        <w:rPr>
          <w:rFonts w:ascii="Arial" w:hAnsi="Arial" w:cs="Arial"/>
          <w:b/>
          <w:sz w:val="24"/>
          <w:szCs w:val="24"/>
        </w:rPr>
      </w:pPr>
    </w:p>
    <w:p w:rsidR="0015147E" w:rsidRPr="00F07783" w:rsidRDefault="00AF7665" w:rsidP="00F07783">
      <w:pPr>
        <w:tabs>
          <w:tab w:val="left" w:pos="851"/>
          <w:tab w:val="left" w:pos="3686"/>
        </w:tabs>
        <w:spacing w:line="360" w:lineRule="atLeast"/>
        <w:ind w:right="74" w:firstLine="851"/>
        <w:jc w:val="both"/>
        <w:rPr>
          <w:rFonts w:ascii="Arial" w:hAnsi="Arial" w:cs="Arial"/>
          <w:b/>
          <w:sz w:val="24"/>
          <w:szCs w:val="24"/>
        </w:rPr>
      </w:pPr>
      <w:r w:rsidRPr="00F07783">
        <w:rPr>
          <w:rFonts w:ascii="Arial" w:hAnsi="Arial" w:cs="Arial"/>
          <w:b/>
          <w:sz w:val="24"/>
          <w:szCs w:val="24"/>
        </w:rPr>
        <w:t>IN</w:t>
      </w:r>
      <w:r w:rsidR="006133BD">
        <w:rPr>
          <w:rFonts w:ascii="Arial" w:hAnsi="Arial" w:cs="Arial"/>
          <w:b/>
          <w:sz w:val="24"/>
          <w:szCs w:val="24"/>
        </w:rPr>
        <w:t>DICACIONES Y ARTÍCULOS RECHAZADOS E  INDICACIONES</w:t>
      </w:r>
      <w:r w:rsidR="006133BD" w:rsidRPr="00F07783">
        <w:rPr>
          <w:rFonts w:ascii="Arial" w:hAnsi="Arial" w:cs="Arial"/>
          <w:b/>
          <w:sz w:val="24"/>
          <w:szCs w:val="24"/>
        </w:rPr>
        <w:t xml:space="preserve"> </w:t>
      </w:r>
      <w:r w:rsidRPr="00F07783">
        <w:rPr>
          <w:rFonts w:ascii="Arial" w:hAnsi="Arial" w:cs="Arial"/>
          <w:b/>
          <w:sz w:val="24"/>
          <w:szCs w:val="24"/>
        </w:rPr>
        <w:t>DECLARADAS INADMISIBLES:</w:t>
      </w:r>
    </w:p>
    <w:p w:rsidR="00AC3ABC" w:rsidRDefault="00AC3ABC" w:rsidP="00AC3ABC">
      <w:pPr>
        <w:spacing w:line="276" w:lineRule="auto"/>
        <w:ind w:firstLine="851"/>
        <w:jc w:val="both"/>
        <w:rPr>
          <w:rFonts w:ascii="Arial" w:hAnsi="Arial" w:cs="Arial"/>
          <w:sz w:val="24"/>
          <w:szCs w:val="24"/>
        </w:rPr>
      </w:pPr>
    </w:p>
    <w:p w:rsidR="001D6DE8" w:rsidRPr="00F07783" w:rsidRDefault="001D6DE8" w:rsidP="00AC3ABC">
      <w:pPr>
        <w:spacing w:line="276" w:lineRule="auto"/>
        <w:ind w:firstLine="851"/>
        <w:jc w:val="both"/>
        <w:rPr>
          <w:rFonts w:ascii="Arial" w:hAnsi="Arial" w:cs="Arial"/>
          <w:sz w:val="24"/>
          <w:szCs w:val="24"/>
        </w:rPr>
      </w:pPr>
      <w:r>
        <w:rPr>
          <w:rFonts w:ascii="Arial" w:hAnsi="Arial" w:cs="Arial"/>
          <w:sz w:val="24"/>
          <w:szCs w:val="24"/>
        </w:rPr>
        <w:t>No hay</w:t>
      </w:r>
    </w:p>
    <w:p w:rsidR="00DC59F8" w:rsidRPr="00F07783" w:rsidRDefault="00DC59F8" w:rsidP="005600B8">
      <w:pPr>
        <w:tabs>
          <w:tab w:val="left" w:pos="1985"/>
          <w:tab w:val="left" w:pos="3402"/>
        </w:tabs>
        <w:spacing w:line="360" w:lineRule="atLeast"/>
        <w:ind w:right="51"/>
        <w:jc w:val="both"/>
        <w:rPr>
          <w:rFonts w:ascii="Arial" w:hAnsi="Arial" w:cs="Arial"/>
          <w:b/>
          <w:sz w:val="24"/>
          <w:szCs w:val="24"/>
        </w:rPr>
      </w:pPr>
    </w:p>
    <w:p w:rsidR="00184BE3" w:rsidRPr="00F07783" w:rsidRDefault="00184BE3" w:rsidP="002E49F6">
      <w:pPr>
        <w:tabs>
          <w:tab w:val="left" w:pos="3402"/>
        </w:tabs>
        <w:spacing w:line="360" w:lineRule="atLeast"/>
        <w:ind w:right="51" w:firstLine="1843"/>
        <w:jc w:val="both"/>
        <w:rPr>
          <w:rFonts w:ascii="Arial" w:hAnsi="Arial" w:cs="Arial"/>
          <w:b/>
          <w:sz w:val="24"/>
          <w:szCs w:val="24"/>
        </w:rPr>
      </w:pPr>
    </w:p>
    <w:p w:rsidR="00184BE3" w:rsidRPr="00F07783" w:rsidRDefault="00184BE3" w:rsidP="002E49F6">
      <w:pPr>
        <w:tabs>
          <w:tab w:val="left" w:pos="3402"/>
        </w:tabs>
        <w:spacing w:line="360" w:lineRule="atLeast"/>
        <w:ind w:right="51" w:firstLine="1843"/>
        <w:jc w:val="both"/>
        <w:rPr>
          <w:rFonts w:ascii="Arial" w:hAnsi="Arial" w:cs="Arial"/>
          <w:b/>
          <w:sz w:val="24"/>
          <w:szCs w:val="24"/>
        </w:rPr>
      </w:pPr>
    </w:p>
    <w:p w:rsidR="00DC59F8" w:rsidRPr="00F07783" w:rsidRDefault="004369C9" w:rsidP="002E49F6">
      <w:pPr>
        <w:tabs>
          <w:tab w:val="left" w:pos="3402"/>
        </w:tabs>
        <w:spacing w:line="360" w:lineRule="atLeast"/>
        <w:ind w:right="51" w:firstLine="1843"/>
        <w:jc w:val="both"/>
        <w:rPr>
          <w:rFonts w:ascii="Arial" w:hAnsi="Arial" w:cs="Arial"/>
          <w:b/>
          <w:sz w:val="24"/>
          <w:szCs w:val="24"/>
        </w:rPr>
      </w:pPr>
      <w:r w:rsidRPr="00F07783">
        <w:rPr>
          <w:rFonts w:ascii="Arial" w:hAnsi="Arial" w:cs="Arial"/>
          <w:b/>
          <w:sz w:val="24"/>
          <w:szCs w:val="24"/>
        </w:rPr>
        <w:t>VOTACIÓN EN GENERAL</w:t>
      </w:r>
    </w:p>
    <w:p w:rsidR="004369C9" w:rsidRPr="00F07783" w:rsidRDefault="004369C9" w:rsidP="002E49F6">
      <w:pPr>
        <w:tabs>
          <w:tab w:val="left" w:pos="3402"/>
        </w:tabs>
        <w:spacing w:line="360" w:lineRule="atLeast"/>
        <w:ind w:right="51" w:firstLine="1843"/>
        <w:jc w:val="both"/>
        <w:rPr>
          <w:rFonts w:ascii="Arial" w:hAnsi="Arial" w:cs="Arial"/>
          <w:b/>
          <w:sz w:val="24"/>
          <w:szCs w:val="24"/>
        </w:rPr>
      </w:pPr>
    </w:p>
    <w:p w:rsidR="005600B8" w:rsidRPr="00F07783" w:rsidRDefault="004369C9" w:rsidP="00F07783">
      <w:pPr>
        <w:tabs>
          <w:tab w:val="left" w:pos="851"/>
          <w:tab w:val="left" w:pos="3402"/>
        </w:tabs>
        <w:spacing w:line="360" w:lineRule="atLeast"/>
        <w:ind w:right="51" w:firstLine="851"/>
        <w:jc w:val="both"/>
        <w:rPr>
          <w:rFonts w:ascii="Arial" w:hAnsi="Arial" w:cs="Arial"/>
          <w:sz w:val="24"/>
          <w:szCs w:val="24"/>
        </w:rPr>
      </w:pPr>
      <w:r w:rsidRPr="00F07783">
        <w:rPr>
          <w:rFonts w:ascii="Arial" w:hAnsi="Arial" w:cs="Arial"/>
          <w:sz w:val="24"/>
          <w:szCs w:val="24"/>
        </w:rPr>
        <w:t xml:space="preserve">Puesto en votación general el proyecto, </w:t>
      </w:r>
      <w:r w:rsidR="001D6DE8">
        <w:rPr>
          <w:rFonts w:ascii="Arial" w:hAnsi="Arial" w:cs="Arial"/>
          <w:sz w:val="24"/>
          <w:szCs w:val="24"/>
        </w:rPr>
        <w:t>fue</w:t>
      </w:r>
      <w:r w:rsidR="001D6DE8" w:rsidRPr="001D6DE8">
        <w:rPr>
          <w:rFonts w:ascii="Arial" w:hAnsi="Arial" w:cs="Arial"/>
          <w:sz w:val="24"/>
          <w:szCs w:val="24"/>
        </w:rPr>
        <w:t xml:space="preserve"> aprobado por la unanimidad de los presentes, diputados (as</w:t>
      </w:r>
      <w:r w:rsidR="001D6DE8">
        <w:rPr>
          <w:rFonts w:ascii="Arial" w:hAnsi="Arial" w:cs="Arial"/>
          <w:sz w:val="24"/>
          <w:szCs w:val="24"/>
        </w:rPr>
        <w:t>) señores (as) Marcos Ilabaca (P</w:t>
      </w:r>
      <w:r w:rsidR="001D6DE8" w:rsidRPr="001D6DE8">
        <w:rPr>
          <w:rFonts w:ascii="Arial" w:hAnsi="Arial" w:cs="Arial"/>
          <w:sz w:val="24"/>
          <w:szCs w:val="24"/>
        </w:rPr>
        <w:t>residente</w:t>
      </w:r>
      <w:r w:rsidR="001D6DE8">
        <w:rPr>
          <w:rFonts w:ascii="Arial" w:hAnsi="Arial" w:cs="Arial"/>
          <w:sz w:val="24"/>
          <w:szCs w:val="24"/>
        </w:rPr>
        <w:t xml:space="preserve"> de la </w:t>
      </w:r>
      <w:r w:rsidR="00334DA9">
        <w:rPr>
          <w:rFonts w:ascii="Arial" w:hAnsi="Arial" w:cs="Arial"/>
          <w:sz w:val="24"/>
          <w:szCs w:val="24"/>
        </w:rPr>
        <w:t>Comisión)</w:t>
      </w:r>
      <w:r w:rsidR="001D6DE8" w:rsidRPr="001D6DE8">
        <w:rPr>
          <w:rFonts w:ascii="Arial" w:hAnsi="Arial" w:cs="Arial"/>
          <w:sz w:val="24"/>
          <w:szCs w:val="24"/>
        </w:rPr>
        <w:t>; Jorge Alessandri; Karol Cariola; Juan Antonio Coloma; Luciano Cruz-Coke; Tomás Fuentes (por la señora Camila Flores); Karin Luck (por el señor Gonzalo Fuenzalida); Diego Ibáñez; Pamela Jiles; Paulina Núñez; René Saffirio; Leonardo Soto, y Matías Walker. (13-0-0).</w:t>
      </w:r>
    </w:p>
    <w:p w:rsidR="004D0889" w:rsidRDefault="004D0889" w:rsidP="004369C9">
      <w:pPr>
        <w:tabs>
          <w:tab w:val="left" w:pos="3402"/>
        </w:tabs>
        <w:spacing w:line="360" w:lineRule="atLeast"/>
        <w:ind w:right="51" w:firstLine="1843"/>
        <w:jc w:val="both"/>
        <w:rPr>
          <w:rFonts w:ascii="Arial" w:hAnsi="Arial" w:cs="Arial"/>
          <w:b/>
          <w:sz w:val="24"/>
          <w:szCs w:val="24"/>
        </w:rPr>
      </w:pPr>
    </w:p>
    <w:p w:rsidR="004D0889" w:rsidRDefault="004D0889" w:rsidP="004369C9">
      <w:pPr>
        <w:tabs>
          <w:tab w:val="left" w:pos="3402"/>
        </w:tabs>
        <w:spacing w:line="360" w:lineRule="atLeast"/>
        <w:ind w:right="51" w:firstLine="1843"/>
        <w:jc w:val="both"/>
        <w:rPr>
          <w:rFonts w:ascii="Arial" w:hAnsi="Arial" w:cs="Arial"/>
          <w:b/>
          <w:sz w:val="24"/>
          <w:szCs w:val="24"/>
        </w:rPr>
      </w:pPr>
    </w:p>
    <w:p w:rsidR="004369C9" w:rsidRPr="00F07783" w:rsidRDefault="004369C9" w:rsidP="004369C9">
      <w:pPr>
        <w:tabs>
          <w:tab w:val="left" w:pos="3402"/>
        </w:tabs>
        <w:spacing w:line="360" w:lineRule="atLeast"/>
        <w:ind w:right="51" w:firstLine="1843"/>
        <w:jc w:val="both"/>
        <w:rPr>
          <w:rFonts w:ascii="Arial" w:hAnsi="Arial" w:cs="Arial"/>
          <w:b/>
          <w:sz w:val="24"/>
          <w:szCs w:val="24"/>
        </w:rPr>
      </w:pPr>
      <w:r w:rsidRPr="00F07783">
        <w:rPr>
          <w:rFonts w:ascii="Arial" w:hAnsi="Arial" w:cs="Arial"/>
          <w:b/>
          <w:sz w:val="24"/>
          <w:szCs w:val="24"/>
        </w:rPr>
        <w:t>VOTACIÓN EN PARTICULAR</w:t>
      </w:r>
    </w:p>
    <w:p w:rsidR="00AC3ABC" w:rsidRPr="00F07783" w:rsidRDefault="00AC3ABC" w:rsidP="00AC3ABC">
      <w:pPr>
        <w:spacing w:line="276" w:lineRule="auto"/>
        <w:ind w:firstLine="851"/>
        <w:jc w:val="both"/>
        <w:rPr>
          <w:rFonts w:ascii="Arial" w:hAnsi="Arial" w:cs="Arial"/>
          <w:b/>
          <w:sz w:val="24"/>
          <w:szCs w:val="24"/>
        </w:rPr>
      </w:pPr>
    </w:p>
    <w:p w:rsidR="005F5CE5" w:rsidRDefault="005F5CE5" w:rsidP="005F5CE5">
      <w:pPr>
        <w:spacing w:line="276" w:lineRule="auto"/>
        <w:ind w:firstLine="851"/>
        <w:jc w:val="both"/>
        <w:rPr>
          <w:rFonts w:ascii="Arial" w:hAnsi="Arial" w:cs="Arial"/>
          <w:b/>
          <w:sz w:val="24"/>
          <w:szCs w:val="24"/>
        </w:rPr>
      </w:pPr>
      <w:r w:rsidRPr="005F5CE5">
        <w:rPr>
          <w:rFonts w:ascii="Arial" w:hAnsi="Arial" w:cs="Arial"/>
          <w:b/>
          <w:sz w:val="24"/>
          <w:szCs w:val="24"/>
        </w:rPr>
        <w:t xml:space="preserve">- Indicación del diputado </w:t>
      </w:r>
      <w:r>
        <w:rPr>
          <w:rFonts w:ascii="Arial" w:hAnsi="Arial" w:cs="Arial"/>
          <w:b/>
          <w:sz w:val="24"/>
          <w:szCs w:val="24"/>
        </w:rPr>
        <w:t xml:space="preserve">señor </w:t>
      </w:r>
      <w:r w:rsidRPr="005F5CE5">
        <w:rPr>
          <w:rFonts w:ascii="Arial" w:hAnsi="Arial" w:cs="Arial"/>
          <w:b/>
          <w:sz w:val="24"/>
          <w:szCs w:val="24"/>
        </w:rPr>
        <w:t xml:space="preserve">Ilabaca, al </w:t>
      </w:r>
      <w:r>
        <w:rPr>
          <w:rFonts w:ascii="Arial" w:hAnsi="Arial" w:cs="Arial"/>
          <w:b/>
          <w:sz w:val="24"/>
          <w:szCs w:val="24"/>
        </w:rPr>
        <w:t xml:space="preserve">artículo  único, numeral 4), al </w:t>
      </w:r>
      <w:r w:rsidRPr="005F5CE5">
        <w:rPr>
          <w:rFonts w:ascii="Arial" w:hAnsi="Arial" w:cs="Arial"/>
          <w:b/>
          <w:sz w:val="24"/>
          <w:szCs w:val="24"/>
        </w:rPr>
        <w:t>inciso final del artículo 12 nuevo, para incorporar luego de la expresión “por disposición del artículo 6°” la siguiente frase “o cualquiera otra causal producto de la pandemia”.</w:t>
      </w:r>
    </w:p>
    <w:p w:rsidR="005F5CE5" w:rsidRDefault="005F5CE5" w:rsidP="005F5CE5">
      <w:pPr>
        <w:spacing w:line="276" w:lineRule="auto"/>
        <w:ind w:firstLine="851"/>
        <w:jc w:val="both"/>
        <w:rPr>
          <w:rFonts w:ascii="Arial" w:hAnsi="Arial" w:cs="Arial"/>
          <w:b/>
          <w:sz w:val="24"/>
          <w:szCs w:val="24"/>
        </w:rPr>
      </w:pPr>
    </w:p>
    <w:p w:rsidR="005F5CE5" w:rsidRPr="005F5CE5" w:rsidRDefault="005F5CE5" w:rsidP="005F5CE5">
      <w:pPr>
        <w:spacing w:line="276" w:lineRule="auto"/>
        <w:ind w:firstLine="851"/>
        <w:jc w:val="both"/>
        <w:rPr>
          <w:rFonts w:ascii="Arial" w:hAnsi="Arial" w:cs="Arial"/>
          <w:b/>
          <w:sz w:val="24"/>
          <w:szCs w:val="24"/>
        </w:rPr>
      </w:pPr>
      <w:r>
        <w:rPr>
          <w:rFonts w:ascii="Arial" w:hAnsi="Arial" w:cs="Arial"/>
          <w:b/>
          <w:sz w:val="24"/>
          <w:szCs w:val="24"/>
        </w:rPr>
        <w:t>Se solicitó votación separada de la indicación.</w:t>
      </w:r>
    </w:p>
    <w:p w:rsidR="005F5CE5" w:rsidRPr="005F5CE5" w:rsidRDefault="005F5CE5" w:rsidP="005F5CE5">
      <w:pPr>
        <w:spacing w:line="276" w:lineRule="auto"/>
        <w:ind w:firstLine="851"/>
        <w:jc w:val="both"/>
        <w:rPr>
          <w:rFonts w:ascii="Arial" w:hAnsi="Arial" w:cs="Arial"/>
          <w:b/>
          <w:sz w:val="24"/>
          <w:szCs w:val="24"/>
        </w:rPr>
      </w:pPr>
    </w:p>
    <w:p w:rsidR="005F5CE5" w:rsidRPr="005F5CE5" w:rsidRDefault="005F5CE5" w:rsidP="005F5CE5">
      <w:pPr>
        <w:spacing w:line="276" w:lineRule="auto"/>
        <w:ind w:firstLine="851"/>
        <w:jc w:val="both"/>
        <w:rPr>
          <w:rFonts w:ascii="Arial" w:hAnsi="Arial" w:cs="Arial"/>
          <w:sz w:val="24"/>
          <w:szCs w:val="24"/>
        </w:rPr>
      </w:pPr>
      <w:r w:rsidRPr="005F5CE5">
        <w:rPr>
          <w:rFonts w:ascii="Arial" w:hAnsi="Arial" w:cs="Arial"/>
          <w:sz w:val="24"/>
          <w:szCs w:val="24"/>
        </w:rPr>
        <w:t xml:space="preserve">En votación, la indicación del diputado Ilabaca </w:t>
      </w:r>
      <w:r w:rsidRPr="005F5CE5">
        <w:rPr>
          <w:rFonts w:ascii="Arial" w:hAnsi="Arial" w:cs="Arial"/>
          <w:sz w:val="24"/>
          <w:szCs w:val="24"/>
          <w:u w:val="single"/>
        </w:rPr>
        <w:t>es aprobada</w:t>
      </w:r>
      <w:r w:rsidRPr="005F5CE5">
        <w:rPr>
          <w:rFonts w:ascii="Arial" w:hAnsi="Arial" w:cs="Arial"/>
          <w:sz w:val="24"/>
          <w:szCs w:val="24"/>
        </w:rPr>
        <w:t xml:space="preserve"> por mayoría de votos. Votan a favor los (as) diputados (as) señores (as) Marcos Ilabaca (presidente); Karol Cariola; Diego Ibáñez; Pamela Jiles; Paulina Núñez; René Saffirio; Leonardo Soto, y Matías Walker. Se abstienen los (as) diputados (as) señores (as) Jorge Alessandri; Juan Antonio Coloma; Tomás Fuentes (por la señora Camila Flores), y Karin Luck (por el señor Gonzalo Fuenzalida). (8-0-4).</w:t>
      </w:r>
    </w:p>
    <w:p w:rsidR="005F5CE5" w:rsidRPr="005F5CE5" w:rsidRDefault="005F5CE5" w:rsidP="005F5CE5">
      <w:pPr>
        <w:spacing w:line="276" w:lineRule="auto"/>
        <w:ind w:firstLine="851"/>
        <w:jc w:val="both"/>
        <w:rPr>
          <w:rFonts w:ascii="Arial" w:hAnsi="Arial" w:cs="Arial"/>
          <w:sz w:val="24"/>
          <w:szCs w:val="24"/>
        </w:rPr>
      </w:pPr>
    </w:p>
    <w:p w:rsidR="005F5CE5" w:rsidRPr="005F5CE5" w:rsidRDefault="005F5CE5" w:rsidP="005F5CE5">
      <w:pPr>
        <w:spacing w:line="276" w:lineRule="auto"/>
        <w:ind w:firstLine="851"/>
        <w:jc w:val="both"/>
        <w:rPr>
          <w:rFonts w:ascii="Arial" w:hAnsi="Arial" w:cs="Arial"/>
          <w:sz w:val="24"/>
          <w:szCs w:val="24"/>
        </w:rPr>
      </w:pPr>
      <w:r w:rsidRPr="005F5CE5">
        <w:rPr>
          <w:rFonts w:ascii="Arial" w:hAnsi="Arial" w:cs="Arial"/>
          <w:sz w:val="24"/>
          <w:szCs w:val="24"/>
        </w:rPr>
        <w:lastRenderedPageBreak/>
        <w:t>Se deja constancia que no se consigna la votación del diputado Luciano Cruz-Coke por no cumplir las reglas de votación telemática.</w:t>
      </w:r>
    </w:p>
    <w:p w:rsidR="005F5CE5" w:rsidRPr="005F5CE5" w:rsidRDefault="005F5CE5" w:rsidP="005F5CE5">
      <w:pPr>
        <w:spacing w:line="276" w:lineRule="auto"/>
        <w:ind w:firstLine="851"/>
        <w:jc w:val="both"/>
        <w:rPr>
          <w:rFonts w:ascii="Arial" w:hAnsi="Arial" w:cs="Arial"/>
          <w:b/>
          <w:sz w:val="24"/>
          <w:szCs w:val="24"/>
        </w:rPr>
      </w:pPr>
    </w:p>
    <w:p w:rsidR="005F5CE5" w:rsidRPr="00751A61" w:rsidRDefault="005F5CE5" w:rsidP="005F5CE5">
      <w:pPr>
        <w:spacing w:line="276" w:lineRule="auto"/>
        <w:ind w:firstLine="851"/>
        <w:jc w:val="both"/>
        <w:rPr>
          <w:rFonts w:ascii="Arial" w:hAnsi="Arial" w:cs="Arial"/>
          <w:sz w:val="24"/>
          <w:szCs w:val="24"/>
        </w:rPr>
      </w:pPr>
      <w:r w:rsidRPr="00751A61">
        <w:rPr>
          <w:rFonts w:ascii="Arial" w:hAnsi="Arial" w:cs="Arial"/>
          <w:sz w:val="24"/>
          <w:szCs w:val="24"/>
        </w:rPr>
        <w:t xml:space="preserve">En votación particular, el artículo único del proyecto de ley es </w:t>
      </w:r>
      <w:r w:rsidRPr="00751A61">
        <w:rPr>
          <w:rFonts w:ascii="Arial" w:hAnsi="Arial" w:cs="Arial"/>
          <w:sz w:val="24"/>
          <w:szCs w:val="24"/>
          <w:u w:val="single"/>
        </w:rPr>
        <w:t>aprobado por la unanimidad</w:t>
      </w:r>
      <w:r w:rsidRPr="00751A61">
        <w:rPr>
          <w:rFonts w:ascii="Arial" w:hAnsi="Arial" w:cs="Arial"/>
          <w:sz w:val="24"/>
          <w:szCs w:val="24"/>
        </w:rPr>
        <w:t xml:space="preserve"> de los presentes, diputados (as) señores (as) Marcos Ilabaca (presidente); Jorge Alessandri; Karol Cariola; Juan Antonio Coloma; Tomás Fuentes (por la señora Camila Flores); Karin Luck (por el señor Gonzalo Fuenzalida); Diego Ibáñez; Pamela Jiles; Paulina Núñez; René Saffirio; Leonardo Soto, y Matías Walker. (12-0-0).</w:t>
      </w:r>
    </w:p>
    <w:p w:rsidR="005F5CE5" w:rsidRPr="005F5CE5" w:rsidRDefault="005F5CE5" w:rsidP="005F5CE5">
      <w:pPr>
        <w:spacing w:line="276" w:lineRule="auto"/>
        <w:ind w:firstLine="851"/>
        <w:jc w:val="both"/>
        <w:rPr>
          <w:rFonts w:ascii="Arial" w:hAnsi="Arial" w:cs="Arial"/>
          <w:b/>
          <w:sz w:val="24"/>
          <w:szCs w:val="24"/>
        </w:rPr>
      </w:pPr>
    </w:p>
    <w:p w:rsidR="005F5CE5" w:rsidRPr="005F5CE5" w:rsidRDefault="005F5CE5" w:rsidP="005F5CE5">
      <w:pPr>
        <w:spacing w:line="276" w:lineRule="auto"/>
        <w:ind w:firstLine="851"/>
        <w:jc w:val="both"/>
        <w:rPr>
          <w:rFonts w:ascii="Arial" w:hAnsi="Arial" w:cs="Arial"/>
          <w:b/>
          <w:sz w:val="24"/>
          <w:szCs w:val="24"/>
        </w:rPr>
      </w:pPr>
      <w:r w:rsidRPr="005F5CE5">
        <w:rPr>
          <w:rFonts w:ascii="Arial" w:hAnsi="Arial" w:cs="Arial"/>
          <w:b/>
          <w:sz w:val="24"/>
          <w:szCs w:val="24"/>
        </w:rPr>
        <w:t>Despachado el proyecto de ley</w:t>
      </w:r>
    </w:p>
    <w:p w:rsidR="00EB47C2" w:rsidRPr="00F07783" w:rsidRDefault="00DD4E6C" w:rsidP="00F07783">
      <w:pPr>
        <w:tabs>
          <w:tab w:val="left" w:pos="851"/>
          <w:tab w:val="left" w:pos="1843"/>
        </w:tabs>
        <w:spacing w:line="360" w:lineRule="atLeast"/>
        <w:ind w:right="51"/>
        <w:jc w:val="both"/>
        <w:rPr>
          <w:rFonts w:ascii="Arial" w:hAnsi="Arial" w:cs="Arial"/>
          <w:b/>
          <w:sz w:val="24"/>
          <w:szCs w:val="24"/>
        </w:rPr>
      </w:pPr>
      <w:r w:rsidRPr="00F07783">
        <w:rPr>
          <w:rFonts w:ascii="Arial" w:hAnsi="Arial" w:cs="Arial"/>
          <w:sz w:val="24"/>
          <w:szCs w:val="24"/>
        </w:rPr>
        <w:tab/>
        <w:t xml:space="preserve">La Comisión </w:t>
      </w:r>
      <w:r w:rsidR="005F5CE5">
        <w:rPr>
          <w:rFonts w:ascii="Arial" w:hAnsi="Arial" w:cs="Arial"/>
          <w:sz w:val="24"/>
          <w:szCs w:val="24"/>
        </w:rPr>
        <w:t xml:space="preserve"> designó diputado i</w:t>
      </w:r>
      <w:r w:rsidR="00EB47C2" w:rsidRPr="00F07783">
        <w:rPr>
          <w:rFonts w:ascii="Arial" w:hAnsi="Arial" w:cs="Arial"/>
          <w:sz w:val="24"/>
          <w:szCs w:val="24"/>
        </w:rPr>
        <w:t>nformante al señor</w:t>
      </w:r>
      <w:r w:rsidR="00990D45" w:rsidRPr="00F07783">
        <w:rPr>
          <w:rFonts w:ascii="Arial" w:hAnsi="Arial" w:cs="Arial"/>
          <w:sz w:val="24"/>
          <w:szCs w:val="24"/>
        </w:rPr>
        <w:t xml:space="preserve"> </w:t>
      </w:r>
      <w:r w:rsidR="00E2272E" w:rsidRPr="00334DA9">
        <w:rPr>
          <w:rFonts w:ascii="Arial" w:hAnsi="Arial" w:cs="Arial"/>
          <w:b/>
          <w:sz w:val="24"/>
          <w:szCs w:val="24"/>
        </w:rPr>
        <w:t>Jorge Alessandri</w:t>
      </w:r>
      <w:r w:rsidR="00334DA9">
        <w:rPr>
          <w:rFonts w:ascii="Arial" w:hAnsi="Arial" w:cs="Arial"/>
          <w:b/>
          <w:sz w:val="24"/>
          <w:szCs w:val="24"/>
        </w:rPr>
        <w:t>.</w:t>
      </w:r>
    </w:p>
    <w:p w:rsidR="009F68C6" w:rsidRPr="00F07783" w:rsidRDefault="009F68C6" w:rsidP="00622235">
      <w:pPr>
        <w:tabs>
          <w:tab w:val="left" w:pos="3402"/>
        </w:tabs>
        <w:spacing w:line="360" w:lineRule="atLeast"/>
        <w:ind w:right="51"/>
        <w:jc w:val="both"/>
        <w:rPr>
          <w:rFonts w:ascii="Arial" w:hAnsi="Arial" w:cs="Arial"/>
          <w:sz w:val="24"/>
          <w:szCs w:val="24"/>
        </w:rPr>
      </w:pPr>
    </w:p>
    <w:p w:rsidR="00B06573" w:rsidRPr="00F07783" w:rsidRDefault="002669A4" w:rsidP="00B06573">
      <w:pPr>
        <w:tabs>
          <w:tab w:val="left" w:pos="3402"/>
        </w:tabs>
        <w:spacing w:line="360" w:lineRule="atLeast"/>
        <w:ind w:right="51"/>
        <w:jc w:val="both"/>
        <w:rPr>
          <w:rFonts w:ascii="Arial" w:hAnsi="Arial" w:cs="Arial"/>
          <w:sz w:val="24"/>
          <w:szCs w:val="24"/>
        </w:rPr>
      </w:pPr>
      <w:r w:rsidRPr="00F07783">
        <w:rPr>
          <w:rFonts w:ascii="Arial" w:hAnsi="Arial" w:cs="Arial"/>
          <w:iCs/>
          <w:sz w:val="24"/>
          <w:szCs w:val="24"/>
        </w:rPr>
        <w:tab/>
      </w:r>
      <w:r w:rsidR="004E561F" w:rsidRPr="00F07783">
        <w:rPr>
          <w:rFonts w:ascii="Arial" w:hAnsi="Arial" w:cs="Arial"/>
          <w:iCs/>
          <w:sz w:val="24"/>
          <w:szCs w:val="24"/>
        </w:rPr>
        <w:t>*****************</w:t>
      </w:r>
    </w:p>
    <w:p w:rsidR="00A25847" w:rsidRPr="00F07783" w:rsidRDefault="00A25847" w:rsidP="00A25847">
      <w:pPr>
        <w:tabs>
          <w:tab w:val="left" w:pos="3402"/>
        </w:tabs>
        <w:spacing w:line="360" w:lineRule="auto"/>
        <w:ind w:right="74"/>
        <w:jc w:val="both"/>
        <w:rPr>
          <w:rFonts w:ascii="Arial" w:hAnsi="Arial" w:cs="Arial"/>
          <w:iCs/>
          <w:sz w:val="24"/>
          <w:szCs w:val="24"/>
        </w:rPr>
      </w:pPr>
    </w:p>
    <w:p w:rsidR="00DA1887" w:rsidRPr="00F07783" w:rsidRDefault="00CA34D2" w:rsidP="00F07783">
      <w:pPr>
        <w:tabs>
          <w:tab w:val="left" w:pos="851"/>
          <w:tab w:val="left" w:pos="1843"/>
          <w:tab w:val="left" w:pos="3402"/>
        </w:tabs>
        <w:spacing w:line="360" w:lineRule="atLeast"/>
        <w:ind w:right="51"/>
        <w:jc w:val="both"/>
        <w:rPr>
          <w:rFonts w:ascii="Arial" w:hAnsi="Arial" w:cs="Arial"/>
          <w:sz w:val="24"/>
          <w:szCs w:val="24"/>
        </w:rPr>
      </w:pPr>
      <w:r w:rsidRPr="00F07783">
        <w:rPr>
          <w:rFonts w:ascii="Arial" w:hAnsi="Arial" w:cs="Arial"/>
          <w:iCs/>
          <w:sz w:val="24"/>
          <w:szCs w:val="24"/>
        </w:rPr>
        <w:tab/>
      </w:r>
      <w:r w:rsidR="00DA1887" w:rsidRPr="00F07783">
        <w:rPr>
          <w:rFonts w:ascii="Arial" w:hAnsi="Arial" w:cs="Arial"/>
          <w:sz w:val="24"/>
          <w:szCs w:val="24"/>
        </w:rPr>
        <w:t xml:space="preserve">En consecuencia, la Comisión de </w:t>
      </w:r>
      <w:r w:rsidR="00EF3FC1" w:rsidRPr="00F07783">
        <w:rPr>
          <w:rFonts w:ascii="Arial" w:hAnsi="Arial" w:cs="Arial"/>
          <w:sz w:val="24"/>
          <w:szCs w:val="24"/>
        </w:rPr>
        <w:t xml:space="preserve">Constitución, Legislación, Justicia y Reglamento </w:t>
      </w:r>
      <w:r w:rsidR="00DA1887" w:rsidRPr="00F07783">
        <w:rPr>
          <w:rFonts w:ascii="Arial" w:hAnsi="Arial" w:cs="Arial"/>
          <w:sz w:val="24"/>
          <w:szCs w:val="24"/>
        </w:rPr>
        <w:t>propone la</w:t>
      </w:r>
      <w:r w:rsidR="00EF3FC1" w:rsidRPr="00F07783">
        <w:rPr>
          <w:rFonts w:ascii="Arial" w:hAnsi="Arial" w:cs="Arial"/>
          <w:sz w:val="24"/>
          <w:szCs w:val="24"/>
        </w:rPr>
        <w:t xml:space="preserve"> aprobación del siguiente texto</w:t>
      </w:r>
      <w:r w:rsidR="00DA1887" w:rsidRPr="00F07783">
        <w:rPr>
          <w:rFonts w:ascii="Arial" w:hAnsi="Arial" w:cs="Arial"/>
          <w:sz w:val="24"/>
          <w:szCs w:val="24"/>
        </w:rPr>
        <w:t>:</w:t>
      </w:r>
    </w:p>
    <w:p w:rsidR="00DA1887" w:rsidRPr="00F07783" w:rsidRDefault="00DA1887" w:rsidP="00CA34D2">
      <w:pPr>
        <w:tabs>
          <w:tab w:val="left" w:pos="3402"/>
        </w:tabs>
        <w:spacing w:line="360" w:lineRule="atLeast"/>
        <w:ind w:right="74"/>
        <w:jc w:val="both"/>
        <w:rPr>
          <w:rFonts w:ascii="Arial" w:hAnsi="Arial" w:cs="Arial"/>
          <w:sz w:val="24"/>
          <w:szCs w:val="24"/>
        </w:rPr>
      </w:pPr>
    </w:p>
    <w:p w:rsidR="00D201C1" w:rsidRPr="00F07783" w:rsidRDefault="00D201C1" w:rsidP="00CA34D2">
      <w:pPr>
        <w:tabs>
          <w:tab w:val="left" w:pos="3402"/>
        </w:tabs>
        <w:spacing w:line="360" w:lineRule="atLeast"/>
        <w:ind w:right="74"/>
        <w:jc w:val="both"/>
        <w:rPr>
          <w:rFonts w:ascii="Arial" w:hAnsi="Arial" w:cs="Arial"/>
          <w:sz w:val="24"/>
          <w:szCs w:val="24"/>
        </w:rPr>
      </w:pPr>
    </w:p>
    <w:p w:rsidR="00D201C1" w:rsidRPr="00F07783" w:rsidRDefault="00D201C1" w:rsidP="00CA34D2">
      <w:pPr>
        <w:tabs>
          <w:tab w:val="left" w:pos="3402"/>
        </w:tabs>
        <w:spacing w:line="360" w:lineRule="atLeast"/>
        <w:ind w:right="74"/>
        <w:jc w:val="both"/>
        <w:rPr>
          <w:rFonts w:ascii="Arial" w:hAnsi="Arial" w:cs="Arial"/>
          <w:sz w:val="24"/>
          <w:szCs w:val="24"/>
        </w:rPr>
      </w:pPr>
    </w:p>
    <w:p w:rsidR="00CA34D2" w:rsidRDefault="00CA34D2" w:rsidP="00CA34D2">
      <w:pPr>
        <w:jc w:val="center"/>
        <w:rPr>
          <w:rFonts w:ascii="Arial" w:hAnsi="Arial" w:cs="Arial"/>
          <w:b/>
          <w:spacing w:val="160"/>
          <w:sz w:val="24"/>
          <w:szCs w:val="24"/>
        </w:rPr>
      </w:pPr>
      <w:r w:rsidRPr="00F07783">
        <w:rPr>
          <w:rFonts w:ascii="Arial" w:hAnsi="Arial" w:cs="Arial"/>
          <w:b/>
          <w:spacing w:val="160"/>
          <w:sz w:val="24"/>
          <w:szCs w:val="24"/>
        </w:rPr>
        <w:t xml:space="preserve">PROYECTO DE </w:t>
      </w:r>
      <w:r w:rsidR="006133BD">
        <w:rPr>
          <w:rFonts w:ascii="Arial" w:hAnsi="Arial" w:cs="Arial"/>
          <w:b/>
          <w:spacing w:val="160"/>
          <w:sz w:val="24"/>
          <w:szCs w:val="24"/>
        </w:rPr>
        <w:t>LEY</w:t>
      </w:r>
    </w:p>
    <w:p w:rsidR="006133BD" w:rsidRDefault="006133BD" w:rsidP="00CA34D2">
      <w:pPr>
        <w:jc w:val="center"/>
        <w:rPr>
          <w:rFonts w:ascii="Arial" w:hAnsi="Arial" w:cs="Arial"/>
          <w:b/>
          <w:spacing w:val="160"/>
          <w:sz w:val="24"/>
          <w:szCs w:val="24"/>
        </w:rPr>
      </w:pPr>
    </w:p>
    <w:p w:rsidR="006133BD" w:rsidRPr="006133BD" w:rsidRDefault="006133BD" w:rsidP="006133BD">
      <w:pPr>
        <w:ind w:firstLine="851"/>
        <w:jc w:val="both"/>
        <w:rPr>
          <w:rFonts w:ascii="Arial" w:hAnsi="Arial" w:cs="Arial"/>
          <w:spacing w:val="-3"/>
          <w:sz w:val="24"/>
          <w:szCs w:val="24"/>
        </w:rPr>
      </w:pPr>
      <w:r w:rsidRPr="006133BD">
        <w:rPr>
          <w:rFonts w:ascii="Arial" w:hAnsi="Arial" w:cs="Arial"/>
          <w:spacing w:val="-3"/>
          <w:sz w:val="24"/>
          <w:szCs w:val="24"/>
        </w:rPr>
        <w:t>“Artículo único.-</w:t>
      </w:r>
      <w:r w:rsidRPr="006133BD">
        <w:rPr>
          <w:rFonts w:ascii="Arial" w:hAnsi="Arial" w:cs="Arial"/>
          <w:spacing w:val="-3"/>
          <w:sz w:val="24"/>
          <w:szCs w:val="24"/>
        </w:rPr>
        <w:tab/>
        <w:t>Introdúcense las siguientes modificaciones a la ley N° 21.226:</w:t>
      </w:r>
    </w:p>
    <w:p w:rsidR="003B3EE2" w:rsidRDefault="003B3EE2" w:rsidP="006133BD">
      <w:pPr>
        <w:tabs>
          <w:tab w:val="left" w:pos="1134"/>
        </w:tabs>
        <w:ind w:firstLine="851"/>
        <w:jc w:val="both"/>
        <w:rPr>
          <w:rFonts w:ascii="Arial" w:hAnsi="Arial" w:cs="Arial"/>
          <w:spacing w:val="-3"/>
          <w:sz w:val="24"/>
          <w:szCs w:val="24"/>
        </w:rPr>
      </w:pPr>
    </w:p>
    <w:p w:rsidR="006133BD" w:rsidRPr="006133BD" w:rsidRDefault="006133BD" w:rsidP="006133BD">
      <w:pPr>
        <w:tabs>
          <w:tab w:val="left" w:pos="1134"/>
        </w:tabs>
        <w:ind w:firstLine="851"/>
        <w:jc w:val="both"/>
        <w:rPr>
          <w:rFonts w:ascii="Arial" w:hAnsi="Arial" w:cs="Arial"/>
          <w:spacing w:val="-3"/>
          <w:sz w:val="24"/>
          <w:szCs w:val="24"/>
        </w:rPr>
      </w:pPr>
      <w:r w:rsidRPr="006133BD">
        <w:rPr>
          <w:rFonts w:ascii="Arial" w:hAnsi="Arial" w:cs="Arial"/>
          <w:spacing w:val="-3"/>
          <w:sz w:val="24"/>
          <w:szCs w:val="24"/>
        </w:rPr>
        <w:t>1)</w:t>
      </w:r>
      <w:r w:rsidRPr="006133BD">
        <w:rPr>
          <w:rFonts w:ascii="Arial" w:hAnsi="Arial" w:cs="Arial"/>
          <w:spacing w:val="-3"/>
          <w:sz w:val="24"/>
          <w:szCs w:val="24"/>
        </w:rPr>
        <w:tab/>
        <w:t>Derógase el artículo 6°.</w:t>
      </w:r>
    </w:p>
    <w:p w:rsidR="006133BD" w:rsidRPr="006133BD" w:rsidRDefault="006133BD" w:rsidP="006133BD">
      <w:pPr>
        <w:tabs>
          <w:tab w:val="left" w:pos="1134"/>
        </w:tabs>
        <w:ind w:firstLine="851"/>
        <w:jc w:val="both"/>
        <w:rPr>
          <w:rFonts w:ascii="Arial" w:hAnsi="Arial" w:cs="Arial"/>
          <w:spacing w:val="-3"/>
          <w:sz w:val="24"/>
          <w:szCs w:val="24"/>
        </w:rPr>
      </w:pPr>
    </w:p>
    <w:p w:rsidR="006133BD" w:rsidRPr="006133BD" w:rsidRDefault="006133BD" w:rsidP="006133BD">
      <w:pPr>
        <w:tabs>
          <w:tab w:val="left" w:pos="1134"/>
        </w:tabs>
        <w:ind w:firstLine="851"/>
        <w:jc w:val="both"/>
        <w:rPr>
          <w:rFonts w:ascii="Arial" w:hAnsi="Arial" w:cs="Arial"/>
          <w:spacing w:val="-3"/>
          <w:sz w:val="24"/>
          <w:szCs w:val="24"/>
        </w:rPr>
      </w:pPr>
      <w:r w:rsidRPr="006133BD">
        <w:rPr>
          <w:rFonts w:ascii="Arial" w:hAnsi="Arial" w:cs="Arial"/>
          <w:spacing w:val="-3"/>
          <w:sz w:val="24"/>
          <w:szCs w:val="24"/>
        </w:rPr>
        <w:t>2)</w:t>
      </w:r>
      <w:r w:rsidRPr="006133BD">
        <w:rPr>
          <w:rFonts w:ascii="Arial" w:hAnsi="Arial" w:cs="Arial"/>
          <w:spacing w:val="-3"/>
          <w:sz w:val="24"/>
          <w:szCs w:val="24"/>
        </w:rPr>
        <w:tab/>
        <w:t>Incorpórase, a continuación del artículo 10, el siguiente epígrafe, nuevo:</w:t>
      </w:r>
    </w:p>
    <w:p w:rsidR="006133BD" w:rsidRPr="006133BD" w:rsidRDefault="006133BD" w:rsidP="006133BD">
      <w:pPr>
        <w:tabs>
          <w:tab w:val="left" w:pos="1134"/>
        </w:tabs>
        <w:ind w:firstLine="851"/>
        <w:jc w:val="both"/>
        <w:rPr>
          <w:rFonts w:ascii="Arial" w:hAnsi="Arial" w:cs="Arial"/>
          <w:spacing w:val="-3"/>
          <w:sz w:val="24"/>
          <w:szCs w:val="24"/>
        </w:rPr>
      </w:pPr>
    </w:p>
    <w:p w:rsidR="006133BD" w:rsidRPr="006133BD" w:rsidRDefault="006133BD" w:rsidP="006133BD">
      <w:pPr>
        <w:tabs>
          <w:tab w:val="left" w:pos="1134"/>
        </w:tabs>
        <w:ind w:firstLine="851"/>
        <w:jc w:val="both"/>
        <w:rPr>
          <w:rFonts w:ascii="Arial" w:hAnsi="Arial" w:cs="Arial"/>
          <w:spacing w:val="-3"/>
          <w:sz w:val="24"/>
          <w:szCs w:val="24"/>
        </w:rPr>
      </w:pPr>
      <w:r w:rsidRPr="006133BD">
        <w:rPr>
          <w:rFonts w:ascii="Arial" w:hAnsi="Arial" w:cs="Arial"/>
          <w:spacing w:val="-3"/>
          <w:sz w:val="24"/>
          <w:szCs w:val="24"/>
        </w:rPr>
        <w:t>“Disposiciones complementarias”</w:t>
      </w:r>
    </w:p>
    <w:p w:rsidR="006133BD" w:rsidRDefault="006133BD" w:rsidP="006133BD">
      <w:pPr>
        <w:tabs>
          <w:tab w:val="left" w:pos="1134"/>
        </w:tabs>
        <w:ind w:firstLine="851"/>
        <w:jc w:val="both"/>
        <w:rPr>
          <w:rFonts w:ascii="Arial" w:hAnsi="Arial" w:cs="Arial"/>
          <w:spacing w:val="-3"/>
          <w:sz w:val="24"/>
          <w:szCs w:val="24"/>
        </w:rPr>
      </w:pPr>
    </w:p>
    <w:p w:rsidR="006133BD" w:rsidRPr="006133BD" w:rsidRDefault="006133BD" w:rsidP="006133BD">
      <w:pPr>
        <w:tabs>
          <w:tab w:val="left" w:pos="1134"/>
        </w:tabs>
        <w:ind w:firstLine="851"/>
        <w:jc w:val="both"/>
        <w:rPr>
          <w:rFonts w:ascii="Arial" w:hAnsi="Arial" w:cs="Arial"/>
          <w:spacing w:val="-3"/>
          <w:sz w:val="24"/>
          <w:szCs w:val="24"/>
        </w:rPr>
      </w:pPr>
      <w:r w:rsidRPr="006133BD">
        <w:rPr>
          <w:rFonts w:ascii="Arial" w:hAnsi="Arial" w:cs="Arial"/>
          <w:spacing w:val="-3"/>
          <w:sz w:val="24"/>
          <w:szCs w:val="24"/>
        </w:rPr>
        <w:t>3)</w:t>
      </w:r>
      <w:r w:rsidRPr="006133BD">
        <w:rPr>
          <w:rFonts w:ascii="Arial" w:hAnsi="Arial" w:cs="Arial"/>
          <w:spacing w:val="-3"/>
          <w:sz w:val="24"/>
          <w:szCs w:val="24"/>
        </w:rPr>
        <w:tab/>
        <w:t>Incorpórase el siguiente artículo 11, nuevo:</w:t>
      </w:r>
    </w:p>
    <w:p w:rsidR="006133BD" w:rsidRPr="006133BD" w:rsidRDefault="006133BD" w:rsidP="006133BD">
      <w:pPr>
        <w:ind w:firstLine="851"/>
        <w:jc w:val="both"/>
        <w:rPr>
          <w:rFonts w:ascii="Arial" w:hAnsi="Arial" w:cs="Arial"/>
          <w:spacing w:val="-3"/>
          <w:sz w:val="24"/>
          <w:szCs w:val="24"/>
        </w:rPr>
      </w:pPr>
    </w:p>
    <w:p w:rsidR="006133BD" w:rsidRPr="006133BD" w:rsidRDefault="006133BD" w:rsidP="006133BD">
      <w:pPr>
        <w:ind w:firstLine="851"/>
        <w:jc w:val="both"/>
        <w:rPr>
          <w:rFonts w:ascii="Arial" w:hAnsi="Arial" w:cs="Arial"/>
          <w:spacing w:val="-3"/>
          <w:sz w:val="24"/>
          <w:szCs w:val="24"/>
        </w:rPr>
      </w:pPr>
      <w:r w:rsidRPr="006133BD">
        <w:rPr>
          <w:rFonts w:ascii="Arial" w:hAnsi="Arial" w:cs="Arial"/>
          <w:spacing w:val="-3"/>
          <w:sz w:val="24"/>
          <w:szCs w:val="24"/>
        </w:rPr>
        <w:t>“Artículo 11.- A excepción de los artículos 4° y 6°, en cada una de las demás disposiciones de la presente ley en que se refiere a la vigencia del estado de excepción constitucional de catástrofe, por calamidad pública, declarado por decreto supremo Nº 104, de 18 de marzo de 2020, del Ministerio del Interior y Seguridad Pública, y al tiempo en que este sea prorrogado ha de entenderse que las respectivas reglas refieren al término que se extiende hasta el 30 de noviembre de 2021.</w:t>
      </w:r>
    </w:p>
    <w:p w:rsidR="003B3EE2" w:rsidRDefault="003B3EE2" w:rsidP="006133BD">
      <w:pPr>
        <w:ind w:firstLine="851"/>
        <w:jc w:val="both"/>
        <w:rPr>
          <w:rFonts w:ascii="Arial" w:hAnsi="Arial" w:cs="Arial"/>
          <w:spacing w:val="-3"/>
          <w:sz w:val="24"/>
          <w:szCs w:val="24"/>
        </w:rPr>
      </w:pPr>
    </w:p>
    <w:p w:rsidR="006133BD" w:rsidRPr="006133BD" w:rsidRDefault="006133BD" w:rsidP="006133BD">
      <w:pPr>
        <w:ind w:firstLine="851"/>
        <w:jc w:val="both"/>
        <w:rPr>
          <w:rFonts w:ascii="Arial" w:hAnsi="Arial" w:cs="Arial"/>
          <w:spacing w:val="-3"/>
          <w:sz w:val="24"/>
          <w:szCs w:val="24"/>
        </w:rPr>
      </w:pPr>
      <w:r w:rsidRPr="006133BD">
        <w:rPr>
          <w:rFonts w:ascii="Arial" w:hAnsi="Arial" w:cs="Arial"/>
          <w:spacing w:val="-3"/>
          <w:sz w:val="24"/>
          <w:szCs w:val="24"/>
        </w:rPr>
        <w:lastRenderedPageBreak/>
        <w:t>Asimismo, la regla del inciso primero del artículo 7° ha de entenderse referida al término que se extiende hasta los diez días hábiles posteriores al 30 de noviembre de 2021.”.</w:t>
      </w:r>
    </w:p>
    <w:p w:rsidR="006133BD" w:rsidRPr="006133BD" w:rsidRDefault="006133BD" w:rsidP="006133BD">
      <w:pPr>
        <w:ind w:firstLine="851"/>
        <w:jc w:val="both"/>
        <w:rPr>
          <w:rFonts w:ascii="Arial" w:hAnsi="Arial" w:cs="Arial"/>
          <w:spacing w:val="-3"/>
          <w:sz w:val="24"/>
          <w:szCs w:val="24"/>
        </w:rPr>
      </w:pPr>
    </w:p>
    <w:p w:rsidR="006133BD" w:rsidRPr="006133BD" w:rsidRDefault="006133BD" w:rsidP="003B3EE2">
      <w:pPr>
        <w:tabs>
          <w:tab w:val="left" w:pos="1134"/>
        </w:tabs>
        <w:ind w:firstLine="851"/>
        <w:jc w:val="both"/>
        <w:rPr>
          <w:rFonts w:ascii="Arial" w:hAnsi="Arial" w:cs="Arial"/>
          <w:spacing w:val="-3"/>
          <w:sz w:val="24"/>
          <w:szCs w:val="24"/>
        </w:rPr>
      </w:pPr>
      <w:r w:rsidRPr="006133BD">
        <w:rPr>
          <w:rFonts w:ascii="Arial" w:hAnsi="Arial" w:cs="Arial"/>
          <w:spacing w:val="-3"/>
          <w:sz w:val="24"/>
          <w:szCs w:val="24"/>
        </w:rPr>
        <w:t>4)</w:t>
      </w:r>
      <w:r w:rsidRPr="006133BD">
        <w:rPr>
          <w:rFonts w:ascii="Arial" w:hAnsi="Arial" w:cs="Arial"/>
          <w:spacing w:val="-3"/>
          <w:sz w:val="24"/>
          <w:szCs w:val="24"/>
        </w:rPr>
        <w:tab/>
        <w:t>Incorpórase el siguiente artículo 12, nuevo:</w:t>
      </w:r>
    </w:p>
    <w:p w:rsidR="003B3EE2" w:rsidRDefault="003B3EE2" w:rsidP="006133BD">
      <w:pPr>
        <w:ind w:firstLine="851"/>
        <w:jc w:val="both"/>
        <w:rPr>
          <w:rFonts w:ascii="Arial" w:hAnsi="Arial" w:cs="Arial"/>
          <w:spacing w:val="-3"/>
          <w:sz w:val="24"/>
          <w:szCs w:val="24"/>
        </w:rPr>
      </w:pPr>
    </w:p>
    <w:p w:rsidR="006133BD" w:rsidRPr="006133BD" w:rsidRDefault="006133BD" w:rsidP="006133BD">
      <w:pPr>
        <w:ind w:firstLine="851"/>
        <w:jc w:val="both"/>
        <w:rPr>
          <w:rFonts w:ascii="Arial" w:hAnsi="Arial" w:cs="Arial"/>
          <w:spacing w:val="-3"/>
          <w:sz w:val="24"/>
          <w:szCs w:val="24"/>
        </w:rPr>
      </w:pPr>
      <w:r w:rsidRPr="006133BD">
        <w:rPr>
          <w:rFonts w:ascii="Arial" w:hAnsi="Arial" w:cs="Arial"/>
          <w:spacing w:val="-3"/>
          <w:sz w:val="24"/>
          <w:szCs w:val="24"/>
        </w:rPr>
        <w:t>“Artículo 12.- Los términos probatorios que durante la vigencia del artículo 6° se hubieren suspendido por disposición de dicha norma, se reanudarán, a petición de parte, desde la fecha en que se notifique la resolución que acoja la solicitud, extendiéndose por el tiempo que corresponda de conformidad a las reglas generales. El tribunal, atendido el número de testigos y el de los puntos de prueba, señalará una o más audiencias para el examen de los testigos.</w:t>
      </w:r>
    </w:p>
    <w:p w:rsidR="006133BD" w:rsidRPr="006133BD" w:rsidRDefault="006133BD" w:rsidP="006133BD">
      <w:pPr>
        <w:ind w:firstLine="851"/>
        <w:jc w:val="both"/>
        <w:rPr>
          <w:rFonts w:ascii="Arial" w:hAnsi="Arial" w:cs="Arial"/>
          <w:spacing w:val="-3"/>
          <w:sz w:val="24"/>
          <w:szCs w:val="24"/>
        </w:rPr>
      </w:pPr>
    </w:p>
    <w:p w:rsidR="006133BD" w:rsidRPr="006133BD" w:rsidRDefault="006133BD" w:rsidP="006133BD">
      <w:pPr>
        <w:ind w:firstLine="851"/>
        <w:jc w:val="both"/>
        <w:rPr>
          <w:rFonts w:ascii="Arial" w:hAnsi="Arial" w:cs="Arial"/>
          <w:spacing w:val="-3"/>
          <w:sz w:val="24"/>
          <w:szCs w:val="24"/>
        </w:rPr>
      </w:pPr>
      <w:r w:rsidRPr="006133BD">
        <w:rPr>
          <w:rFonts w:ascii="Arial" w:hAnsi="Arial" w:cs="Arial"/>
          <w:spacing w:val="-3"/>
          <w:sz w:val="24"/>
          <w:szCs w:val="24"/>
        </w:rPr>
        <w:t>En aquellas contiendas civiles que, a consecuencia de haberse suspendido el respectivo término probatorio por disposición del artículo 6°, hubieren estado paralizadas por seis meses o más sin que se dicte resolución alguna, no regirá lo dispuesto en el artículo 52 del Código de Procedimiento Civil. Lo anterior es sin perjuicio de las facultades de los tribunales de ordenar otras formas de notificación.</w:t>
      </w:r>
    </w:p>
    <w:p w:rsidR="006133BD" w:rsidRPr="006133BD" w:rsidRDefault="006133BD" w:rsidP="006133BD">
      <w:pPr>
        <w:ind w:firstLine="851"/>
        <w:jc w:val="both"/>
        <w:rPr>
          <w:rFonts w:ascii="Arial" w:hAnsi="Arial" w:cs="Arial"/>
          <w:spacing w:val="-3"/>
          <w:sz w:val="24"/>
          <w:szCs w:val="24"/>
        </w:rPr>
      </w:pPr>
    </w:p>
    <w:p w:rsidR="006133BD" w:rsidRPr="00F07783" w:rsidRDefault="006133BD" w:rsidP="006133BD">
      <w:pPr>
        <w:ind w:firstLine="851"/>
        <w:jc w:val="both"/>
        <w:rPr>
          <w:rFonts w:ascii="Arial" w:hAnsi="Arial" w:cs="Arial"/>
          <w:spacing w:val="-3"/>
          <w:sz w:val="24"/>
          <w:szCs w:val="24"/>
        </w:rPr>
      </w:pPr>
      <w:r w:rsidRPr="006133BD">
        <w:rPr>
          <w:rFonts w:ascii="Arial" w:hAnsi="Arial" w:cs="Arial"/>
          <w:spacing w:val="-3"/>
          <w:sz w:val="24"/>
          <w:szCs w:val="24"/>
        </w:rPr>
        <w:t>Para efectos de lo dispuesto en los artículos 152 y 153 del Código de Procedimiento Civil, no se contabilizará el tiempo en que el juicio hubiere estado paralizado por disposición del artículo 6°</w:t>
      </w:r>
      <w:r w:rsidR="00751A61">
        <w:rPr>
          <w:rFonts w:ascii="Arial" w:hAnsi="Arial" w:cs="Arial"/>
          <w:spacing w:val="-3"/>
          <w:sz w:val="24"/>
          <w:szCs w:val="24"/>
        </w:rPr>
        <w:t xml:space="preserve"> </w:t>
      </w:r>
      <w:r w:rsidR="00751A61" w:rsidRPr="000B4CB3">
        <w:rPr>
          <w:rFonts w:ascii="Arial" w:hAnsi="Arial" w:cs="Arial"/>
          <w:b/>
          <w:spacing w:val="-3"/>
          <w:sz w:val="24"/>
          <w:szCs w:val="24"/>
        </w:rPr>
        <w:t>o cualquier</w:t>
      </w:r>
      <w:r w:rsidR="00751A61">
        <w:rPr>
          <w:rFonts w:ascii="Arial" w:hAnsi="Arial" w:cs="Arial"/>
          <w:b/>
          <w:spacing w:val="-3"/>
          <w:sz w:val="24"/>
          <w:szCs w:val="24"/>
        </w:rPr>
        <w:t>a</w:t>
      </w:r>
      <w:r w:rsidR="00751A61" w:rsidRPr="000B4CB3">
        <w:rPr>
          <w:rFonts w:ascii="Arial" w:hAnsi="Arial" w:cs="Arial"/>
          <w:b/>
          <w:spacing w:val="-3"/>
          <w:sz w:val="24"/>
          <w:szCs w:val="24"/>
        </w:rPr>
        <w:t xml:space="preserve"> otra causal producto de la pandemia</w:t>
      </w:r>
      <w:r w:rsidRPr="006133BD">
        <w:rPr>
          <w:rFonts w:ascii="Arial" w:hAnsi="Arial" w:cs="Arial"/>
          <w:spacing w:val="-3"/>
          <w:sz w:val="24"/>
          <w:szCs w:val="24"/>
        </w:rPr>
        <w:t>.”.”.</w:t>
      </w:r>
    </w:p>
    <w:p w:rsidR="00843E7D" w:rsidRPr="00F07783" w:rsidRDefault="00843E7D" w:rsidP="00B02C70">
      <w:pPr>
        <w:tabs>
          <w:tab w:val="left" w:pos="3402"/>
        </w:tabs>
        <w:spacing w:line="360" w:lineRule="atLeast"/>
        <w:ind w:right="51"/>
        <w:jc w:val="both"/>
        <w:rPr>
          <w:rFonts w:ascii="Arial" w:hAnsi="Arial" w:cs="Arial"/>
          <w:sz w:val="24"/>
          <w:szCs w:val="24"/>
        </w:rPr>
      </w:pPr>
    </w:p>
    <w:p w:rsidR="00AF7665" w:rsidRPr="00F07783" w:rsidRDefault="00AF7665" w:rsidP="00AF7665">
      <w:pPr>
        <w:tabs>
          <w:tab w:val="left" w:pos="-1440"/>
          <w:tab w:val="left" w:pos="-720"/>
          <w:tab w:val="left" w:pos="851"/>
          <w:tab w:val="left" w:pos="2520"/>
        </w:tabs>
        <w:spacing w:line="240" w:lineRule="atLeast"/>
        <w:jc w:val="both"/>
        <w:rPr>
          <w:rFonts w:ascii="Arial" w:hAnsi="Arial" w:cs="Arial"/>
          <w:spacing w:val="-3"/>
          <w:sz w:val="24"/>
          <w:szCs w:val="24"/>
          <w:lang w:val="es-ES"/>
        </w:rPr>
      </w:pPr>
    </w:p>
    <w:p w:rsidR="00B06573" w:rsidRPr="00F07783" w:rsidRDefault="000A61B8" w:rsidP="000A61B8">
      <w:pPr>
        <w:tabs>
          <w:tab w:val="left" w:pos="3402"/>
        </w:tabs>
        <w:spacing w:line="360" w:lineRule="atLeast"/>
        <w:ind w:right="51"/>
        <w:jc w:val="center"/>
        <w:rPr>
          <w:rFonts w:ascii="Arial" w:hAnsi="Arial" w:cs="Arial"/>
          <w:sz w:val="24"/>
          <w:szCs w:val="24"/>
        </w:rPr>
      </w:pPr>
      <w:r>
        <w:rPr>
          <w:rFonts w:ascii="Arial" w:hAnsi="Arial" w:cs="Arial"/>
          <w:sz w:val="24"/>
          <w:szCs w:val="24"/>
        </w:rPr>
        <w:t>********************</w:t>
      </w:r>
    </w:p>
    <w:p w:rsidR="00F6292B" w:rsidRPr="00F07783" w:rsidRDefault="00F6292B" w:rsidP="00B751EB">
      <w:pPr>
        <w:tabs>
          <w:tab w:val="left" w:pos="3402"/>
        </w:tabs>
        <w:spacing w:line="360" w:lineRule="atLeast"/>
        <w:ind w:right="51"/>
        <w:jc w:val="both"/>
        <w:rPr>
          <w:rFonts w:ascii="Arial" w:hAnsi="Arial" w:cs="Arial"/>
          <w:sz w:val="24"/>
          <w:szCs w:val="24"/>
        </w:rPr>
      </w:pPr>
    </w:p>
    <w:p w:rsidR="00415FBA" w:rsidRPr="00F07783" w:rsidRDefault="00415FBA" w:rsidP="00B751EB">
      <w:pPr>
        <w:tabs>
          <w:tab w:val="left" w:pos="3402"/>
        </w:tabs>
        <w:spacing w:line="360" w:lineRule="atLeast"/>
        <w:ind w:right="51"/>
        <w:jc w:val="both"/>
        <w:rPr>
          <w:rFonts w:ascii="Arial" w:hAnsi="Arial" w:cs="Arial"/>
          <w:sz w:val="24"/>
          <w:szCs w:val="24"/>
        </w:rPr>
      </w:pPr>
      <w:bookmarkStart w:id="0" w:name="_GoBack"/>
      <w:bookmarkEnd w:id="0"/>
    </w:p>
    <w:p w:rsidR="002B3E48" w:rsidRPr="00F07783" w:rsidRDefault="00C76B0B" w:rsidP="00C76B0B">
      <w:pPr>
        <w:tabs>
          <w:tab w:val="left" w:pos="3402"/>
        </w:tabs>
        <w:spacing w:line="360" w:lineRule="atLeast"/>
        <w:ind w:right="51"/>
        <w:jc w:val="center"/>
        <w:rPr>
          <w:rFonts w:ascii="Arial" w:hAnsi="Arial" w:cs="Arial"/>
          <w:sz w:val="24"/>
          <w:szCs w:val="24"/>
        </w:rPr>
      </w:pPr>
      <w:r w:rsidRPr="00CA0FE6">
        <w:rPr>
          <w:rFonts w:ascii="Arial" w:hAnsi="Arial" w:cs="Arial"/>
          <w:noProof/>
          <w:lang w:val="es-CL" w:eastAsia="es-CL"/>
        </w:rPr>
        <w:drawing>
          <wp:inline distT="0" distB="0" distL="0" distR="0">
            <wp:extent cx="2667000" cy="1704975"/>
            <wp:effectExtent l="0" t="0" r="0" b="0"/>
            <wp:docPr id="2" name="Imagen 2" descr="Firma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ma P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04975"/>
                    </a:xfrm>
                    <a:prstGeom prst="rect">
                      <a:avLst/>
                    </a:prstGeom>
                    <a:noFill/>
                    <a:ln>
                      <a:noFill/>
                    </a:ln>
                  </pic:spPr>
                </pic:pic>
              </a:graphicData>
            </a:graphic>
          </wp:inline>
        </w:drawing>
      </w:r>
    </w:p>
    <w:p w:rsidR="001A0331" w:rsidRPr="00F07783" w:rsidRDefault="001A0331" w:rsidP="00B751EB">
      <w:pPr>
        <w:tabs>
          <w:tab w:val="left" w:pos="3402"/>
        </w:tabs>
        <w:spacing w:line="360" w:lineRule="atLeast"/>
        <w:ind w:right="51"/>
        <w:jc w:val="both"/>
        <w:rPr>
          <w:rFonts w:ascii="Arial" w:hAnsi="Arial" w:cs="Arial"/>
          <w:sz w:val="24"/>
          <w:szCs w:val="24"/>
        </w:rPr>
      </w:pPr>
    </w:p>
    <w:sectPr w:rsidR="001A0331" w:rsidRPr="00F07783" w:rsidSect="006728FD">
      <w:headerReference w:type="even" r:id="rId12"/>
      <w:headerReference w:type="default" r:id="rId13"/>
      <w:headerReference w:type="first" r:id="rId14"/>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48" w:rsidRDefault="00E63848">
      <w:r>
        <w:separator/>
      </w:r>
    </w:p>
  </w:endnote>
  <w:endnote w:type="continuationSeparator" w:id="0">
    <w:p w:rsidR="00E63848" w:rsidRDefault="00E6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48" w:rsidRDefault="00E63848">
      <w:r>
        <w:separator/>
      </w:r>
    </w:p>
  </w:footnote>
  <w:footnote w:type="continuationSeparator" w:id="0">
    <w:p w:rsidR="00E63848" w:rsidRDefault="00E6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9" w:rsidRDefault="00144A41" w:rsidP="004B69F4">
    <w:pPr>
      <w:pStyle w:val="Encabezado"/>
      <w:framePr w:wrap="around" w:vAnchor="text" w:hAnchor="margin" w:xAlign="right" w:y="1"/>
      <w:rPr>
        <w:rStyle w:val="Nmerodepgina"/>
      </w:rPr>
    </w:pPr>
    <w:r>
      <w:rPr>
        <w:rStyle w:val="Nmerodepgina"/>
      </w:rPr>
      <w:fldChar w:fldCharType="begin"/>
    </w:r>
    <w:r w:rsidR="002618B9">
      <w:rPr>
        <w:rStyle w:val="Nmerodepgina"/>
      </w:rPr>
      <w:instrText xml:space="preserve">PAGE  </w:instrText>
    </w:r>
    <w:r>
      <w:rPr>
        <w:rStyle w:val="Nmerodepgina"/>
      </w:rPr>
      <w:fldChar w:fldCharType="end"/>
    </w:r>
  </w:p>
  <w:p w:rsidR="002618B9" w:rsidRDefault="002618B9"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9" w:rsidRPr="006A322E" w:rsidRDefault="00144A4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2618B9"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040219">
      <w:rPr>
        <w:rStyle w:val="Nmerodepgina"/>
        <w:rFonts w:ascii="Arial" w:hAnsi="Arial" w:cs="Arial"/>
        <w:noProof/>
        <w:sz w:val="22"/>
        <w:szCs w:val="22"/>
      </w:rPr>
      <w:t>3</w:t>
    </w:r>
    <w:r w:rsidRPr="006A322E">
      <w:rPr>
        <w:rStyle w:val="Nmerodepgina"/>
        <w:rFonts w:ascii="Arial" w:hAnsi="Arial" w:cs="Arial"/>
        <w:sz w:val="22"/>
        <w:szCs w:val="22"/>
      </w:rPr>
      <w:fldChar w:fldCharType="end"/>
    </w:r>
  </w:p>
  <w:p w:rsidR="002618B9" w:rsidRPr="0050418F" w:rsidRDefault="002618B9" w:rsidP="002618B9">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p w:rsidR="002618B9" w:rsidRDefault="002618B9">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9" w:rsidRPr="0050418F" w:rsidRDefault="002618B9">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597F68"/>
    <w:multiLevelType w:val="hybridMultilevel"/>
    <w:tmpl w:val="2A4C1ABC"/>
    <w:lvl w:ilvl="0" w:tplc="8454EF8A">
      <w:start w:val="1"/>
      <w:numFmt w:val="lowerLetter"/>
      <w:lvlText w:val="%1)"/>
      <w:lvlJc w:val="left"/>
      <w:pPr>
        <w:ind w:left="3975" w:hanging="114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outline w:val="0"/>
        <w:shadow w:val="0"/>
        <w:emboss w:val="0"/>
        <w:imprint w:val="0"/>
        <w:vanish w:val="0"/>
        <w:sz w:val="24"/>
        <w:vertAlign w:val="base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shadow w:val="0"/>
        <w:emboss w:val="0"/>
        <w:imprint w:val="0"/>
        <w:vanish w:val="0"/>
        <w:color w:val="auto"/>
        <w:sz w:val="24"/>
        <w:vertAlign w:val="base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BF777CC"/>
    <w:multiLevelType w:val="hybridMultilevel"/>
    <w:tmpl w:val="3B3CE57C"/>
    <w:lvl w:ilvl="0" w:tplc="4C3E6B7C">
      <w:start w:val="1"/>
      <w:numFmt w:val="lowerLetter"/>
      <w:lvlText w:val="%1)"/>
      <w:lvlJc w:val="left"/>
      <w:pPr>
        <w:ind w:left="4269" w:hanging="360"/>
      </w:pPr>
      <w:rPr>
        <w:rFonts w:hint="default"/>
        <w:b/>
      </w:rPr>
    </w:lvl>
    <w:lvl w:ilvl="1" w:tplc="340A0019" w:tentative="1">
      <w:start w:val="1"/>
      <w:numFmt w:val="lowerLetter"/>
      <w:lvlText w:val="%2."/>
      <w:lvlJc w:val="left"/>
      <w:pPr>
        <w:ind w:left="4989" w:hanging="360"/>
      </w:pPr>
    </w:lvl>
    <w:lvl w:ilvl="2" w:tplc="340A001B" w:tentative="1">
      <w:start w:val="1"/>
      <w:numFmt w:val="lowerRoman"/>
      <w:lvlText w:val="%3."/>
      <w:lvlJc w:val="right"/>
      <w:pPr>
        <w:ind w:left="5709" w:hanging="180"/>
      </w:pPr>
    </w:lvl>
    <w:lvl w:ilvl="3" w:tplc="340A000F" w:tentative="1">
      <w:start w:val="1"/>
      <w:numFmt w:val="decimal"/>
      <w:lvlText w:val="%4."/>
      <w:lvlJc w:val="left"/>
      <w:pPr>
        <w:ind w:left="6429" w:hanging="360"/>
      </w:pPr>
    </w:lvl>
    <w:lvl w:ilvl="4" w:tplc="340A0019" w:tentative="1">
      <w:start w:val="1"/>
      <w:numFmt w:val="lowerLetter"/>
      <w:lvlText w:val="%5."/>
      <w:lvlJc w:val="left"/>
      <w:pPr>
        <w:ind w:left="7149" w:hanging="360"/>
      </w:pPr>
    </w:lvl>
    <w:lvl w:ilvl="5" w:tplc="340A001B" w:tentative="1">
      <w:start w:val="1"/>
      <w:numFmt w:val="lowerRoman"/>
      <w:lvlText w:val="%6."/>
      <w:lvlJc w:val="right"/>
      <w:pPr>
        <w:ind w:left="7869" w:hanging="180"/>
      </w:pPr>
    </w:lvl>
    <w:lvl w:ilvl="6" w:tplc="340A000F" w:tentative="1">
      <w:start w:val="1"/>
      <w:numFmt w:val="decimal"/>
      <w:lvlText w:val="%7."/>
      <w:lvlJc w:val="left"/>
      <w:pPr>
        <w:ind w:left="8589" w:hanging="360"/>
      </w:pPr>
    </w:lvl>
    <w:lvl w:ilvl="7" w:tplc="340A0019" w:tentative="1">
      <w:start w:val="1"/>
      <w:numFmt w:val="lowerLetter"/>
      <w:lvlText w:val="%8."/>
      <w:lvlJc w:val="left"/>
      <w:pPr>
        <w:ind w:left="9309" w:hanging="360"/>
      </w:pPr>
    </w:lvl>
    <w:lvl w:ilvl="8" w:tplc="340A001B" w:tentative="1">
      <w:start w:val="1"/>
      <w:numFmt w:val="lowerRoman"/>
      <w:lvlText w:val="%9."/>
      <w:lvlJc w:val="right"/>
      <w:pPr>
        <w:ind w:left="10029" w:hanging="180"/>
      </w:p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382C7D"/>
    <w:multiLevelType w:val="hybridMultilevel"/>
    <w:tmpl w:val="CD2213FC"/>
    <w:lvl w:ilvl="0" w:tplc="0280583A">
      <w:start w:val="1"/>
      <w:numFmt w:val="lowerLetter"/>
      <w:lvlText w:val="%1)"/>
      <w:lvlJc w:val="left"/>
      <w:pPr>
        <w:ind w:left="2770" w:hanging="360"/>
      </w:pPr>
      <w:rPr>
        <w:rFonts w:hint="default"/>
        <w:b/>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abstractNum w:abstractNumId="14"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5" w15:restartNumberingAfterBreak="0">
    <w:nsid w:val="6A0354F6"/>
    <w:multiLevelType w:val="hybridMultilevel"/>
    <w:tmpl w:val="28581660"/>
    <w:lvl w:ilvl="0" w:tplc="A69E9DF2">
      <w:start w:val="1"/>
      <w:numFmt w:val="lowerRoman"/>
      <w:lvlText w:val="%1."/>
      <w:lvlJc w:val="left"/>
      <w:pPr>
        <w:ind w:left="3992" w:hanging="720"/>
      </w:pPr>
      <w:rPr>
        <w:rFonts w:hint="default"/>
        <w:b/>
      </w:rPr>
    </w:lvl>
    <w:lvl w:ilvl="1" w:tplc="340A0019" w:tentative="1">
      <w:start w:val="1"/>
      <w:numFmt w:val="lowerLetter"/>
      <w:lvlText w:val="%2."/>
      <w:lvlJc w:val="left"/>
      <w:pPr>
        <w:ind w:left="4352" w:hanging="360"/>
      </w:pPr>
    </w:lvl>
    <w:lvl w:ilvl="2" w:tplc="340A001B" w:tentative="1">
      <w:start w:val="1"/>
      <w:numFmt w:val="lowerRoman"/>
      <w:lvlText w:val="%3."/>
      <w:lvlJc w:val="right"/>
      <w:pPr>
        <w:ind w:left="5072" w:hanging="180"/>
      </w:pPr>
    </w:lvl>
    <w:lvl w:ilvl="3" w:tplc="340A000F" w:tentative="1">
      <w:start w:val="1"/>
      <w:numFmt w:val="decimal"/>
      <w:lvlText w:val="%4."/>
      <w:lvlJc w:val="left"/>
      <w:pPr>
        <w:ind w:left="5792" w:hanging="360"/>
      </w:pPr>
    </w:lvl>
    <w:lvl w:ilvl="4" w:tplc="340A0019" w:tentative="1">
      <w:start w:val="1"/>
      <w:numFmt w:val="lowerLetter"/>
      <w:lvlText w:val="%5."/>
      <w:lvlJc w:val="left"/>
      <w:pPr>
        <w:ind w:left="6512" w:hanging="360"/>
      </w:pPr>
    </w:lvl>
    <w:lvl w:ilvl="5" w:tplc="340A001B" w:tentative="1">
      <w:start w:val="1"/>
      <w:numFmt w:val="lowerRoman"/>
      <w:lvlText w:val="%6."/>
      <w:lvlJc w:val="right"/>
      <w:pPr>
        <w:ind w:left="7232" w:hanging="180"/>
      </w:pPr>
    </w:lvl>
    <w:lvl w:ilvl="6" w:tplc="340A000F" w:tentative="1">
      <w:start w:val="1"/>
      <w:numFmt w:val="decimal"/>
      <w:lvlText w:val="%7."/>
      <w:lvlJc w:val="left"/>
      <w:pPr>
        <w:ind w:left="7952" w:hanging="360"/>
      </w:pPr>
    </w:lvl>
    <w:lvl w:ilvl="7" w:tplc="340A0019" w:tentative="1">
      <w:start w:val="1"/>
      <w:numFmt w:val="lowerLetter"/>
      <w:lvlText w:val="%8."/>
      <w:lvlJc w:val="left"/>
      <w:pPr>
        <w:ind w:left="8672" w:hanging="360"/>
      </w:pPr>
    </w:lvl>
    <w:lvl w:ilvl="8" w:tplc="340A001B" w:tentative="1">
      <w:start w:val="1"/>
      <w:numFmt w:val="lowerRoman"/>
      <w:lvlText w:val="%9."/>
      <w:lvlJc w:val="right"/>
      <w:pPr>
        <w:ind w:left="9392" w:hanging="180"/>
      </w:pPr>
    </w:lvl>
  </w:abstractNum>
  <w:abstractNum w:abstractNumId="16" w15:restartNumberingAfterBreak="0">
    <w:nsid w:val="77B07B6B"/>
    <w:multiLevelType w:val="hybridMultilevel"/>
    <w:tmpl w:val="63CE29EE"/>
    <w:lvl w:ilvl="0" w:tplc="01D49E02">
      <w:start w:val="1"/>
      <w:numFmt w:val="decimal"/>
      <w:lvlText w:val="%1)"/>
      <w:lvlJc w:val="left"/>
      <w:pPr>
        <w:ind w:left="3054" w:hanging="360"/>
      </w:pPr>
      <w:rPr>
        <w:rFonts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3"/>
  </w:num>
  <w:num w:numId="2">
    <w:abstractNumId w:val="9"/>
  </w:num>
  <w:num w:numId="3">
    <w:abstractNumId w:val="5"/>
  </w:num>
  <w:num w:numId="4">
    <w:abstractNumId w:val="12"/>
  </w:num>
  <w:num w:numId="5">
    <w:abstractNumId w:val="14"/>
  </w:num>
  <w:num w:numId="6">
    <w:abstractNumId w:val="8"/>
  </w:num>
  <w:num w:numId="7">
    <w:abstractNumId w:val="0"/>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1"/>
  </w:num>
  <w:num w:numId="15">
    <w:abstractNumId w:val="1"/>
  </w:num>
  <w:num w:numId="16">
    <w:abstractNumId w:val="13"/>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
  <w:rsids>
    <w:rsidRoot w:val="00F94C24"/>
    <w:rsid w:val="000044A6"/>
    <w:rsid w:val="000057A8"/>
    <w:rsid w:val="00006746"/>
    <w:rsid w:val="00015AA4"/>
    <w:rsid w:val="0001624F"/>
    <w:rsid w:val="0001790C"/>
    <w:rsid w:val="00020461"/>
    <w:rsid w:val="0002055D"/>
    <w:rsid w:val="00031FFE"/>
    <w:rsid w:val="0003436C"/>
    <w:rsid w:val="0003440C"/>
    <w:rsid w:val="0003528C"/>
    <w:rsid w:val="00040219"/>
    <w:rsid w:val="00043124"/>
    <w:rsid w:val="00052B77"/>
    <w:rsid w:val="00057497"/>
    <w:rsid w:val="00063C1B"/>
    <w:rsid w:val="000655EB"/>
    <w:rsid w:val="00067889"/>
    <w:rsid w:val="000819A7"/>
    <w:rsid w:val="00082AC0"/>
    <w:rsid w:val="00092F03"/>
    <w:rsid w:val="00095474"/>
    <w:rsid w:val="000A36DB"/>
    <w:rsid w:val="000A51E2"/>
    <w:rsid w:val="000A61B8"/>
    <w:rsid w:val="000A66B8"/>
    <w:rsid w:val="000A793A"/>
    <w:rsid w:val="000B075A"/>
    <w:rsid w:val="000B3614"/>
    <w:rsid w:val="000C14DE"/>
    <w:rsid w:val="000C6FAB"/>
    <w:rsid w:val="000D255C"/>
    <w:rsid w:val="000D732A"/>
    <w:rsid w:val="000E2850"/>
    <w:rsid w:val="000E46A2"/>
    <w:rsid w:val="00101A3B"/>
    <w:rsid w:val="0010562D"/>
    <w:rsid w:val="001056E1"/>
    <w:rsid w:val="00105C4F"/>
    <w:rsid w:val="00111DA4"/>
    <w:rsid w:val="00122A92"/>
    <w:rsid w:val="00137915"/>
    <w:rsid w:val="001410D8"/>
    <w:rsid w:val="00141D56"/>
    <w:rsid w:val="00144A41"/>
    <w:rsid w:val="00150739"/>
    <w:rsid w:val="0015147E"/>
    <w:rsid w:val="00153C80"/>
    <w:rsid w:val="00155C4F"/>
    <w:rsid w:val="001657EB"/>
    <w:rsid w:val="001740B0"/>
    <w:rsid w:val="00177F3E"/>
    <w:rsid w:val="00181D28"/>
    <w:rsid w:val="00184BE3"/>
    <w:rsid w:val="00186AE7"/>
    <w:rsid w:val="0018710D"/>
    <w:rsid w:val="00194C89"/>
    <w:rsid w:val="001A0331"/>
    <w:rsid w:val="001A0A6E"/>
    <w:rsid w:val="001A1B6A"/>
    <w:rsid w:val="001A4325"/>
    <w:rsid w:val="001A6EAF"/>
    <w:rsid w:val="001B385D"/>
    <w:rsid w:val="001B559F"/>
    <w:rsid w:val="001B64D0"/>
    <w:rsid w:val="001B6DF7"/>
    <w:rsid w:val="001C15F9"/>
    <w:rsid w:val="001D2037"/>
    <w:rsid w:val="001D26B2"/>
    <w:rsid w:val="001D3D06"/>
    <w:rsid w:val="001D6DE8"/>
    <w:rsid w:val="001E28BA"/>
    <w:rsid w:val="001E568F"/>
    <w:rsid w:val="001F3130"/>
    <w:rsid w:val="001F370B"/>
    <w:rsid w:val="00203587"/>
    <w:rsid w:val="00203EA8"/>
    <w:rsid w:val="00206275"/>
    <w:rsid w:val="00207FBD"/>
    <w:rsid w:val="00215450"/>
    <w:rsid w:val="002159BD"/>
    <w:rsid w:val="00216C94"/>
    <w:rsid w:val="00222C16"/>
    <w:rsid w:val="00222CE3"/>
    <w:rsid w:val="00224EE3"/>
    <w:rsid w:val="00225145"/>
    <w:rsid w:val="002271CC"/>
    <w:rsid w:val="002363E4"/>
    <w:rsid w:val="00242EBA"/>
    <w:rsid w:val="002466BF"/>
    <w:rsid w:val="002533A6"/>
    <w:rsid w:val="0025389D"/>
    <w:rsid w:val="0025499B"/>
    <w:rsid w:val="0025683D"/>
    <w:rsid w:val="00261788"/>
    <w:rsid w:val="002618B9"/>
    <w:rsid w:val="00262581"/>
    <w:rsid w:val="002669A4"/>
    <w:rsid w:val="0027137A"/>
    <w:rsid w:val="002722FF"/>
    <w:rsid w:val="0027289D"/>
    <w:rsid w:val="00281921"/>
    <w:rsid w:val="00286121"/>
    <w:rsid w:val="002861A8"/>
    <w:rsid w:val="00293FDE"/>
    <w:rsid w:val="00295029"/>
    <w:rsid w:val="00295966"/>
    <w:rsid w:val="00297A30"/>
    <w:rsid w:val="002A4B6E"/>
    <w:rsid w:val="002B04D9"/>
    <w:rsid w:val="002B3E48"/>
    <w:rsid w:val="002B47CD"/>
    <w:rsid w:val="002B73D0"/>
    <w:rsid w:val="002B799B"/>
    <w:rsid w:val="002C3559"/>
    <w:rsid w:val="002D0186"/>
    <w:rsid w:val="002D25BA"/>
    <w:rsid w:val="002D6BF2"/>
    <w:rsid w:val="002E3F06"/>
    <w:rsid w:val="002E4165"/>
    <w:rsid w:val="002E49F6"/>
    <w:rsid w:val="002E4BB5"/>
    <w:rsid w:val="002F52D7"/>
    <w:rsid w:val="002F7D6E"/>
    <w:rsid w:val="00300921"/>
    <w:rsid w:val="003026D7"/>
    <w:rsid w:val="003034DF"/>
    <w:rsid w:val="00306B90"/>
    <w:rsid w:val="00320E49"/>
    <w:rsid w:val="00323E29"/>
    <w:rsid w:val="00334DA9"/>
    <w:rsid w:val="003420A2"/>
    <w:rsid w:val="00345001"/>
    <w:rsid w:val="00353168"/>
    <w:rsid w:val="00354B53"/>
    <w:rsid w:val="00355EE2"/>
    <w:rsid w:val="0036023E"/>
    <w:rsid w:val="00365DBF"/>
    <w:rsid w:val="0037118C"/>
    <w:rsid w:val="003751E6"/>
    <w:rsid w:val="00376D8A"/>
    <w:rsid w:val="00381096"/>
    <w:rsid w:val="00387B11"/>
    <w:rsid w:val="00387C60"/>
    <w:rsid w:val="00390052"/>
    <w:rsid w:val="0039043C"/>
    <w:rsid w:val="00390A5C"/>
    <w:rsid w:val="003A2768"/>
    <w:rsid w:val="003A2CAA"/>
    <w:rsid w:val="003A2E7D"/>
    <w:rsid w:val="003A3CDF"/>
    <w:rsid w:val="003B33FC"/>
    <w:rsid w:val="003B3EE2"/>
    <w:rsid w:val="003B6D2E"/>
    <w:rsid w:val="003C5A53"/>
    <w:rsid w:val="003C6567"/>
    <w:rsid w:val="003D0FF3"/>
    <w:rsid w:val="003D5F83"/>
    <w:rsid w:val="003E25ED"/>
    <w:rsid w:val="003F16B1"/>
    <w:rsid w:val="003F3E3E"/>
    <w:rsid w:val="003F4387"/>
    <w:rsid w:val="00404FCD"/>
    <w:rsid w:val="00413258"/>
    <w:rsid w:val="00415FBA"/>
    <w:rsid w:val="004178C8"/>
    <w:rsid w:val="00427BA5"/>
    <w:rsid w:val="004340CF"/>
    <w:rsid w:val="004369C9"/>
    <w:rsid w:val="00455201"/>
    <w:rsid w:val="00456F2C"/>
    <w:rsid w:val="00461DC7"/>
    <w:rsid w:val="00470ED7"/>
    <w:rsid w:val="004724F8"/>
    <w:rsid w:val="00473F70"/>
    <w:rsid w:val="00475866"/>
    <w:rsid w:val="004854D7"/>
    <w:rsid w:val="00487CF8"/>
    <w:rsid w:val="00490BED"/>
    <w:rsid w:val="00490F2B"/>
    <w:rsid w:val="0049721C"/>
    <w:rsid w:val="004A0187"/>
    <w:rsid w:val="004A0231"/>
    <w:rsid w:val="004A05A9"/>
    <w:rsid w:val="004B69F4"/>
    <w:rsid w:val="004C2168"/>
    <w:rsid w:val="004C5554"/>
    <w:rsid w:val="004C7DA7"/>
    <w:rsid w:val="004D0889"/>
    <w:rsid w:val="004D6D47"/>
    <w:rsid w:val="004D737C"/>
    <w:rsid w:val="004D7FE5"/>
    <w:rsid w:val="004E0718"/>
    <w:rsid w:val="004E561F"/>
    <w:rsid w:val="004F185C"/>
    <w:rsid w:val="004F3712"/>
    <w:rsid w:val="004F4389"/>
    <w:rsid w:val="005006F3"/>
    <w:rsid w:val="00501BA9"/>
    <w:rsid w:val="0050418F"/>
    <w:rsid w:val="00504BCD"/>
    <w:rsid w:val="005051C8"/>
    <w:rsid w:val="00506ABD"/>
    <w:rsid w:val="0050793E"/>
    <w:rsid w:val="005154A2"/>
    <w:rsid w:val="0052226D"/>
    <w:rsid w:val="00536F97"/>
    <w:rsid w:val="00546538"/>
    <w:rsid w:val="0054787B"/>
    <w:rsid w:val="005505DB"/>
    <w:rsid w:val="00551F91"/>
    <w:rsid w:val="005541F1"/>
    <w:rsid w:val="005600B8"/>
    <w:rsid w:val="0056106F"/>
    <w:rsid w:val="0056394B"/>
    <w:rsid w:val="00564E7B"/>
    <w:rsid w:val="00567C9F"/>
    <w:rsid w:val="005711C7"/>
    <w:rsid w:val="005729E8"/>
    <w:rsid w:val="005764E1"/>
    <w:rsid w:val="00577BC2"/>
    <w:rsid w:val="00586579"/>
    <w:rsid w:val="005868CA"/>
    <w:rsid w:val="00586BB9"/>
    <w:rsid w:val="0058737A"/>
    <w:rsid w:val="005934B7"/>
    <w:rsid w:val="005966BB"/>
    <w:rsid w:val="005975C4"/>
    <w:rsid w:val="005B6C86"/>
    <w:rsid w:val="005C15B9"/>
    <w:rsid w:val="005C28DC"/>
    <w:rsid w:val="005C3E43"/>
    <w:rsid w:val="005C759D"/>
    <w:rsid w:val="005D115D"/>
    <w:rsid w:val="005D2D78"/>
    <w:rsid w:val="005D63F7"/>
    <w:rsid w:val="005E0506"/>
    <w:rsid w:val="005E0B36"/>
    <w:rsid w:val="005E18C3"/>
    <w:rsid w:val="005E4461"/>
    <w:rsid w:val="005E6EA1"/>
    <w:rsid w:val="005E79EC"/>
    <w:rsid w:val="005F00F0"/>
    <w:rsid w:val="005F1C65"/>
    <w:rsid w:val="005F35F7"/>
    <w:rsid w:val="005F5458"/>
    <w:rsid w:val="005F5CE5"/>
    <w:rsid w:val="005F799E"/>
    <w:rsid w:val="00603B68"/>
    <w:rsid w:val="0061124D"/>
    <w:rsid w:val="006133BD"/>
    <w:rsid w:val="006133FB"/>
    <w:rsid w:val="006158D2"/>
    <w:rsid w:val="00616520"/>
    <w:rsid w:val="006216EF"/>
    <w:rsid w:val="00622235"/>
    <w:rsid w:val="00622798"/>
    <w:rsid w:val="006228C1"/>
    <w:rsid w:val="00623904"/>
    <w:rsid w:val="00633529"/>
    <w:rsid w:val="00652BF1"/>
    <w:rsid w:val="00653750"/>
    <w:rsid w:val="00654D59"/>
    <w:rsid w:val="00657D91"/>
    <w:rsid w:val="0066140B"/>
    <w:rsid w:val="0066246E"/>
    <w:rsid w:val="00664B86"/>
    <w:rsid w:val="006728FD"/>
    <w:rsid w:val="00677FB4"/>
    <w:rsid w:val="0068740A"/>
    <w:rsid w:val="00687A36"/>
    <w:rsid w:val="0069122A"/>
    <w:rsid w:val="006A322E"/>
    <w:rsid w:val="006A353D"/>
    <w:rsid w:val="006A723A"/>
    <w:rsid w:val="006B3499"/>
    <w:rsid w:val="006B7A10"/>
    <w:rsid w:val="006C093C"/>
    <w:rsid w:val="006C115A"/>
    <w:rsid w:val="006C60E7"/>
    <w:rsid w:val="006D4D78"/>
    <w:rsid w:val="006E042F"/>
    <w:rsid w:val="006E4C86"/>
    <w:rsid w:val="006F1858"/>
    <w:rsid w:val="0070266D"/>
    <w:rsid w:val="0070544F"/>
    <w:rsid w:val="0071604D"/>
    <w:rsid w:val="007238C0"/>
    <w:rsid w:val="007260AF"/>
    <w:rsid w:val="007264FB"/>
    <w:rsid w:val="007307B6"/>
    <w:rsid w:val="00731349"/>
    <w:rsid w:val="00733A49"/>
    <w:rsid w:val="00734D82"/>
    <w:rsid w:val="0073687A"/>
    <w:rsid w:val="007371F1"/>
    <w:rsid w:val="00742336"/>
    <w:rsid w:val="00751A61"/>
    <w:rsid w:val="00753938"/>
    <w:rsid w:val="00763599"/>
    <w:rsid w:val="00771297"/>
    <w:rsid w:val="00771715"/>
    <w:rsid w:val="0078215D"/>
    <w:rsid w:val="00790090"/>
    <w:rsid w:val="007929EC"/>
    <w:rsid w:val="00795ACB"/>
    <w:rsid w:val="007A2A06"/>
    <w:rsid w:val="007C5874"/>
    <w:rsid w:val="007D2A9C"/>
    <w:rsid w:val="007D718A"/>
    <w:rsid w:val="007D7DC6"/>
    <w:rsid w:val="007E0F45"/>
    <w:rsid w:val="007E6A61"/>
    <w:rsid w:val="007F51D5"/>
    <w:rsid w:val="007F7FC0"/>
    <w:rsid w:val="008026DC"/>
    <w:rsid w:val="00802B2E"/>
    <w:rsid w:val="0080419B"/>
    <w:rsid w:val="0080445F"/>
    <w:rsid w:val="0082294C"/>
    <w:rsid w:val="00823B9F"/>
    <w:rsid w:val="00824359"/>
    <w:rsid w:val="008257D6"/>
    <w:rsid w:val="00826279"/>
    <w:rsid w:val="00843E7D"/>
    <w:rsid w:val="008457CA"/>
    <w:rsid w:val="00852DF2"/>
    <w:rsid w:val="00853E4F"/>
    <w:rsid w:val="00854440"/>
    <w:rsid w:val="00860164"/>
    <w:rsid w:val="00861C0A"/>
    <w:rsid w:val="008669B1"/>
    <w:rsid w:val="00870DB0"/>
    <w:rsid w:val="00871072"/>
    <w:rsid w:val="0088370E"/>
    <w:rsid w:val="008853E0"/>
    <w:rsid w:val="00893EB3"/>
    <w:rsid w:val="008A07C0"/>
    <w:rsid w:val="008A2250"/>
    <w:rsid w:val="008A4662"/>
    <w:rsid w:val="008B6BE7"/>
    <w:rsid w:val="008C1AB7"/>
    <w:rsid w:val="008D7143"/>
    <w:rsid w:val="00902BD6"/>
    <w:rsid w:val="0090409F"/>
    <w:rsid w:val="00905904"/>
    <w:rsid w:val="00905E9F"/>
    <w:rsid w:val="009106CA"/>
    <w:rsid w:val="00912636"/>
    <w:rsid w:val="00916816"/>
    <w:rsid w:val="0092491E"/>
    <w:rsid w:val="00924CE4"/>
    <w:rsid w:val="00926C49"/>
    <w:rsid w:val="00940FD7"/>
    <w:rsid w:val="009412DB"/>
    <w:rsid w:val="00942BF4"/>
    <w:rsid w:val="00950D70"/>
    <w:rsid w:val="0095318A"/>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10552"/>
    <w:rsid w:val="00A15283"/>
    <w:rsid w:val="00A169F8"/>
    <w:rsid w:val="00A22E24"/>
    <w:rsid w:val="00A25847"/>
    <w:rsid w:val="00A31758"/>
    <w:rsid w:val="00A322BC"/>
    <w:rsid w:val="00A32627"/>
    <w:rsid w:val="00A335D9"/>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8589A"/>
    <w:rsid w:val="00A944FA"/>
    <w:rsid w:val="00A95869"/>
    <w:rsid w:val="00A96550"/>
    <w:rsid w:val="00AA44C7"/>
    <w:rsid w:val="00AA7B9A"/>
    <w:rsid w:val="00AB0A7F"/>
    <w:rsid w:val="00AB1FF8"/>
    <w:rsid w:val="00AB28F0"/>
    <w:rsid w:val="00AC0C2A"/>
    <w:rsid w:val="00AC3ABC"/>
    <w:rsid w:val="00AC50D2"/>
    <w:rsid w:val="00AC7895"/>
    <w:rsid w:val="00AD3E4E"/>
    <w:rsid w:val="00AD7289"/>
    <w:rsid w:val="00AD74C1"/>
    <w:rsid w:val="00AE194A"/>
    <w:rsid w:val="00AE3094"/>
    <w:rsid w:val="00AF54C8"/>
    <w:rsid w:val="00AF7665"/>
    <w:rsid w:val="00B0079E"/>
    <w:rsid w:val="00B02C70"/>
    <w:rsid w:val="00B03209"/>
    <w:rsid w:val="00B04605"/>
    <w:rsid w:val="00B06573"/>
    <w:rsid w:val="00B06DCD"/>
    <w:rsid w:val="00B253A6"/>
    <w:rsid w:val="00B27604"/>
    <w:rsid w:val="00B3203F"/>
    <w:rsid w:val="00B322A4"/>
    <w:rsid w:val="00B33930"/>
    <w:rsid w:val="00B33B8D"/>
    <w:rsid w:val="00B3562D"/>
    <w:rsid w:val="00B43C9A"/>
    <w:rsid w:val="00B45F3E"/>
    <w:rsid w:val="00B55855"/>
    <w:rsid w:val="00B604EC"/>
    <w:rsid w:val="00B73A07"/>
    <w:rsid w:val="00B751EB"/>
    <w:rsid w:val="00B75F2E"/>
    <w:rsid w:val="00B80834"/>
    <w:rsid w:val="00B84C6A"/>
    <w:rsid w:val="00B8684A"/>
    <w:rsid w:val="00B86A64"/>
    <w:rsid w:val="00B87ACA"/>
    <w:rsid w:val="00B9098A"/>
    <w:rsid w:val="00BA4F7B"/>
    <w:rsid w:val="00BB34A8"/>
    <w:rsid w:val="00BC0DA5"/>
    <w:rsid w:val="00BC72AA"/>
    <w:rsid w:val="00BD23C7"/>
    <w:rsid w:val="00BD2C2C"/>
    <w:rsid w:val="00BD4865"/>
    <w:rsid w:val="00BD56E0"/>
    <w:rsid w:val="00BE0AD6"/>
    <w:rsid w:val="00BE7DF4"/>
    <w:rsid w:val="00BF21D2"/>
    <w:rsid w:val="00C111F3"/>
    <w:rsid w:val="00C13F57"/>
    <w:rsid w:val="00C20AB5"/>
    <w:rsid w:val="00C22E5A"/>
    <w:rsid w:val="00C33C16"/>
    <w:rsid w:val="00C427C0"/>
    <w:rsid w:val="00C428F5"/>
    <w:rsid w:val="00C44961"/>
    <w:rsid w:val="00C541C6"/>
    <w:rsid w:val="00C55F7D"/>
    <w:rsid w:val="00C626A4"/>
    <w:rsid w:val="00C640DB"/>
    <w:rsid w:val="00C6704F"/>
    <w:rsid w:val="00C7634E"/>
    <w:rsid w:val="00C76B0B"/>
    <w:rsid w:val="00C80498"/>
    <w:rsid w:val="00C842F0"/>
    <w:rsid w:val="00C85E3D"/>
    <w:rsid w:val="00C86CCF"/>
    <w:rsid w:val="00C93EDA"/>
    <w:rsid w:val="00C96138"/>
    <w:rsid w:val="00C9620F"/>
    <w:rsid w:val="00C96C1B"/>
    <w:rsid w:val="00CA34D2"/>
    <w:rsid w:val="00CA3FAF"/>
    <w:rsid w:val="00CA4851"/>
    <w:rsid w:val="00CA4D29"/>
    <w:rsid w:val="00CA4E13"/>
    <w:rsid w:val="00CB2E26"/>
    <w:rsid w:val="00CB4F11"/>
    <w:rsid w:val="00CB7179"/>
    <w:rsid w:val="00CB7CAF"/>
    <w:rsid w:val="00CC03FD"/>
    <w:rsid w:val="00CC7AFD"/>
    <w:rsid w:val="00CD0090"/>
    <w:rsid w:val="00CD2E12"/>
    <w:rsid w:val="00CD70C9"/>
    <w:rsid w:val="00CE1455"/>
    <w:rsid w:val="00CF3B06"/>
    <w:rsid w:val="00CF3B68"/>
    <w:rsid w:val="00D01CCC"/>
    <w:rsid w:val="00D10405"/>
    <w:rsid w:val="00D107D4"/>
    <w:rsid w:val="00D14384"/>
    <w:rsid w:val="00D16CAE"/>
    <w:rsid w:val="00D175B9"/>
    <w:rsid w:val="00D201C1"/>
    <w:rsid w:val="00D2192A"/>
    <w:rsid w:val="00D269BB"/>
    <w:rsid w:val="00D34E09"/>
    <w:rsid w:val="00D45395"/>
    <w:rsid w:val="00D47B3F"/>
    <w:rsid w:val="00D532F8"/>
    <w:rsid w:val="00D55BDB"/>
    <w:rsid w:val="00D57B25"/>
    <w:rsid w:val="00D76D23"/>
    <w:rsid w:val="00D77A33"/>
    <w:rsid w:val="00D85CFB"/>
    <w:rsid w:val="00D86B30"/>
    <w:rsid w:val="00D87C06"/>
    <w:rsid w:val="00D90104"/>
    <w:rsid w:val="00D912F3"/>
    <w:rsid w:val="00D95C35"/>
    <w:rsid w:val="00D968C4"/>
    <w:rsid w:val="00DA1887"/>
    <w:rsid w:val="00DA1D38"/>
    <w:rsid w:val="00DA3C6B"/>
    <w:rsid w:val="00DB0DE4"/>
    <w:rsid w:val="00DB35F7"/>
    <w:rsid w:val="00DC59F8"/>
    <w:rsid w:val="00DD05FC"/>
    <w:rsid w:val="00DD4E6C"/>
    <w:rsid w:val="00DE3FC8"/>
    <w:rsid w:val="00DE531C"/>
    <w:rsid w:val="00DF61F0"/>
    <w:rsid w:val="00E01111"/>
    <w:rsid w:val="00E03A40"/>
    <w:rsid w:val="00E10F75"/>
    <w:rsid w:val="00E11D98"/>
    <w:rsid w:val="00E1511F"/>
    <w:rsid w:val="00E200B3"/>
    <w:rsid w:val="00E207AC"/>
    <w:rsid w:val="00E21DA8"/>
    <w:rsid w:val="00E2272E"/>
    <w:rsid w:val="00E35D93"/>
    <w:rsid w:val="00E42F7C"/>
    <w:rsid w:val="00E4471D"/>
    <w:rsid w:val="00E465DF"/>
    <w:rsid w:val="00E569F9"/>
    <w:rsid w:val="00E56B61"/>
    <w:rsid w:val="00E57118"/>
    <w:rsid w:val="00E63848"/>
    <w:rsid w:val="00E63C76"/>
    <w:rsid w:val="00E71A56"/>
    <w:rsid w:val="00E76B9E"/>
    <w:rsid w:val="00E8152D"/>
    <w:rsid w:val="00E84217"/>
    <w:rsid w:val="00E8612A"/>
    <w:rsid w:val="00E871B4"/>
    <w:rsid w:val="00E916D5"/>
    <w:rsid w:val="00EA45CC"/>
    <w:rsid w:val="00EA48F6"/>
    <w:rsid w:val="00EA60DD"/>
    <w:rsid w:val="00EB3805"/>
    <w:rsid w:val="00EB3864"/>
    <w:rsid w:val="00EB47C2"/>
    <w:rsid w:val="00ED5375"/>
    <w:rsid w:val="00ED70EC"/>
    <w:rsid w:val="00ED7D30"/>
    <w:rsid w:val="00EE1896"/>
    <w:rsid w:val="00EE2F8E"/>
    <w:rsid w:val="00EE56FB"/>
    <w:rsid w:val="00EF3FC1"/>
    <w:rsid w:val="00EF67A0"/>
    <w:rsid w:val="00F03E74"/>
    <w:rsid w:val="00F05125"/>
    <w:rsid w:val="00F058A2"/>
    <w:rsid w:val="00F07783"/>
    <w:rsid w:val="00F1637A"/>
    <w:rsid w:val="00F218DE"/>
    <w:rsid w:val="00F310F9"/>
    <w:rsid w:val="00F35FEC"/>
    <w:rsid w:val="00F43857"/>
    <w:rsid w:val="00F46F0A"/>
    <w:rsid w:val="00F61ABD"/>
    <w:rsid w:val="00F6292B"/>
    <w:rsid w:val="00F6416F"/>
    <w:rsid w:val="00F64996"/>
    <w:rsid w:val="00F66826"/>
    <w:rsid w:val="00F7156C"/>
    <w:rsid w:val="00F727A3"/>
    <w:rsid w:val="00F776D0"/>
    <w:rsid w:val="00F77B6B"/>
    <w:rsid w:val="00F8080C"/>
    <w:rsid w:val="00F80B5B"/>
    <w:rsid w:val="00F85F89"/>
    <w:rsid w:val="00F94C24"/>
    <w:rsid w:val="00FA5D48"/>
    <w:rsid w:val="00FB13AB"/>
    <w:rsid w:val="00FB1943"/>
    <w:rsid w:val="00FB54A3"/>
    <w:rsid w:val="00FB72E0"/>
    <w:rsid w:val="00FC1B73"/>
    <w:rsid w:val="00FC6F53"/>
    <w:rsid w:val="00FD55F8"/>
    <w:rsid w:val="00FE6E30"/>
    <w:rsid w:val="00FF0058"/>
    <w:rsid w:val="00FF36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16E305-83FD-40B1-81B0-0C2B2390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Textonotapie">
    <w:name w:val="footnote text"/>
    <w:basedOn w:val="Normal"/>
    <w:link w:val="TextonotapieCar"/>
    <w:uiPriority w:val="99"/>
    <w:unhideWhenUsed/>
    <w:rsid w:val="00AF7665"/>
    <w:rPr>
      <w:rFonts w:ascii="Calibri" w:eastAsia="Calibri" w:hAnsi="Calibri"/>
    </w:rPr>
  </w:style>
  <w:style w:type="character" w:customStyle="1" w:styleId="TextonotapieCar">
    <w:name w:val="Texto nota pie Car"/>
    <w:basedOn w:val="Fuentedeprrafopredeter"/>
    <w:link w:val="Textonotapie"/>
    <w:uiPriority w:val="99"/>
    <w:rsid w:val="00AF7665"/>
    <w:rPr>
      <w:rFonts w:ascii="Calibri" w:eastAsia="Calibri" w:hAnsi="Calibri"/>
    </w:rPr>
  </w:style>
  <w:style w:type="character" w:styleId="Refdenotaalpie">
    <w:name w:val="footnote reference"/>
    <w:uiPriority w:val="99"/>
    <w:unhideWhenUsed/>
    <w:rsid w:val="00AF7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7828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BE77-7611-4839-8852-2E99459D2BA6}">
  <ds:schemaRefs>
    <ds:schemaRef ds:uri="http://schemas.microsoft.com/sharepoint/v3/contenttype/forms"/>
  </ds:schemaRefs>
</ds:datastoreItem>
</file>

<file path=customXml/itemProps2.xml><?xml version="1.0" encoding="utf-8"?>
<ds:datastoreItem xmlns:ds="http://schemas.openxmlformats.org/officeDocument/2006/customXml" ds:itemID="{88CAF941-4686-4F2C-BB00-73347EE0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147B09-643E-4BEF-B6AB-969E59F97C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500F8C-E39A-423E-AB05-98CE14E4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Margarita Maria Risopatron Lemaitre</cp:lastModifiedBy>
  <cp:revision>14</cp:revision>
  <cp:lastPrinted>2014-03-13T13:01:00Z</cp:lastPrinted>
  <dcterms:created xsi:type="dcterms:W3CDTF">2021-09-22T15:19:00Z</dcterms:created>
  <dcterms:modified xsi:type="dcterms:W3CDTF">2021-09-23T01:11:00Z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