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30A" w:rsidRPr="000A3244" w:rsidRDefault="007C772A" w:rsidP="008E330A">
      <w:pPr>
        <w:shd w:val="clear" w:color="auto" w:fill="FFFFFF"/>
        <w:tabs>
          <w:tab w:val="left" w:pos="-284"/>
          <w:tab w:val="left" w:pos="0"/>
          <w:tab w:val="left" w:pos="1701"/>
        </w:tabs>
        <w:jc w:val="both"/>
        <w:rPr>
          <w:rFonts w:ascii="Arial" w:hAnsi="Arial" w:cs="Arial"/>
          <w:b/>
          <w:color w:val="000000"/>
          <w:sz w:val="22"/>
          <w:szCs w:val="22"/>
          <w:shd w:val="clear" w:color="auto" w:fill="F2F4F7"/>
          <w:lang w:val="es-ES"/>
        </w:rPr>
      </w:pPr>
      <w:r w:rsidRPr="002E1ACA">
        <w:rPr>
          <w:rFonts w:ascii="Arial" w:hAnsi="Arial" w:cs="Arial"/>
          <w:b/>
          <w:sz w:val="22"/>
          <w:szCs w:val="22"/>
        </w:rPr>
        <w:t xml:space="preserve">INFORME DE LA COMISIÓN DE HACIENDA </w:t>
      </w:r>
      <w:r w:rsidRPr="002E1ACA">
        <w:rPr>
          <w:rFonts w:ascii="Arial" w:hAnsi="Arial" w:cs="Arial"/>
          <w:b/>
          <w:bCs/>
          <w:color w:val="000000"/>
          <w:spacing w:val="-2"/>
          <w:sz w:val="22"/>
          <w:szCs w:val="22"/>
        </w:rPr>
        <w:t xml:space="preserve">SOBRE </w:t>
      </w:r>
      <w:r w:rsidR="008E330A" w:rsidRPr="000A3244">
        <w:rPr>
          <w:rFonts w:ascii="Arial" w:hAnsi="Arial" w:cs="Arial"/>
          <w:b/>
          <w:bCs/>
          <w:color w:val="000000"/>
          <w:spacing w:val="-2"/>
          <w:sz w:val="22"/>
          <w:szCs w:val="22"/>
        </w:rPr>
        <w:t xml:space="preserve">PROYECTO DE ACUERDO QUE </w:t>
      </w:r>
      <w:r w:rsidR="008E330A" w:rsidRPr="000A3244">
        <w:rPr>
          <w:rFonts w:ascii="Arial" w:hAnsi="Arial" w:cs="Arial"/>
          <w:b/>
          <w:color w:val="000000"/>
          <w:sz w:val="22"/>
          <w:szCs w:val="22"/>
          <w:shd w:val="clear" w:color="auto" w:fill="F2F4F7"/>
        </w:rPr>
        <w:t xml:space="preserve">APRUEBA EL </w:t>
      </w:r>
      <w:r w:rsidR="008E330A" w:rsidRPr="000A3244">
        <w:rPr>
          <w:rFonts w:ascii="Arial" w:hAnsi="Arial" w:cs="Arial"/>
          <w:b/>
          <w:color w:val="000000"/>
          <w:sz w:val="22"/>
          <w:szCs w:val="22"/>
          <w:shd w:val="clear" w:color="auto" w:fill="F2F4F7"/>
          <w:lang w:val="es-ES"/>
        </w:rPr>
        <w:t xml:space="preserve">CONVENIO ENTRE </w:t>
      </w:r>
      <w:r w:rsidR="00873B39">
        <w:rPr>
          <w:rFonts w:ascii="Arial" w:hAnsi="Arial" w:cs="Arial"/>
          <w:b/>
          <w:color w:val="000000"/>
          <w:sz w:val="22"/>
          <w:szCs w:val="22"/>
          <w:shd w:val="clear" w:color="auto" w:fill="F2F4F7"/>
          <w:lang w:val="es-ES"/>
        </w:rPr>
        <w:t xml:space="preserve">LA </w:t>
      </w:r>
      <w:r w:rsidR="008E330A" w:rsidRPr="000A3244">
        <w:rPr>
          <w:rFonts w:ascii="Arial" w:hAnsi="Arial" w:cs="Arial"/>
          <w:b/>
          <w:color w:val="000000"/>
          <w:sz w:val="22"/>
          <w:szCs w:val="22"/>
          <w:shd w:val="clear" w:color="auto" w:fill="F2F4F7"/>
          <w:lang w:val="es-ES"/>
        </w:rPr>
        <w:t xml:space="preserve">REPÚBLICA DE CHILE </w:t>
      </w:r>
      <w:r w:rsidR="00873B39">
        <w:rPr>
          <w:rFonts w:ascii="Arial" w:hAnsi="Arial" w:cs="Arial"/>
          <w:b/>
          <w:color w:val="000000"/>
          <w:sz w:val="22"/>
          <w:szCs w:val="22"/>
          <w:shd w:val="clear" w:color="auto" w:fill="F2F4F7"/>
          <w:lang w:val="es-ES"/>
        </w:rPr>
        <w:t xml:space="preserve">Y </w:t>
      </w:r>
      <w:r w:rsidR="00EB6580">
        <w:rPr>
          <w:rFonts w:ascii="Arial" w:hAnsi="Arial" w:cs="Arial"/>
          <w:b/>
          <w:color w:val="000000"/>
          <w:sz w:val="22"/>
          <w:szCs w:val="22"/>
          <w:shd w:val="clear" w:color="auto" w:fill="F2F4F7"/>
          <w:lang w:val="es-ES"/>
        </w:rPr>
        <w:t>LOS EMIRATOS ÁRABES UNIDOS</w:t>
      </w:r>
      <w:r w:rsidR="00873B39" w:rsidRPr="000A3244">
        <w:rPr>
          <w:rFonts w:ascii="Arial" w:hAnsi="Arial" w:cs="Arial"/>
          <w:b/>
          <w:color w:val="000000"/>
          <w:sz w:val="22"/>
          <w:szCs w:val="22"/>
          <w:shd w:val="clear" w:color="auto" w:fill="F2F4F7"/>
          <w:lang w:val="es-ES"/>
        </w:rPr>
        <w:t xml:space="preserve"> </w:t>
      </w:r>
      <w:r w:rsidR="008E330A" w:rsidRPr="000A3244">
        <w:rPr>
          <w:rFonts w:ascii="Arial" w:hAnsi="Arial" w:cs="Arial"/>
          <w:b/>
          <w:color w:val="000000"/>
          <w:sz w:val="22"/>
          <w:szCs w:val="22"/>
          <w:shd w:val="clear" w:color="auto" w:fill="F2F4F7"/>
          <w:lang w:val="es-ES"/>
        </w:rPr>
        <w:t>PARA ELIMINAR LA DOBLE IMPOSICIÓN EN RELACIÓN CON LOS IMPUESTOS SOBRE LA RENTA Y EL PATRIMONIO Y PARA PREVENIR LA EVASIÓN Y ELUSIÓN FISCAL, Y SU PROTOCOLO, SUSCRITOS EN SANTIAGO, CHILE, EL 25 DE ENERO DE 2021.</w:t>
      </w:r>
    </w:p>
    <w:p w:rsidR="003F2693" w:rsidRDefault="003F2693" w:rsidP="008E330A">
      <w:pPr>
        <w:pBdr>
          <w:bottom w:val="single" w:sz="12" w:space="1" w:color="auto"/>
        </w:pBdr>
        <w:shd w:val="clear" w:color="auto" w:fill="FFFFFF"/>
        <w:tabs>
          <w:tab w:val="left" w:pos="-284"/>
          <w:tab w:val="left" w:pos="0"/>
          <w:tab w:val="left" w:pos="1701"/>
        </w:tabs>
        <w:spacing w:line="276" w:lineRule="auto"/>
        <w:jc w:val="both"/>
        <w:rPr>
          <w:rFonts w:ascii="Arial" w:hAnsi="Arial" w:cs="Arial"/>
          <w:b/>
          <w:bCs/>
          <w:color w:val="000000"/>
          <w:spacing w:val="-2"/>
          <w:sz w:val="22"/>
          <w:szCs w:val="22"/>
        </w:rPr>
      </w:pPr>
    </w:p>
    <w:p w:rsidR="008E330A" w:rsidRDefault="00705A09" w:rsidP="008E330A">
      <w:pPr>
        <w:shd w:val="clear" w:color="auto" w:fill="FFFFFF"/>
        <w:tabs>
          <w:tab w:val="left" w:pos="-284"/>
          <w:tab w:val="left" w:pos="0"/>
          <w:tab w:val="left" w:pos="1701"/>
        </w:tabs>
        <w:spacing w:line="276" w:lineRule="auto"/>
        <w:jc w:val="right"/>
        <w:rPr>
          <w:rFonts w:ascii="Arial" w:hAnsi="Arial" w:cs="Arial"/>
          <w:sz w:val="22"/>
          <w:szCs w:val="22"/>
        </w:rPr>
      </w:pPr>
      <w:r w:rsidRPr="002E1ACA">
        <w:rPr>
          <w:rFonts w:ascii="Arial" w:hAnsi="Arial" w:cs="Arial"/>
          <w:b/>
          <w:bCs/>
          <w:color w:val="000000"/>
          <w:spacing w:val="-2"/>
          <w:sz w:val="22"/>
          <w:szCs w:val="22"/>
        </w:rPr>
        <w:t xml:space="preserve">Boletín N° </w:t>
      </w:r>
      <w:r w:rsidR="008E330A">
        <w:rPr>
          <w:rFonts w:ascii="Arial" w:hAnsi="Arial" w:cs="Arial"/>
          <w:b/>
          <w:bCs/>
          <w:color w:val="000000"/>
          <w:spacing w:val="-2"/>
          <w:sz w:val="22"/>
          <w:szCs w:val="22"/>
        </w:rPr>
        <w:t>1474</w:t>
      </w:r>
      <w:r w:rsidR="00EB6580">
        <w:rPr>
          <w:rFonts w:ascii="Arial" w:hAnsi="Arial" w:cs="Arial"/>
          <w:b/>
          <w:bCs/>
          <w:color w:val="000000"/>
          <w:spacing w:val="-2"/>
          <w:sz w:val="22"/>
          <w:szCs w:val="22"/>
        </w:rPr>
        <w:t>2</w:t>
      </w:r>
      <w:r w:rsidR="008E330A">
        <w:rPr>
          <w:rFonts w:ascii="Arial" w:hAnsi="Arial" w:cs="Arial"/>
          <w:b/>
          <w:bCs/>
          <w:color w:val="000000"/>
          <w:spacing w:val="-2"/>
          <w:sz w:val="22"/>
          <w:szCs w:val="22"/>
        </w:rPr>
        <w:t>-10</w:t>
      </w:r>
    </w:p>
    <w:p w:rsidR="008E330A" w:rsidRDefault="008E330A" w:rsidP="007C772A">
      <w:pPr>
        <w:shd w:val="clear" w:color="auto" w:fill="FFFFFF"/>
        <w:tabs>
          <w:tab w:val="left" w:pos="-284"/>
          <w:tab w:val="left" w:pos="0"/>
        </w:tabs>
        <w:spacing w:before="120" w:line="276" w:lineRule="auto"/>
        <w:rPr>
          <w:rFonts w:ascii="Arial" w:hAnsi="Arial" w:cs="Arial"/>
          <w:sz w:val="22"/>
          <w:szCs w:val="22"/>
        </w:rPr>
      </w:pPr>
    </w:p>
    <w:p w:rsidR="00C11848" w:rsidRDefault="00C11848" w:rsidP="007C772A">
      <w:pPr>
        <w:shd w:val="clear" w:color="auto" w:fill="FFFFFF"/>
        <w:tabs>
          <w:tab w:val="left" w:pos="-284"/>
          <w:tab w:val="left" w:pos="0"/>
        </w:tabs>
        <w:spacing w:before="120" w:line="276" w:lineRule="auto"/>
        <w:rPr>
          <w:rFonts w:ascii="Arial" w:hAnsi="Arial" w:cs="Arial"/>
          <w:sz w:val="22"/>
          <w:szCs w:val="22"/>
        </w:rPr>
      </w:pPr>
    </w:p>
    <w:p w:rsidR="007C772A" w:rsidRPr="002E1ACA" w:rsidRDefault="007C772A" w:rsidP="007C772A">
      <w:pPr>
        <w:shd w:val="clear" w:color="auto" w:fill="FFFFFF"/>
        <w:tabs>
          <w:tab w:val="left" w:pos="-284"/>
          <w:tab w:val="left" w:pos="0"/>
        </w:tabs>
        <w:spacing w:before="120" w:line="276" w:lineRule="auto"/>
        <w:rPr>
          <w:rFonts w:ascii="Arial" w:hAnsi="Arial" w:cs="Arial"/>
          <w:sz w:val="22"/>
          <w:szCs w:val="22"/>
        </w:rPr>
      </w:pPr>
      <w:r w:rsidRPr="002E1ACA">
        <w:rPr>
          <w:rFonts w:ascii="Arial" w:hAnsi="Arial" w:cs="Arial"/>
          <w:sz w:val="22"/>
          <w:szCs w:val="22"/>
        </w:rPr>
        <w:t>HONORABLE CÁMARA:</w:t>
      </w:r>
    </w:p>
    <w:p w:rsidR="007C772A" w:rsidRPr="002E1ACA" w:rsidRDefault="007C772A" w:rsidP="007C772A">
      <w:pPr>
        <w:tabs>
          <w:tab w:val="left" w:pos="-284"/>
          <w:tab w:val="left" w:pos="0"/>
          <w:tab w:val="left" w:pos="1701"/>
        </w:tabs>
        <w:spacing w:line="276" w:lineRule="auto"/>
        <w:ind w:right="51" w:firstLine="1701"/>
        <w:jc w:val="both"/>
        <w:rPr>
          <w:rFonts w:ascii="Arial" w:hAnsi="Arial" w:cs="Arial"/>
          <w:sz w:val="22"/>
          <w:szCs w:val="22"/>
        </w:rPr>
      </w:pPr>
    </w:p>
    <w:p w:rsidR="00C11848" w:rsidRDefault="00C11848" w:rsidP="007C772A">
      <w:pPr>
        <w:tabs>
          <w:tab w:val="left" w:pos="-284"/>
          <w:tab w:val="left" w:pos="0"/>
          <w:tab w:val="left" w:pos="1701"/>
        </w:tabs>
        <w:spacing w:line="276" w:lineRule="auto"/>
        <w:ind w:right="51" w:firstLine="1701"/>
        <w:jc w:val="both"/>
        <w:rPr>
          <w:rFonts w:ascii="Arial" w:hAnsi="Arial" w:cs="Arial"/>
          <w:sz w:val="22"/>
          <w:szCs w:val="22"/>
        </w:rPr>
      </w:pPr>
    </w:p>
    <w:p w:rsidR="007C772A" w:rsidRPr="002E1ACA" w:rsidRDefault="007C772A" w:rsidP="007C772A">
      <w:pPr>
        <w:tabs>
          <w:tab w:val="left" w:pos="-284"/>
          <w:tab w:val="left" w:pos="0"/>
          <w:tab w:val="left" w:pos="1701"/>
        </w:tabs>
        <w:spacing w:line="276" w:lineRule="auto"/>
        <w:ind w:right="51" w:firstLine="1701"/>
        <w:jc w:val="both"/>
        <w:rPr>
          <w:rFonts w:ascii="Arial" w:hAnsi="Arial" w:cs="Arial"/>
          <w:sz w:val="22"/>
          <w:szCs w:val="22"/>
        </w:rPr>
      </w:pPr>
      <w:r w:rsidRPr="002E1ACA">
        <w:rPr>
          <w:rFonts w:ascii="Arial" w:hAnsi="Arial" w:cs="Arial"/>
          <w:sz w:val="22"/>
          <w:szCs w:val="22"/>
        </w:rPr>
        <w:t xml:space="preserve">La Comisión de Hacienda pasa a informar, en cumplimiento del inciso segundo del artículo 17 de la ley N° 18.918, Orgánica Constitucional del Congreso Nacional, y conforme con lo dispuesto en el inciso segundo del artículo 226 del Reglamento de la Corporación, el proyecto de acuerdo mencionado en el epígrafe, originado en Mensaje </w:t>
      </w:r>
      <w:r w:rsidR="000C6118" w:rsidRPr="002E1ACA">
        <w:rPr>
          <w:rFonts w:ascii="Arial" w:hAnsi="Arial" w:cs="Arial"/>
          <w:sz w:val="22"/>
          <w:szCs w:val="22"/>
        </w:rPr>
        <w:t xml:space="preserve">de S.E. el Presidente de la República señor Sebastián Piñera Echenique, </w:t>
      </w:r>
      <w:r w:rsidRPr="002E1ACA">
        <w:rPr>
          <w:rFonts w:ascii="Arial" w:hAnsi="Arial" w:cs="Arial"/>
          <w:sz w:val="22"/>
          <w:szCs w:val="22"/>
        </w:rPr>
        <w:t xml:space="preserve">ingresado a tramitación el </w:t>
      </w:r>
      <w:r w:rsidR="008E330A">
        <w:rPr>
          <w:rFonts w:ascii="Arial" w:hAnsi="Arial" w:cs="Arial"/>
          <w:sz w:val="22"/>
          <w:szCs w:val="22"/>
        </w:rPr>
        <w:t>7 de diciembre de 2021</w:t>
      </w:r>
      <w:r w:rsidR="000C6118" w:rsidRPr="002E1ACA">
        <w:rPr>
          <w:rFonts w:ascii="Arial" w:hAnsi="Arial" w:cs="Arial"/>
          <w:sz w:val="22"/>
          <w:szCs w:val="22"/>
        </w:rPr>
        <w:t>, e informado en cumplimiento de su primer trámite constitucional y reglamentario, por la Comisión de Relaciones Exteriores, Asuntos Interparlamentarios e Integración Latinoamericana</w:t>
      </w:r>
      <w:r w:rsidRPr="002E1ACA">
        <w:rPr>
          <w:rFonts w:ascii="Arial" w:hAnsi="Arial" w:cs="Arial"/>
          <w:sz w:val="22"/>
          <w:szCs w:val="22"/>
        </w:rPr>
        <w:t>.</w:t>
      </w:r>
      <w:r w:rsidR="003F2693">
        <w:rPr>
          <w:rFonts w:ascii="Arial" w:hAnsi="Arial" w:cs="Arial"/>
          <w:sz w:val="22"/>
          <w:szCs w:val="22"/>
        </w:rPr>
        <w:t xml:space="preserve"> </w:t>
      </w:r>
    </w:p>
    <w:p w:rsidR="003F2693" w:rsidRDefault="003F2693" w:rsidP="00616315">
      <w:pPr>
        <w:spacing w:line="276" w:lineRule="auto"/>
        <w:ind w:firstLine="1701"/>
        <w:jc w:val="both"/>
        <w:rPr>
          <w:rFonts w:ascii="Arial" w:hAnsi="Arial" w:cs="Arial"/>
          <w:sz w:val="22"/>
          <w:szCs w:val="22"/>
        </w:rPr>
      </w:pPr>
    </w:p>
    <w:p w:rsidR="00FD0D7E" w:rsidRDefault="00FD0D7E" w:rsidP="00FD0D7E">
      <w:pPr>
        <w:spacing w:line="276" w:lineRule="auto"/>
        <w:ind w:firstLine="1701"/>
        <w:jc w:val="both"/>
        <w:rPr>
          <w:rFonts w:ascii="Arial" w:hAnsi="Arial" w:cs="Arial"/>
          <w:sz w:val="22"/>
          <w:szCs w:val="22"/>
        </w:rPr>
      </w:pPr>
      <w:r w:rsidRPr="000A2A38">
        <w:rPr>
          <w:rFonts w:ascii="Arial" w:hAnsi="Arial" w:cs="Arial"/>
          <w:sz w:val="22"/>
          <w:szCs w:val="22"/>
        </w:rPr>
        <w:t>Asist</w:t>
      </w:r>
      <w:r>
        <w:rPr>
          <w:rFonts w:ascii="Arial" w:hAnsi="Arial" w:cs="Arial"/>
          <w:sz w:val="22"/>
          <w:szCs w:val="22"/>
        </w:rPr>
        <w:t xml:space="preserve">ieron </w:t>
      </w:r>
      <w:r w:rsidRPr="000A2A38">
        <w:rPr>
          <w:rFonts w:ascii="Arial" w:hAnsi="Arial" w:cs="Arial"/>
          <w:sz w:val="22"/>
          <w:szCs w:val="22"/>
        </w:rPr>
        <w:t xml:space="preserve">en </w:t>
      </w:r>
      <w:r>
        <w:rPr>
          <w:rFonts w:ascii="Arial" w:hAnsi="Arial" w:cs="Arial"/>
          <w:sz w:val="22"/>
          <w:szCs w:val="22"/>
        </w:rPr>
        <w:t>representación del Ejecutivo</w:t>
      </w:r>
      <w:r w:rsidRPr="000A2A38">
        <w:rPr>
          <w:rFonts w:ascii="Arial" w:hAnsi="Arial" w:cs="Arial"/>
          <w:sz w:val="22"/>
          <w:szCs w:val="22"/>
        </w:rPr>
        <w:t xml:space="preserve"> </w:t>
      </w:r>
      <w:r w:rsidRPr="009D3CDF">
        <w:rPr>
          <w:rFonts w:ascii="Arial" w:hAnsi="Arial" w:cs="Arial"/>
          <w:sz w:val="22"/>
          <w:szCs w:val="22"/>
        </w:rPr>
        <w:t>el Subsecretario de Hacienda, señor Alejandro Weber Pérez</w:t>
      </w:r>
      <w:r>
        <w:rPr>
          <w:rFonts w:ascii="Arial" w:hAnsi="Arial" w:cs="Arial"/>
          <w:sz w:val="22"/>
          <w:szCs w:val="22"/>
        </w:rPr>
        <w:t xml:space="preserve"> y el </w:t>
      </w:r>
      <w:r w:rsidRPr="009D3CDF">
        <w:rPr>
          <w:rFonts w:ascii="Arial" w:hAnsi="Arial" w:cs="Arial"/>
          <w:sz w:val="22"/>
          <w:szCs w:val="22"/>
        </w:rPr>
        <w:t>Subsecretario de Relaciones Económicas Internacionales, señor Rodrigo Yáñez Benítez</w:t>
      </w:r>
      <w:r>
        <w:rPr>
          <w:rFonts w:ascii="Arial" w:hAnsi="Arial" w:cs="Arial"/>
          <w:sz w:val="22"/>
          <w:szCs w:val="22"/>
        </w:rPr>
        <w:t xml:space="preserve">, acompañados de </w:t>
      </w:r>
      <w:r w:rsidRPr="009D3CDF">
        <w:rPr>
          <w:rFonts w:ascii="Arial" w:hAnsi="Arial" w:cs="Arial"/>
          <w:sz w:val="22"/>
          <w:szCs w:val="22"/>
        </w:rPr>
        <w:t>la Coordinadora de Política Tributaria del Ministerio de Hacienda, señora Javiera Suazo López</w:t>
      </w:r>
      <w:r>
        <w:rPr>
          <w:rFonts w:ascii="Arial" w:hAnsi="Arial" w:cs="Arial"/>
          <w:sz w:val="22"/>
          <w:szCs w:val="22"/>
        </w:rPr>
        <w:t>.</w:t>
      </w:r>
      <w:r w:rsidRPr="009D3CDF">
        <w:rPr>
          <w:rFonts w:ascii="Arial" w:hAnsi="Arial" w:cs="Arial"/>
          <w:sz w:val="22"/>
          <w:szCs w:val="22"/>
        </w:rPr>
        <w:t xml:space="preserve"> </w:t>
      </w:r>
    </w:p>
    <w:p w:rsidR="001A4C6B" w:rsidRPr="002E1ACA" w:rsidRDefault="001A4C6B" w:rsidP="00616315">
      <w:pPr>
        <w:spacing w:line="276" w:lineRule="auto"/>
        <w:ind w:firstLine="1701"/>
        <w:jc w:val="both"/>
        <w:rPr>
          <w:rFonts w:ascii="Arial" w:hAnsi="Arial" w:cs="Arial"/>
          <w:sz w:val="22"/>
          <w:szCs w:val="22"/>
        </w:rPr>
      </w:pPr>
    </w:p>
    <w:p w:rsidR="00755EFD" w:rsidRPr="002E1ACA" w:rsidRDefault="00755EFD" w:rsidP="005474DB">
      <w:pPr>
        <w:pStyle w:val="Ttulo1"/>
        <w:tabs>
          <w:tab w:val="left" w:pos="-284"/>
          <w:tab w:val="left" w:pos="0"/>
        </w:tabs>
        <w:spacing w:line="276" w:lineRule="auto"/>
        <w:rPr>
          <w:rFonts w:cs="Arial"/>
          <w:b/>
          <w:sz w:val="22"/>
          <w:szCs w:val="22"/>
        </w:rPr>
      </w:pPr>
    </w:p>
    <w:p w:rsidR="00F20C32" w:rsidRPr="002E1ACA" w:rsidRDefault="004F146B" w:rsidP="005474DB">
      <w:pPr>
        <w:pStyle w:val="Ttulo1"/>
        <w:tabs>
          <w:tab w:val="left" w:pos="-284"/>
          <w:tab w:val="left" w:pos="0"/>
        </w:tabs>
        <w:spacing w:line="276" w:lineRule="auto"/>
        <w:rPr>
          <w:rFonts w:cs="Arial"/>
          <w:b/>
          <w:sz w:val="22"/>
          <w:szCs w:val="22"/>
          <w:u w:val="none"/>
        </w:rPr>
      </w:pPr>
      <w:r w:rsidRPr="002E1ACA">
        <w:rPr>
          <w:rFonts w:cs="Arial"/>
          <w:b/>
          <w:sz w:val="22"/>
          <w:szCs w:val="22"/>
          <w:u w:val="none"/>
        </w:rPr>
        <w:t>I.-CONSTANCIAS REGLAMENTARIAS PREVIAS</w:t>
      </w:r>
    </w:p>
    <w:p w:rsidR="005474DB" w:rsidRPr="002E1ACA" w:rsidRDefault="005474DB" w:rsidP="005474DB">
      <w:pPr>
        <w:tabs>
          <w:tab w:val="left" w:pos="-284"/>
          <w:tab w:val="left" w:pos="0"/>
        </w:tabs>
        <w:spacing w:line="276" w:lineRule="auto"/>
        <w:ind w:firstLine="1701"/>
        <w:rPr>
          <w:rFonts w:ascii="Arial" w:hAnsi="Arial" w:cs="Arial"/>
          <w:sz w:val="22"/>
          <w:szCs w:val="22"/>
        </w:rPr>
      </w:pPr>
    </w:p>
    <w:p w:rsidR="005474DB" w:rsidRDefault="005474DB" w:rsidP="005474DB">
      <w:pPr>
        <w:tabs>
          <w:tab w:val="left" w:pos="-284"/>
          <w:tab w:val="left" w:pos="0"/>
          <w:tab w:val="left" w:pos="1701"/>
        </w:tabs>
        <w:spacing w:line="276" w:lineRule="auto"/>
        <w:ind w:firstLine="1701"/>
        <w:rPr>
          <w:rFonts w:ascii="Arial" w:hAnsi="Arial" w:cs="Arial"/>
          <w:sz w:val="22"/>
          <w:szCs w:val="22"/>
          <w:u w:val="single"/>
        </w:rPr>
      </w:pPr>
      <w:r w:rsidRPr="002E1ACA">
        <w:rPr>
          <w:rFonts w:ascii="Arial" w:hAnsi="Arial" w:cs="Arial"/>
          <w:sz w:val="22"/>
          <w:szCs w:val="22"/>
        </w:rPr>
        <w:t>1.-</w:t>
      </w:r>
      <w:r w:rsidRPr="002E1ACA">
        <w:rPr>
          <w:rFonts w:ascii="Arial" w:hAnsi="Arial" w:cs="Arial"/>
          <w:sz w:val="22"/>
          <w:szCs w:val="22"/>
          <w:u w:val="single"/>
        </w:rPr>
        <w:t>Idea matriz o fundamental del Proyecto de Acuerdo:</w:t>
      </w:r>
    </w:p>
    <w:p w:rsidR="00C11848" w:rsidRDefault="00C11848" w:rsidP="00FD0D7E">
      <w:pPr>
        <w:pStyle w:val="Prrafodelista"/>
        <w:spacing w:line="276" w:lineRule="auto"/>
        <w:ind w:left="0" w:firstLine="1701"/>
        <w:jc w:val="both"/>
        <w:rPr>
          <w:rFonts w:ascii="Arial" w:hAnsi="Arial" w:cs="Arial"/>
          <w:bCs/>
          <w:szCs w:val="20"/>
          <w:lang w:val="es-ES"/>
        </w:rPr>
      </w:pPr>
    </w:p>
    <w:p w:rsidR="00FD0D7E" w:rsidRPr="009E147B" w:rsidRDefault="00FD0D7E" w:rsidP="00FD0D7E">
      <w:pPr>
        <w:pStyle w:val="Prrafodelista"/>
        <w:spacing w:line="276" w:lineRule="auto"/>
        <w:ind w:left="0" w:firstLine="1701"/>
        <w:jc w:val="both"/>
        <w:rPr>
          <w:rFonts w:ascii="Arial" w:hAnsi="Arial" w:cs="Arial"/>
          <w:bCs/>
          <w:szCs w:val="20"/>
          <w:lang w:val="es-ES"/>
        </w:rPr>
      </w:pPr>
      <w:r>
        <w:rPr>
          <w:rFonts w:ascii="Arial" w:hAnsi="Arial" w:cs="Arial"/>
          <w:bCs/>
          <w:szCs w:val="20"/>
          <w:lang w:val="es-ES"/>
        </w:rPr>
        <w:t>I</w:t>
      </w:r>
      <w:r w:rsidRPr="009E147B">
        <w:rPr>
          <w:rFonts w:ascii="Arial" w:hAnsi="Arial" w:cs="Arial"/>
          <w:bCs/>
          <w:szCs w:val="20"/>
          <w:lang w:val="es-ES"/>
        </w:rPr>
        <w:t xml:space="preserve">ncentivar el desarrollo del comercio y las transacciones internacionales y fortalecer su cooperación en materias tributarias, </w:t>
      </w:r>
      <w:r>
        <w:rPr>
          <w:rFonts w:ascii="Arial" w:hAnsi="Arial" w:cs="Arial"/>
          <w:bCs/>
          <w:szCs w:val="20"/>
          <w:lang w:val="es-ES"/>
        </w:rPr>
        <w:t xml:space="preserve">entre </w:t>
      </w:r>
      <w:r w:rsidRPr="009E147B">
        <w:rPr>
          <w:rFonts w:ascii="Arial" w:hAnsi="Arial" w:cs="Arial"/>
          <w:bCs/>
          <w:szCs w:val="20"/>
          <w:lang w:val="es-ES"/>
        </w:rPr>
        <w:t xml:space="preserve">el Gobierno de la República de Chile y el Gobierno del Reino de los Países Bajos (Estados Contratantes) </w:t>
      </w:r>
      <w:r>
        <w:rPr>
          <w:rFonts w:ascii="Arial" w:hAnsi="Arial" w:cs="Arial"/>
          <w:bCs/>
          <w:szCs w:val="20"/>
          <w:lang w:val="es-ES"/>
        </w:rPr>
        <w:t xml:space="preserve">mediante </w:t>
      </w:r>
      <w:r w:rsidRPr="009E147B">
        <w:rPr>
          <w:rFonts w:ascii="Arial" w:hAnsi="Arial" w:cs="Arial"/>
          <w:bCs/>
          <w:szCs w:val="20"/>
          <w:lang w:val="es-ES"/>
        </w:rPr>
        <w:t xml:space="preserve">la eliminación de la doble imposición en relación con los impuestos sobre la renta y el patrimonio, </w:t>
      </w:r>
      <w:r>
        <w:rPr>
          <w:rFonts w:ascii="Arial" w:hAnsi="Arial" w:cs="Arial"/>
          <w:bCs/>
          <w:szCs w:val="20"/>
          <w:lang w:val="es-ES"/>
        </w:rPr>
        <w:t>de manera de evitar</w:t>
      </w:r>
      <w:r w:rsidRPr="009E147B">
        <w:rPr>
          <w:rFonts w:ascii="Arial" w:hAnsi="Arial" w:cs="Arial"/>
          <w:bCs/>
          <w:szCs w:val="20"/>
          <w:lang w:val="es-ES"/>
        </w:rPr>
        <w:t xml:space="preserve"> crear oportunidades para situaciones de nula o reducida tributación a través de evasión o elusión fiscal.</w:t>
      </w:r>
    </w:p>
    <w:p w:rsidR="005474DB" w:rsidRPr="002E1ACA" w:rsidRDefault="005474DB" w:rsidP="00616315">
      <w:pPr>
        <w:pStyle w:val="Estilo"/>
        <w:numPr>
          <w:ilvl w:val="0"/>
          <w:numId w:val="0"/>
        </w:numPr>
        <w:tabs>
          <w:tab w:val="left" w:pos="-284"/>
          <w:tab w:val="left" w:pos="0"/>
        </w:tabs>
        <w:spacing w:after="0" w:line="276" w:lineRule="auto"/>
        <w:ind w:firstLine="1701"/>
        <w:rPr>
          <w:rFonts w:ascii="Arial" w:hAnsi="Arial" w:cs="Arial"/>
          <w:sz w:val="22"/>
          <w:szCs w:val="22"/>
        </w:rPr>
      </w:pPr>
      <w:r w:rsidRPr="002E1ACA">
        <w:rPr>
          <w:rFonts w:ascii="Arial" w:hAnsi="Arial" w:cs="Arial"/>
          <w:sz w:val="22"/>
          <w:szCs w:val="22"/>
        </w:rPr>
        <w:t>2.-</w:t>
      </w:r>
      <w:r w:rsidRPr="002E1ACA">
        <w:rPr>
          <w:rFonts w:ascii="Arial" w:hAnsi="Arial" w:cs="Arial"/>
          <w:sz w:val="22"/>
          <w:szCs w:val="22"/>
          <w:u w:val="single"/>
        </w:rPr>
        <w:t>Comisión técnica</w:t>
      </w:r>
      <w:r w:rsidRPr="002E1ACA">
        <w:rPr>
          <w:rFonts w:ascii="Arial" w:hAnsi="Arial" w:cs="Arial"/>
          <w:sz w:val="22"/>
          <w:szCs w:val="22"/>
        </w:rPr>
        <w:t>:</w:t>
      </w:r>
    </w:p>
    <w:p w:rsidR="00C11848" w:rsidRDefault="00C11848" w:rsidP="005474DB">
      <w:pPr>
        <w:tabs>
          <w:tab w:val="left" w:pos="-284"/>
          <w:tab w:val="left" w:pos="0"/>
          <w:tab w:val="left" w:pos="1701"/>
        </w:tabs>
        <w:spacing w:line="276" w:lineRule="auto"/>
        <w:ind w:firstLine="1701"/>
        <w:jc w:val="both"/>
        <w:rPr>
          <w:rFonts w:ascii="Arial" w:hAnsi="Arial" w:cs="Arial"/>
          <w:sz w:val="22"/>
          <w:szCs w:val="22"/>
        </w:rPr>
      </w:pPr>
    </w:p>
    <w:p w:rsidR="005474DB" w:rsidRPr="002E1ACA" w:rsidRDefault="005474DB" w:rsidP="005474DB">
      <w:pPr>
        <w:tabs>
          <w:tab w:val="left" w:pos="-284"/>
          <w:tab w:val="left" w:pos="0"/>
          <w:tab w:val="left" w:pos="1701"/>
        </w:tabs>
        <w:spacing w:line="276" w:lineRule="auto"/>
        <w:ind w:firstLine="1701"/>
        <w:jc w:val="both"/>
        <w:rPr>
          <w:rFonts w:ascii="Arial" w:hAnsi="Arial" w:cs="Arial"/>
          <w:sz w:val="22"/>
          <w:szCs w:val="22"/>
        </w:rPr>
      </w:pPr>
      <w:r w:rsidRPr="002E1ACA">
        <w:rPr>
          <w:rFonts w:ascii="Arial" w:hAnsi="Arial" w:cs="Arial"/>
          <w:sz w:val="22"/>
          <w:szCs w:val="22"/>
        </w:rPr>
        <w:t xml:space="preserve">Comisión de Relaciones Exteriores, Asuntos Interparlamentarios e Integración Latinoamericana. </w:t>
      </w:r>
    </w:p>
    <w:p w:rsidR="005474DB" w:rsidRPr="002E1ACA" w:rsidRDefault="005474DB" w:rsidP="005474DB">
      <w:pPr>
        <w:tabs>
          <w:tab w:val="left" w:pos="-284"/>
          <w:tab w:val="left" w:pos="0"/>
          <w:tab w:val="left" w:pos="3402"/>
          <w:tab w:val="left" w:pos="4751"/>
        </w:tabs>
        <w:spacing w:line="276" w:lineRule="auto"/>
        <w:ind w:right="51" w:firstLine="1701"/>
        <w:jc w:val="both"/>
        <w:rPr>
          <w:rFonts w:ascii="Arial" w:hAnsi="Arial" w:cs="Arial"/>
          <w:sz w:val="22"/>
          <w:szCs w:val="22"/>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2E1ACA">
        <w:rPr>
          <w:rFonts w:ascii="Arial" w:hAnsi="Arial" w:cs="Arial"/>
          <w:sz w:val="22"/>
          <w:szCs w:val="22"/>
        </w:rPr>
        <w:t>3.-</w:t>
      </w:r>
      <w:r w:rsidRPr="002E1ACA">
        <w:rPr>
          <w:rFonts w:ascii="Arial" w:hAnsi="Arial" w:cs="Arial"/>
          <w:sz w:val="22"/>
          <w:szCs w:val="22"/>
          <w:u w:val="single"/>
        </w:rPr>
        <w:t>Artículos que la Comisión técnica dispuso que fueran conocidas por esta Comisión de Hacienda.</w:t>
      </w:r>
    </w:p>
    <w:p w:rsidR="005474DB" w:rsidRPr="002E1ACA" w:rsidRDefault="005474DB" w:rsidP="005474DB">
      <w:pPr>
        <w:pStyle w:val="Prrafodelista"/>
        <w:spacing w:line="276" w:lineRule="auto"/>
        <w:ind w:left="0" w:firstLine="1701"/>
        <w:jc w:val="both"/>
        <w:rPr>
          <w:rFonts w:ascii="Arial" w:hAnsi="Arial" w:cs="Arial"/>
        </w:rPr>
      </w:pPr>
      <w:r w:rsidRPr="002E1ACA">
        <w:rPr>
          <w:rFonts w:ascii="Arial" w:hAnsi="Arial" w:cs="Arial"/>
        </w:rPr>
        <w:t>La Comisión de Relaciones Exteriores, Asuntos Interparlamentarios e Integración Latinoamericana determinó que sus preceptos deben ser conocidos por la Comisión de Hacienda por tener incidencia en materia presupuestaria o financiera del Estado, según Informe Financiero acompañado al Mensaje.</w:t>
      </w:r>
    </w:p>
    <w:p w:rsidR="005474DB" w:rsidRPr="002E1ACA" w:rsidRDefault="005474DB" w:rsidP="005474DB">
      <w:pPr>
        <w:pStyle w:val="Prrafodelista"/>
        <w:spacing w:line="276" w:lineRule="auto"/>
        <w:ind w:left="0" w:firstLine="1701"/>
        <w:jc w:val="both"/>
        <w:rPr>
          <w:rFonts w:ascii="Arial" w:hAnsi="Arial" w:cs="Arial"/>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2E1ACA">
        <w:rPr>
          <w:rFonts w:ascii="Arial" w:hAnsi="Arial" w:cs="Arial"/>
          <w:sz w:val="22"/>
          <w:szCs w:val="22"/>
        </w:rPr>
        <w:t>4.-</w:t>
      </w:r>
      <w:r w:rsidRPr="002E1ACA">
        <w:rPr>
          <w:rFonts w:ascii="Arial" w:hAnsi="Arial" w:cs="Arial"/>
          <w:sz w:val="22"/>
          <w:szCs w:val="22"/>
          <w:u w:val="single"/>
        </w:rPr>
        <w:t>Reservas y declaraciones interpretativas</w:t>
      </w:r>
    </w:p>
    <w:p w:rsidR="00C11848" w:rsidRDefault="00C11848"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C11816" w:rsidP="005474DB">
      <w:pPr>
        <w:tabs>
          <w:tab w:val="left" w:pos="-284"/>
          <w:tab w:val="left" w:pos="0"/>
          <w:tab w:val="left" w:pos="851"/>
          <w:tab w:val="left" w:pos="4751"/>
        </w:tabs>
        <w:spacing w:line="276" w:lineRule="auto"/>
        <w:ind w:right="51" w:firstLine="1701"/>
        <w:jc w:val="both"/>
        <w:rPr>
          <w:rFonts w:ascii="Arial" w:hAnsi="Arial" w:cs="Arial"/>
          <w:sz w:val="22"/>
          <w:szCs w:val="22"/>
        </w:rPr>
      </w:pPr>
      <w:r>
        <w:rPr>
          <w:rFonts w:ascii="Arial" w:hAnsi="Arial" w:cs="Arial"/>
          <w:sz w:val="22"/>
          <w:szCs w:val="22"/>
        </w:rPr>
        <w:t>No fueron formuladas</w:t>
      </w: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2E1ACA">
        <w:rPr>
          <w:rFonts w:ascii="Arial" w:hAnsi="Arial" w:cs="Arial"/>
          <w:sz w:val="22"/>
          <w:szCs w:val="22"/>
        </w:rPr>
        <w:t xml:space="preserve">5- </w:t>
      </w:r>
      <w:r w:rsidRPr="002E1ACA">
        <w:rPr>
          <w:rFonts w:ascii="Arial" w:hAnsi="Arial" w:cs="Arial"/>
          <w:sz w:val="22"/>
          <w:szCs w:val="22"/>
          <w:u w:val="single"/>
        </w:rPr>
        <w:t xml:space="preserve">Modificaciones introducidas al texto aprobado por la Comisión técnica </w:t>
      </w:r>
    </w:p>
    <w:p w:rsidR="00C11848" w:rsidRDefault="00C11848"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r w:rsidRPr="002E1ACA">
        <w:rPr>
          <w:rFonts w:ascii="Arial" w:hAnsi="Arial" w:cs="Arial"/>
          <w:sz w:val="22"/>
          <w:szCs w:val="22"/>
        </w:rPr>
        <w:t>No corresponden, en virtud del inciso primero N°1, del artículo 54 de la Constitución Política de la República.</w:t>
      </w: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color w:val="FF0000"/>
          <w:sz w:val="22"/>
          <w:szCs w:val="22"/>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r w:rsidRPr="002E1ACA">
        <w:rPr>
          <w:rFonts w:ascii="Arial" w:hAnsi="Arial" w:cs="Arial"/>
          <w:sz w:val="22"/>
          <w:szCs w:val="22"/>
        </w:rPr>
        <w:t>6.-</w:t>
      </w:r>
      <w:r w:rsidRPr="002E1ACA">
        <w:rPr>
          <w:rFonts w:ascii="Arial" w:hAnsi="Arial" w:cs="Arial"/>
          <w:sz w:val="22"/>
          <w:szCs w:val="22"/>
          <w:u w:val="single"/>
        </w:rPr>
        <w:t>Normas de quórum especial</w:t>
      </w:r>
    </w:p>
    <w:p w:rsidR="00C11848" w:rsidRDefault="00C11848"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r w:rsidRPr="002E1ACA">
        <w:rPr>
          <w:rFonts w:ascii="Arial" w:hAnsi="Arial" w:cs="Arial"/>
          <w:sz w:val="22"/>
          <w:szCs w:val="22"/>
        </w:rPr>
        <w:t>El artículo único no contiene normas que deban ap</w:t>
      </w:r>
      <w:r w:rsidR="001439FE" w:rsidRPr="002E1ACA">
        <w:rPr>
          <w:rFonts w:ascii="Arial" w:hAnsi="Arial" w:cs="Arial"/>
          <w:sz w:val="22"/>
          <w:szCs w:val="22"/>
        </w:rPr>
        <w:t>r</w:t>
      </w:r>
      <w:r w:rsidRPr="002E1ACA">
        <w:rPr>
          <w:rFonts w:ascii="Arial" w:hAnsi="Arial" w:cs="Arial"/>
          <w:sz w:val="22"/>
          <w:szCs w:val="22"/>
        </w:rPr>
        <w:t>obarse con quórum especial.</w:t>
      </w:r>
    </w:p>
    <w:p w:rsidR="008B0791" w:rsidRPr="002E1ACA" w:rsidRDefault="008B0791"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755EFD" w:rsidP="005474DB">
      <w:pPr>
        <w:spacing w:line="276" w:lineRule="auto"/>
        <w:ind w:firstLine="1701"/>
        <w:jc w:val="both"/>
        <w:rPr>
          <w:rFonts w:ascii="Arial" w:hAnsi="Arial" w:cs="Arial"/>
          <w:sz w:val="22"/>
          <w:szCs w:val="22"/>
        </w:rPr>
      </w:pPr>
      <w:r w:rsidRPr="002E1ACA">
        <w:rPr>
          <w:rFonts w:ascii="Arial" w:hAnsi="Arial" w:cs="Arial"/>
          <w:sz w:val="22"/>
          <w:szCs w:val="22"/>
        </w:rPr>
        <w:t>7</w:t>
      </w:r>
      <w:r w:rsidR="005474DB" w:rsidRPr="002E1ACA">
        <w:rPr>
          <w:rFonts w:ascii="Arial" w:hAnsi="Arial" w:cs="Arial"/>
          <w:sz w:val="22"/>
          <w:szCs w:val="22"/>
        </w:rPr>
        <w:t xml:space="preserve">.- </w:t>
      </w:r>
      <w:r w:rsidR="005474DB" w:rsidRPr="002E1ACA">
        <w:rPr>
          <w:rFonts w:ascii="Arial" w:hAnsi="Arial" w:cs="Arial"/>
          <w:sz w:val="22"/>
          <w:szCs w:val="22"/>
          <w:u w:val="single"/>
        </w:rPr>
        <w:t>Votación</w:t>
      </w:r>
    </w:p>
    <w:p w:rsidR="00C11848" w:rsidRDefault="00C11848" w:rsidP="00C11848">
      <w:pPr>
        <w:tabs>
          <w:tab w:val="left" w:pos="2175"/>
        </w:tabs>
        <w:spacing w:line="276" w:lineRule="auto"/>
        <w:ind w:firstLine="1701"/>
        <w:jc w:val="both"/>
        <w:rPr>
          <w:rFonts w:ascii="Arial" w:hAnsi="Arial" w:cs="Arial"/>
          <w:sz w:val="22"/>
          <w:szCs w:val="22"/>
        </w:rPr>
      </w:pPr>
    </w:p>
    <w:p w:rsidR="00C11848" w:rsidRPr="00052259" w:rsidRDefault="004038D7" w:rsidP="00C11848">
      <w:pPr>
        <w:tabs>
          <w:tab w:val="left" w:pos="2175"/>
        </w:tabs>
        <w:spacing w:line="276" w:lineRule="auto"/>
        <w:ind w:firstLine="1701"/>
        <w:jc w:val="both"/>
        <w:rPr>
          <w:rFonts w:ascii="Arial" w:eastAsia="Arial" w:hAnsi="Arial" w:cs="Arial"/>
          <w:color w:val="000000"/>
          <w:sz w:val="22"/>
          <w:szCs w:val="22"/>
          <w:lang w:val="es-ES" w:eastAsia="es-CL"/>
        </w:rPr>
      </w:pPr>
      <w:r w:rsidRPr="004038D7">
        <w:rPr>
          <w:rFonts w:ascii="Arial" w:hAnsi="Arial" w:cs="Arial"/>
          <w:sz w:val="22"/>
          <w:szCs w:val="22"/>
        </w:rPr>
        <w:t xml:space="preserve">El artículo único fue aprobado, en los mismos términos propuestos, por la unanimidad de </w:t>
      </w:r>
      <w:r w:rsidR="00FD0D7E">
        <w:rPr>
          <w:rFonts w:ascii="Arial" w:hAnsi="Arial" w:cs="Arial"/>
          <w:sz w:val="22"/>
          <w:szCs w:val="22"/>
        </w:rPr>
        <w:t>8 de</w:t>
      </w:r>
      <w:r w:rsidRPr="004038D7">
        <w:rPr>
          <w:rFonts w:ascii="Arial" w:hAnsi="Arial" w:cs="Arial"/>
          <w:sz w:val="22"/>
          <w:szCs w:val="22"/>
        </w:rPr>
        <w:t xml:space="preserve"> los integrantes presentes señores</w:t>
      </w:r>
      <w:r w:rsidR="00FD0D7E">
        <w:rPr>
          <w:rFonts w:ascii="Arial" w:hAnsi="Arial" w:cs="Arial"/>
          <w:sz w:val="22"/>
          <w:szCs w:val="22"/>
        </w:rPr>
        <w:t xml:space="preserve"> (a)</w:t>
      </w:r>
      <w:r w:rsidRPr="004038D7">
        <w:rPr>
          <w:rFonts w:ascii="Arial" w:hAnsi="Arial" w:cs="Arial"/>
          <w:sz w:val="22"/>
          <w:szCs w:val="22"/>
        </w:rPr>
        <w:t>, Sofía Cid Versalovic</w:t>
      </w:r>
      <w:r w:rsidR="00C11848">
        <w:rPr>
          <w:rFonts w:ascii="Arial" w:hAnsi="Arial" w:cs="Arial"/>
          <w:sz w:val="22"/>
          <w:szCs w:val="22"/>
        </w:rPr>
        <w:t xml:space="preserve">, Javier </w:t>
      </w:r>
      <w:r w:rsidR="00C11848" w:rsidRPr="00052259">
        <w:rPr>
          <w:rFonts w:ascii="Arial" w:eastAsia="Arial" w:hAnsi="Arial" w:cs="Arial"/>
          <w:color w:val="000000"/>
          <w:sz w:val="22"/>
          <w:szCs w:val="22"/>
          <w:lang w:val="es-ES" w:eastAsia="es-CL"/>
        </w:rPr>
        <w:t>Hernández</w:t>
      </w:r>
      <w:r w:rsidR="00C11848">
        <w:rPr>
          <w:rFonts w:ascii="Arial" w:eastAsia="Arial" w:hAnsi="Arial" w:cs="Arial"/>
          <w:color w:val="000000"/>
          <w:sz w:val="22"/>
          <w:szCs w:val="22"/>
          <w:lang w:val="es-ES" w:eastAsia="es-CL"/>
        </w:rPr>
        <w:t xml:space="preserve"> Hernández</w:t>
      </w:r>
      <w:r w:rsidR="00C11848" w:rsidRPr="00052259">
        <w:rPr>
          <w:rFonts w:ascii="Arial" w:eastAsia="Arial" w:hAnsi="Arial" w:cs="Arial"/>
          <w:color w:val="000000"/>
          <w:sz w:val="22"/>
          <w:szCs w:val="22"/>
          <w:lang w:val="es-ES" w:eastAsia="es-CL"/>
        </w:rPr>
        <w:t xml:space="preserve">, </w:t>
      </w:r>
      <w:r w:rsidR="00C11848">
        <w:rPr>
          <w:rFonts w:ascii="Arial" w:eastAsia="Arial" w:hAnsi="Arial" w:cs="Arial"/>
          <w:color w:val="000000"/>
          <w:sz w:val="22"/>
          <w:szCs w:val="22"/>
          <w:lang w:val="es-ES" w:eastAsia="es-CL"/>
        </w:rPr>
        <w:t xml:space="preserve">Pablo </w:t>
      </w:r>
      <w:r w:rsidR="00C11848" w:rsidRPr="00052259">
        <w:rPr>
          <w:rFonts w:ascii="Arial" w:eastAsia="Arial" w:hAnsi="Arial" w:cs="Arial"/>
          <w:color w:val="000000"/>
          <w:sz w:val="22"/>
          <w:szCs w:val="22"/>
          <w:lang w:val="es-ES" w:eastAsia="es-CL"/>
        </w:rPr>
        <w:t>Lorenzini</w:t>
      </w:r>
      <w:r w:rsidR="00C11848">
        <w:rPr>
          <w:rFonts w:ascii="Arial" w:eastAsia="Arial" w:hAnsi="Arial" w:cs="Arial"/>
          <w:color w:val="000000"/>
          <w:sz w:val="22"/>
          <w:szCs w:val="22"/>
          <w:lang w:val="es-ES" w:eastAsia="es-CL"/>
        </w:rPr>
        <w:t xml:space="preserve"> Basso (Presidente)</w:t>
      </w:r>
      <w:r w:rsidR="00C11848" w:rsidRPr="00052259">
        <w:rPr>
          <w:rFonts w:ascii="Arial" w:eastAsia="Arial" w:hAnsi="Arial" w:cs="Arial"/>
          <w:color w:val="000000"/>
          <w:sz w:val="22"/>
          <w:szCs w:val="22"/>
          <w:lang w:val="es-ES" w:eastAsia="es-CL"/>
        </w:rPr>
        <w:t xml:space="preserve">, </w:t>
      </w:r>
      <w:r w:rsidR="00C11848">
        <w:rPr>
          <w:rFonts w:ascii="Arial" w:eastAsia="Arial" w:hAnsi="Arial" w:cs="Arial"/>
          <w:color w:val="000000"/>
          <w:sz w:val="22"/>
          <w:szCs w:val="22"/>
          <w:lang w:val="es-ES" w:eastAsia="es-CL"/>
        </w:rPr>
        <w:t xml:space="preserve">Cosme </w:t>
      </w:r>
      <w:r w:rsidR="00C11848" w:rsidRPr="00052259">
        <w:rPr>
          <w:rFonts w:ascii="Arial" w:eastAsia="Arial" w:hAnsi="Arial" w:cs="Arial"/>
          <w:color w:val="000000"/>
          <w:sz w:val="22"/>
          <w:szCs w:val="22"/>
          <w:lang w:val="es-ES" w:eastAsia="es-CL"/>
        </w:rPr>
        <w:t>Mellado</w:t>
      </w:r>
      <w:r w:rsidR="00C11848">
        <w:rPr>
          <w:rFonts w:ascii="Arial" w:eastAsia="Arial" w:hAnsi="Arial" w:cs="Arial"/>
          <w:color w:val="000000"/>
          <w:sz w:val="22"/>
          <w:szCs w:val="22"/>
          <w:lang w:val="es-ES" w:eastAsia="es-CL"/>
        </w:rPr>
        <w:t xml:space="preserve"> Pino,</w:t>
      </w:r>
      <w:r w:rsidR="00C11848" w:rsidRPr="00C11848">
        <w:rPr>
          <w:rFonts w:ascii="Arial" w:hAnsi="Arial" w:cs="Arial"/>
          <w:sz w:val="22"/>
          <w:szCs w:val="22"/>
        </w:rPr>
        <w:t xml:space="preserve"> </w:t>
      </w:r>
      <w:r w:rsidR="00C11848" w:rsidRPr="004038D7">
        <w:rPr>
          <w:rFonts w:ascii="Arial" w:hAnsi="Arial" w:cs="Arial"/>
          <w:sz w:val="22"/>
          <w:szCs w:val="22"/>
        </w:rPr>
        <w:t>Leopoldo Pérez Lahsen</w:t>
      </w:r>
      <w:r w:rsidR="00C11848">
        <w:rPr>
          <w:rFonts w:ascii="Arial" w:hAnsi="Arial" w:cs="Arial"/>
          <w:sz w:val="22"/>
          <w:szCs w:val="22"/>
        </w:rPr>
        <w:t xml:space="preserve">, Alejandro </w:t>
      </w:r>
      <w:r w:rsidR="00C11848" w:rsidRPr="00052259">
        <w:rPr>
          <w:rFonts w:ascii="Arial" w:eastAsia="Arial" w:hAnsi="Arial" w:cs="Arial"/>
          <w:color w:val="000000"/>
          <w:sz w:val="22"/>
          <w:szCs w:val="22"/>
          <w:lang w:val="es-ES" w:eastAsia="es-CL"/>
        </w:rPr>
        <w:t>Santana</w:t>
      </w:r>
      <w:r w:rsidR="00C11848">
        <w:rPr>
          <w:rFonts w:ascii="Arial" w:eastAsia="Arial" w:hAnsi="Arial" w:cs="Arial"/>
          <w:color w:val="000000"/>
          <w:sz w:val="22"/>
          <w:szCs w:val="22"/>
          <w:lang w:val="es-ES" w:eastAsia="es-CL"/>
        </w:rPr>
        <w:t xml:space="preserve"> Tirachini</w:t>
      </w:r>
      <w:r w:rsidR="00C11848" w:rsidRPr="00052259">
        <w:rPr>
          <w:rFonts w:ascii="Arial" w:eastAsia="Arial" w:hAnsi="Arial" w:cs="Arial"/>
          <w:color w:val="000000"/>
          <w:sz w:val="22"/>
          <w:szCs w:val="22"/>
          <w:lang w:val="es-ES" w:eastAsia="es-CL"/>
        </w:rPr>
        <w:t xml:space="preserve">, </w:t>
      </w:r>
      <w:r w:rsidR="00C11848">
        <w:rPr>
          <w:rFonts w:ascii="Arial" w:eastAsia="Arial" w:hAnsi="Arial" w:cs="Arial"/>
          <w:color w:val="000000"/>
          <w:sz w:val="22"/>
          <w:szCs w:val="22"/>
          <w:lang w:val="es-ES" w:eastAsia="es-CL"/>
        </w:rPr>
        <w:t xml:space="preserve">Marcelo </w:t>
      </w:r>
      <w:r w:rsidR="00C11848" w:rsidRPr="00052259">
        <w:rPr>
          <w:rFonts w:ascii="Arial" w:eastAsia="Arial" w:hAnsi="Arial" w:cs="Arial"/>
          <w:color w:val="000000"/>
          <w:sz w:val="22"/>
          <w:szCs w:val="22"/>
          <w:lang w:val="es-ES" w:eastAsia="es-CL"/>
        </w:rPr>
        <w:t>Schilling</w:t>
      </w:r>
      <w:r w:rsidR="00C11848">
        <w:rPr>
          <w:rFonts w:ascii="Arial" w:eastAsia="Arial" w:hAnsi="Arial" w:cs="Arial"/>
          <w:color w:val="000000"/>
          <w:sz w:val="22"/>
          <w:szCs w:val="22"/>
          <w:lang w:val="es-ES" w:eastAsia="es-CL"/>
        </w:rPr>
        <w:t xml:space="preserve"> Rodríguez</w:t>
      </w:r>
      <w:r w:rsidR="00C11848" w:rsidRPr="00052259">
        <w:rPr>
          <w:rFonts w:ascii="Arial" w:eastAsia="Arial" w:hAnsi="Arial" w:cs="Arial"/>
          <w:color w:val="000000"/>
          <w:sz w:val="22"/>
          <w:szCs w:val="22"/>
          <w:lang w:val="es-ES" w:eastAsia="es-CL"/>
        </w:rPr>
        <w:t xml:space="preserve"> y </w:t>
      </w:r>
      <w:r w:rsidR="00C11848">
        <w:rPr>
          <w:rFonts w:ascii="Arial" w:eastAsia="Arial" w:hAnsi="Arial" w:cs="Arial"/>
          <w:color w:val="000000"/>
          <w:sz w:val="22"/>
          <w:szCs w:val="22"/>
          <w:lang w:val="es-ES" w:eastAsia="es-CL"/>
        </w:rPr>
        <w:t xml:space="preserve">Gastón </w:t>
      </w:r>
      <w:r w:rsidR="00C11848" w:rsidRPr="00052259">
        <w:rPr>
          <w:rFonts w:ascii="Arial" w:eastAsia="Arial" w:hAnsi="Arial" w:cs="Arial"/>
          <w:color w:val="000000"/>
          <w:sz w:val="22"/>
          <w:szCs w:val="22"/>
          <w:lang w:val="es-ES" w:eastAsia="es-CL"/>
        </w:rPr>
        <w:t>Von Mühlenbrock</w:t>
      </w:r>
      <w:r w:rsidR="00C11848">
        <w:rPr>
          <w:rFonts w:ascii="Arial" w:eastAsia="Arial" w:hAnsi="Arial" w:cs="Arial"/>
          <w:color w:val="000000"/>
          <w:sz w:val="22"/>
          <w:szCs w:val="22"/>
          <w:lang w:val="es-ES" w:eastAsia="es-CL"/>
        </w:rPr>
        <w:t xml:space="preserve"> Zamora</w:t>
      </w:r>
      <w:r w:rsidR="00C11848" w:rsidRPr="00052259">
        <w:rPr>
          <w:rFonts w:ascii="Arial" w:eastAsia="Arial" w:hAnsi="Arial" w:cs="Arial"/>
          <w:color w:val="000000"/>
          <w:sz w:val="22"/>
          <w:szCs w:val="22"/>
          <w:lang w:val="es-ES" w:eastAsia="es-CL"/>
        </w:rPr>
        <w:t>.</w:t>
      </w: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8B0791" w:rsidP="005474DB">
      <w:pPr>
        <w:tabs>
          <w:tab w:val="left" w:pos="-284"/>
          <w:tab w:val="left" w:pos="0"/>
          <w:tab w:val="left" w:pos="851"/>
          <w:tab w:val="left" w:pos="4751"/>
        </w:tabs>
        <w:spacing w:line="276" w:lineRule="auto"/>
        <w:ind w:right="51" w:firstLine="1701"/>
        <w:jc w:val="both"/>
        <w:rPr>
          <w:rFonts w:ascii="Arial" w:hAnsi="Arial" w:cs="Arial"/>
          <w:b/>
          <w:sz w:val="22"/>
          <w:szCs w:val="22"/>
        </w:rPr>
      </w:pPr>
      <w:r w:rsidRPr="002E1ACA">
        <w:rPr>
          <w:rFonts w:ascii="Arial" w:hAnsi="Arial" w:cs="Arial"/>
          <w:sz w:val="22"/>
          <w:szCs w:val="22"/>
        </w:rPr>
        <w:t>9</w:t>
      </w:r>
      <w:r w:rsidR="005474DB" w:rsidRPr="002E1ACA">
        <w:rPr>
          <w:rFonts w:ascii="Arial" w:hAnsi="Arial" w:cs="Arial"/>
          <w:sz w:val="22"/>
          <w:szCs w:val="22"/>
        </w:rPr>
        <w:t xml:space="preserve">- </w:t>
      </w:r>
      <w:r w:rsidR="005474DB" w:rsidRPr="002E1ACA">
        <w:rPr>
          <w:rFonts w:ascii="Arial" w:hAnsi="Arial" w:cs="Arial"/>
          <w:sz w:val="22"/>
          <w:szCs w:val="22"/>
          <w:u w:val="single"/>
        </w:rPr>
        <w:t>Diputado Informante</w:t>
      </w:r>
      <w:r w:rsidR="005474DB" w:rsidRPr="002E1ACA">
        <w:rPr>
          <w:rFonts w:ascii="Arial" w:hAnsi="Arial" w:cs="Arial"/>
          <w:sz w:val="22"/>
          <w:szCs w:val="22"/>
        </w:rPr>
        <w:t xml:space="preserve">: Se designó </w:t>
      </w:r>
      <w:r w:rsidR="00052259">
        <w:rPr>
          <w:rFonts w:ascii="Arial" w:hAnsi="Arial" w:cs="Arial"/>
          <w:sz w:val="22"/>
          <w:szCs w:val="22"/>
        </w:rPr>
        <w:t>a la señora Sofía Cid Versalovic.</w:t>
      </w:r>
    </w:p>
    <w:p w:rsidR="00637D97" w:rsidRDefault="00637D97" w:rsidP="00705A09">
      <w:pPr>
        <w:pStyle w:val="Prrafodelista"/>
        <w:spacing w:line="276" w:lineRule="auto"/>
        <w:ind w:left="0" w:firstLine="1701"/>
        <w:jc w:val="both"/>
        <w:rPr>
          <w:rFonts w:ascii="Arial" w:hAnsi="Arial" w:cs="Arial"/>
          <w:lang w:val="es-ES_tradnl"/>
        </w:rPr>
      </w:pPr>
    </w:p>
    <w:p w:rsidR="00C11848" w:rsidRDefault="00C11848" w:rsidP="008B0791">
      <w:pPr>
        <w:pStyle w:val="Prrafodelista"/>
        <w:spacing w:line="276" w:lineRule="auto"/>
        <w:ind w:left="0"/>
        <w:jc w:val="both"/>
        <w:rPr>
          <w:rFonts w:ascii="Arial" w:hAnsi="Arial" w:cs="Arial"/>
          <w:b/>
        </w:rPr>
      </w:pPr>
    </w:p>
    <w:p w:rsidR="00C57749" w:rsidRPr="002E1ACA" w:rsidRDefault="00755EFD" w:rsidP="008B0791">
      <w:pPr>
        <w:pStyle w:val="Prrafodelista"/>
        <w:spacing w:line="276" w:lineRule="auto"/>
        <w:ind w:left="0"/>
        <w:jc w:val="both"/>
        <w:rPr>
          <w:rFonts w:ascii="Arial" w:hAnsi="Arial" w:cs="Arial"/>
          <w:b/>
        </w:rPr>
      </w:pPr>
      <w:r w:rsidRPr="002E1ACA">
        <w:rPr>
          <w:rFonts w:ascii="Arial" w:hAnsi="Arial" w:cs="Arial"/>
          <w:b/>
        </w:rPr>
        <w:t>II.-ANTECEDENTES GENERALES DE LA INICIATIVA</w:t>
      </w:r>
    </w:p>
    <w:p w:rsidR="00FF1BA4" w:rsidRPr="00FF1BA4" w:rsidRDefault="00FF1BA4" w:rsidP="00062743">
      <w:pPr>
        <w:spacing w:line="276" w:lineRule="auto"/>
        <w:ind w:firstLine="1701"/>
        <w:jc w:val="both"/>
        <w:rPr>
          <w:rFonts w:ascii="Arial" w:eastAsia="Calibri" w:hAnsi="Arial" w:cs="Arial"/>
          <w:b/>
          <w:bCs/>
          <w:sz w:val="22"/>
          <w:szCs w:val="22"/>
        </w:rPr>
      </w:pPr>
      <w:r w:rsidRPr="00FF1BA4">
        <w:rPr>
          <w:rFonts w:ascii="Arial" w:eastAsia="Calibri" w:hAnsi="Arial" w:cs="Arial"/>
          <w:b/>
          <w:bCs/>
          <w:sz w:val="22"/>
          <w:szCs w:val="22"/>
        </w:rPr>
        <w:t>Contenido del proyecto de acuerdo</w:t>
      </w:r>
    </w:p>
    <w:p w:rsidR="00C11848" w:rsidRDefault="00C11848" w:rsidP="00FD0D7E">
      <w:pPr>
        <w:tabs>
          <w:tab w:val="left" w:pos="2127"/>
        </w:tabs>
        <w:ind w:firstLine="1701"/>
        <w:contextualSpacing/>
        <w:jc w:val="both"/>
        <w:rPr>
          <w:rFonts w:ascii="Arial" w:hAnsi="Arial" w:cs="Arial"/>
          <w:sz w:val="22"/>
          <w:szCs w:val="22"/>
          <w:lang w:val="es-MX"/>
        </w:rPr>
      </w:pPr>
    </w:p>
    <w:p w:rsidR="00FD0D7E" w:rsidRPr="0042542A" w:rsidRDefault="00FD0D7E" w:rsidP="00FD0D7E">
      <w:pPr>
        <w:tabs>
          <w:tab w:val="left" w:pos="2127"/>
        </w:tabs>
        <w:ind w:firstLine="1701"/>
        <w:contextualSpacing/>
        <w:jc w:val="both"/>
        <w:rPr>
          <w:rFonts w:ascii="Arial" w:hAnsi="Arial" w:cs="Arial"/>
          <w:bCs/>
          <w:spacing w:val="-3"/>
          <w:sz w:val="22"/>
          <w:szCs w:val="22"/>
          <w:lang w:val="es-ES"/>
        </w:rPr>
      </w:pPr>
      <w:r w:rsidRPr="0042542A">
        <w:rPr>
          <w:rFonts w:ascii="Arial" w:hAnsi="Arial" w:cs="Arial"/>
          <w:sz w:val="22"/>
          <w:szCs w:val="22"/>
          <w:lang w:val="es-MX"/>
        </w:rPr>
        <w:t xml:space="preserve">Lo anterior, se logra mediante </w:t>
      </w:r>
      <w:r w:rsidRPr="0042542A">
        <w:rPr>
          <w:rFonts w:ascii="Arial" w:hAnsi="Arial" w:cs="Arial"/>
          <w:bCs/>
          <w:spacing w:val="-3"/>
          <w:sz w:val="22"/>
          <w:szCs w:val="22"/>
          <w:lang w:val="es-ES"/>
        </w:rPr>
        <w:t>los siguientes objetivos:</w:t>
      </w:r>
    </w:p>
    <w:p w:rsidR="00FD0D7E" w:rsidRPr="0042542A" w:rsidRDefault="00FD0D7E" w:rsidP="00FD0D7E">
      <w:pPr>
        <w:tabs>
          <w:tab w:val="left" w:pos="2127"/>
        </w:tabs>
        <w:spacing w:line="276" w:lineRule="auto"/>
        <w:contextualSpacing/>
        <w:jc w:val="both"/>
        <w:rPr>
          <w:rFonts w:ascii="Arial" w:hAnsi="Arial" w:cs="Arial"/>
          <w:bCs/>
          <w:spacing w:val="-3"/>
          <w:sz w:val="22"/>
          <w:szCs w:val="22"/>
          <w:lang w:val="es-ES"/>
        </w:rPr>
      </w:pPr>
    </w:p>
    <w:p w:rsidR="00FD0D7E" w:rsidRPr="0042542A" w:rsidRDefault="00FD0D7E" w:rsidP="00FD0D7E">
      <w:pPr>
        <w:tabs>
          <w:tab w:val="left" w:pos="2127"/>
          <w:tab w:val="left" w:pos="4111"/>
        </w:tabs>
        <w:spacing w:line="276" w:lineRule="auto"/>
        <w:ind w:firstLine="1701"/>
        <w:contextualSpacing/>
        <w:jc w:val="both"/>
        <w:rPr>
          <w:rFonts w:ascii="Arial" w:hAnsi="Arial" w:cs="Arial"/>
          <w:sz w:val="22"/>
          <w:szCs w:val="22"/>
          <w:lang w:val="es-MX"/>
        </w:rPr>
      </w:pPr>
      <w:r>
        <w:rPr>
          <w:rFonts w:ascii="Arial" w:hAnsi="Arial" w:cs="Arial"/>
          <w:sz w:val="22"/>
          <w:szCs w:val="22"/>
          <w:lang w:val="es-MX"/>
        </w:rPr>
        <w:t>-</w:t>
      </w:r>
      <w:r w:rsidRPr="0042542A">
        <w:rPr>
          <w:rFonts w:ascii="Arial" w:hAnsi="Arial" w:cs="Arial"/>
          <w:sz w:val="22"/>
          <w:szCs w:val="22"/>
          <w:lang w:val="es-MX"/>
        </w:rPr>
        <w:t>Asignar los respectivos derechos de imposición entre los Estados Contratantes;</w:t>
      </w:r>
    </w:p>
    <w:p w:rsidR="00FD0D7E" w:rsidRPr="0042542A" w:rsidRDefault="00FD0D7E" w:rsidP="00FD0D7E">
      <w:pPr>
        <w:tabs>
          <w:tab w:val="left" w:pos="2127"/>
        </w:tabs>
        <w:spacing w:line="276" w:lineRule="auto"/>
        <w:ind w:firstLine="1701"/>
        <w:contextualSpacing/>
        <w:jc w:val="both"/>
        <w:rPr>
          <w:rFonts w:ascii="Arial" w:hAnsi="Arial" w:cs="Arial"/>
          <w:sz w:val="22"/>
          <w:szCs w:val="22"/>
          <w:lang w:val="es-MX"/>
        </w:rPr>
      </w:pPr>
    </w:p>
    <w:p w:rsidR="00FD0D7E" w:rsidRPr="0042542A" w:rsidRDefault="00FD0D7E" w:rsidP="00FD0D7E">
      <w:pPr>
        <w:tabs>
          <w:tab w:val="left" w:pos="2127"/>
          <w:tab w:val="left" w:pos="4111"/>
        </w:tabs>
        <w:spacing w:line="276" w:lineRule="auto"/>
        <w:ind w:firstLine="1701"/>
        <w:contextualSpacing/>
        <w:jc w:val="both"/>
        <w:rPr>
          <w:rFonts w:ascii="Arial" w:hAnsi="Arial" w:cs="Arial"/>
          <w:sz w:val="22"/>
          <w:szCs w:val="22"/>
          <w:lang w:val="es-MX"/>
        </w:rPr>
      </w:pPr>
      <w:r w:rsidRPr="0042542A">
        <w:rPr>
          <w:rFonts w:ascii="Arial" w:hAnsi="Arial" w:cs="Arial"/>
          <w:sz w:val="22"/>
          <w:szCs w:val="22"/>
          <w:lang w:val="es-MX"/>
        </w:rPr>
        <w:t>- Otorgar estabilidad y certeza a dichos contribuyentes, respecto de su carga tributaria total y de la interpretación y aplicación de la legislación que les afecta;</w:t>
      </w:r>
    </w:p>
    <w:p w:rsidR="00FD0D7E" w:rsidRPr="0042542A" w:rsidRDefault="00FD0D7E" w:rsidP="00FD0D7E">
      <w:pPr>
        <w:tabs>
          <w:tab w:val="left" w:pos="2127"/>
        </w:tabs>
        <w:spacing w:line="276" w:lineRule="auto"/>
        <w:ind w:firstLine="1701"/>
        <w:contextualSpacing/>
        <w:jc w:val="both"/>
        <w:rPr>
          <w:rFonts w:ascii="Arial" w:hAnsi="Arial" w:cs="Arial"/>
          <w:sz w:val="22"/>
          <w:szCs w:val="22"/>
          <w:lang w:val="es-MX"/>
        </w:rPr>
      </w:pPr>
    </w:p>
    <w:p w:rsidR="00FD0D7E" w:rsidRPr="0042542A" w:rsidRDefault="00FD0D7E" w:rsidP="00FD0D7E">
      <w:pPr>
        <w:tabs>
          <w:tab w:val="left" w:pos="2127"/>
          <w:tab w:val="left" w:pos="4111"/>
        </w:tabs>
        <w:spacing w:line="276" w:lineRule="auto"/>
        <w:ind w:firstLine="1701"/>
        <w:contextualSpacing/>
        <w:jc w:val="both"/>
        <w:rPr>
          <w:rFonts w:ascii="Arial" w:hAnsi="Arial" w:cs="Arial"/>
          <w:sz w:val="22"/>
          <w:szCs w:val="22"/>
          <w:lang w:val="es-MX"/>
        </w:rPr>
      </w:pPr>
      <w:r>
        <w:rPr>
          <w:rFonts w:ascii="Arial" w:hAnsi="Arial" w:cs="Arial"/>
          <w:sz w:val="22"/>
          <w:szCs w:val="22"/>
          <w:lang w:val="es-MX"/>
        </w:rPr>
        <w:t>-</w:t>
      </w:r>
      <w:r w:rsidRPr="0042542A">
        <w:rPr>
          <w:rFonts w:ascii="Arial" w:hAnsi="Arial" w:cs="Arial"/>
          <w:sz w:val="22"/>
          <w:szCs w:val="22"/>
          <w:lang w:val="es-MX"/>
        </w:rPr>
        <w:t>Establecer mecanismos que ayuden a prevenir la evasión y elusión fiscal por medio de la cooperación entre las administraciones tributarias de ambos Estados Contratantes y proceder al intercambio de información entre ellas;</w:t>
      </w:r>
    </w:p>
    <w:p w:rsidR="00FD0D7E" w:rsidRPr="0042542A" w:rsidRDefault="00FD0D7E" w:rsidP="00FD0D7E">
      <w:pPr>
        <w:tabs>
          <w:tab w:val="left" w:pos="2127"/>
        </w:tabs>
        <w:spacing w:line="276" w:lineRule="auto"/>
        <w:ind w:firstLine="1701"/>
        <w:contextualSpacing/>
        <w:jc w:val="both"/>
        <w:rPr>
          <w:rFonts w:ascii="Arial" w:hAnsi="Arial" w:cs="Arial"/>
          <w:sz w:val="22"/>
          <w:szCs w:val="22"/>
          <w:lang w:val="es-MX"/>
        </w:rPr>
      </w:pPr>
    </w:p>
    <w:p w:rsidR="00FD0D7E" w:rsidRPr="0042542A" w:rsidRDefault="00FD0D7E" w:rsidP="00FD0D7E">
      <w:pPr>
        <w:tabs>
          <w:tab w:val="left" w:pos="2127"/>
          <w:tab w:val="left" w:pos="4111"/>
        </w:tabs>
        <w:spacing w:line="276" w:lineRule="auto"/>
        <w:ind w:firstLine="1701"/>
        <w:contextualSpacing/>
        <w:jc w:val="both"/>
        <w:rPr>
          <w:rFonts w:ascii="Arial" w:hAnsi="Arial" w:cs="Arial"/>
          <w:sz w:val="22"/>
          <w:szCs w:val="22"/>
          <w:lang w:val="es-MX"/>
        </w:rPr>
      </w:pPr>
      <w:r>
        <w:rPr>
          <w:rFonts w:ascii="Arial" w:hAnsi="Arial" w:cs="Arial"/>
          <w:sz w:val="22"/>
          <w:szCs w:val="22"/>
          <w:lang w:val="es-MX"/>
        </w:rPr>
        <w:t>-</w:t>
      </w:r>
      <w:r w:rsidRPr="0042542A">
        <w:rPr>
          <w:rFonts w:ascii="Arial" w:hAnsi="Arial" w:cs="Arial"/>
          <w:sz w:val="22"/>
          <w:szCs w:val="22"/>
          <w:lang w:val="es-MX"/>
        </w:rPr>
        <w:t>Proteger a los nacionales de un Estado Contratante, que invierten en el otro Estado Contratante o desarrollen actividades en él, de discriminaciones tributarias; y</w:t>
      </w:r>
    </w:p>
    <w:p w:rsidR="00FD0D7E" w:rsidRPr="0042542A" w:rsidRDefault="00FD0D7E" w:rsidP="00FD0D7E">
      <w:pPr>
        <w:tabs>
          <w:tab w:val="left" w:pos="2127"/>
        </w:tabs>
        <w:ind w:firstLine="1701"/>
        <w:contextualSpacing/>
        <w:jc w:val="both"/>
        <w:rPr>
          <w:rFonts w:ascii="Arial" w:hAnsi="Arial" w:cs="Arial"/>
          <w:sz w:val="22"/>
          <w:szCs w:val="22"/>
          <w:lang w:val="es-MX"/>
        </w:rPr>
      </w:pPr>
    </w:p>
    <w:p w:rsidR="00FD0D7E" w:rsidRPr="00EA5CD9" w:rsidRDefault="00FD0D7E" w:rsidP="00EA5CD9">
      <w:pPr>
        <w:tabs>
          <w:tab w:val="left" w:pos="2127"/>
          <w:tab w:val="left" w:pos="4111"/>
        </w:tabs>
        <w:spacing w:line="276" w:lineRule="auto"/>
        <w:ind w:firstLine="1701"/>
        <w:contextualSpacing/>
        <w:jc w:val="both"/>
        <w:rPr>
          <w:rFonts w:ascii="Arial" w:hAnsi="Arial" w:cs="Arial"/>
          <w:sz w:val="22"/>
          <w:szCs w:val="22"/>
          <w:lang w:val="es-MX"/>
        </w:rPr>
      </w:pPr>
      <w:r w:rsidRPr="0042542A">
        <w:rPr>
          <w:rFonts w:ascii="Arial" w:hAnsi="Arial" w:cs="Arial"/>
          <w:sz w:val="22"/>
          <w:szCs w:val="22"/>
          <w:lang w:val="es-MX"/>
        </w:rPr>
        <w:t>-</w:t>
      </w:r>
      <w:r w:rsidRPr="00EA5CD9">
        <w:rPr>
          <w:rFonts w:ascii="Arial" w:hAnsi="Arial" w:cs="Arial"/>
          <w:sz w:val="22"/>
          <w:szCs w:val="22"/>
          <w:lang w:val="es-MX"/>
        </w:rPr>
        <w:t>Establecer, mediante un procedimiento de acuerdo mutuo, la posibilidad de resolver las disputas tributarias que se produzcan en la aplicación de las disposiciones del Convenio.</w:t>
      </w:r>
    </w:p>
    <w:p w:rsidR="00FD4A0B" w:rsidRDefault="00FD4A0B" w:rsidP="00FD4A0B">
      <w:pPr>
        <w:rPr>
          <w:rFonts w:ascii="Arial" w:hAnsi="Arial" w:cs="Arial"/>
          <w:sz w:val="22"/>
          <w:szCs w:val="22"/>
        </w:rPr>
      </w:pPr>
    </w:p>
    <w:p w:rsidR="00C11848" w:rsidRPr="002E1ACA" w:rsidRDefault="00C11848" w:rsidP="00FD4A0B">
      <w:pPr>
        <w:rPr>
          <w:rFonts w:ascii="Arial" w:hAnsi="Arial" w:cs="Arial"/>
          <w:sz w:val="22"/>
          <w:szCs w:val="22"/>
        </w:rPr>
      </w:pPr>
    </w:p>
    <w:p w:rsidR="00515B7A" w:rsidRPr="00515B7A" w:rsidRDefault="00515B7A" w:rsidP="00515B7A">
      <w:pPr>
        <w:tabs>
          <w:tab w:val="left" w:pos="-284"/>
          <w:tab w:val="left" w:pos="0"/>
          <w:tab w:val="left" w:pos="851"/>
        </w:tabs>
        <w:spacing w:line="276" w:lineRule="auto"/>
        <w:ind w:right="51"/>
        <w:jc w:val="both"/>
        <w:rPr>
          <w:rFonts w:ascii="Arial" w:hAnsi="Arial" w:cs="Arial"/>
          <w:b/>
          <w:sz w:val="22"/>
          <w:szCs w:val="22"/>
        </w:rPr>
      </w:pPr>
      <w:r w:rsidRPr="00515B7A">
        <w:rPr>
          <w:rFonts w:ascii="Arial" w:hAnsi="Arial" w:cs="Arial"/>
          <w:b/>
          <w:sz w:val="22"/>
          <w:szCs w:val="22"/>
        </w:rPr>
        <w:t>III.- INCIDENCIA EN MATERIA FINANCIERA O PRESUPUESTARIA DEL ESTADO</w:t>
      </w:r>
    </w:p>
    <w:p w:rsidR="00C11848" w:rsidRDefault="00C11848" w:rsidP="00052259">
      <w:pPr>
        <w:spacing w:line="276" w:lineRule="auto"/>
        <w:ind w:firstLine="1701"/>
        <w:jc w:val="both"/>
        <w:rPr>
          <w:rFonts w:ascii="Arial" w:hAnsi="Arial" w:cs="Arial"/>
          <w:sz w:val="22"/>
          <w:szCs w:val="22"/>
        </w:rPr>
      </w:pPr>
    </w:p>
    <w:p w:rsidR="00052259" w:rsidRDefault="00052259" w:rsidP="00052259">
      <w:pPr>
        <w:spacing w:line="276" w:lineRule="auto"/>
        <w:ind w:firstLine="1701"/>
        <w:jc w:val="both"/>
        <w:rPr>
          <w:rFonts w:ascii="Arial" w:hAnsi="Arial" w:cs="Arial"/>
          <w:sz w:val="22"/>
          <w:szCs w:val="22"/>
        </w:rPr>
      </w:pPr>
      <w:r w:rsidRPr="004946D0">
        <w:rPr>
          <w:rFonts w:ascii="Arial" w:hAnsi="Arial" w:cs="Arial"/>
          <w:sz w:val="22"/>
          <w:szCs w:val="22"/>
        </w:rPr>
        <w:t>El informe fina</w:t>
      </w:r>
      <w:r>
        <w:rPr>
          <w:rFonts w:ascii="Arial" w:hAnsi="Arial" w:cs="Arial"/>
          <w:sz w:val="22"/>
          <w:szCs w:val="22"/>
        </w:rPr>
        <w:t>nciero N°14</w:t>
      </w:r>
      <w:r w:rsidR="00EB6580">
        <w:rPr>
          <w:rFonts w:ascii="Arial" w:hAnsi="Arial" w:cs="Arial"/>
          <w:sz w:val="22"/>
          <w:szCs w:val="22"/>
        </w:rPr>
        <w:t>7</w:t>
      </w:r>
      <w:r>
        <w:rPr>
          <w:rFonts w:ascii="Arial" w:hAnsi="Arial" w:cs="Arial"/>
          <w:sz w:val="22"/>
          <w:szCs w:val="22"/>
        </w:rPr>
        <w:t>, de 2 de diciembre de 2021 elaborado por la Dirección de Presupuestos del Ministerio de Hacienda señala lo siguiente:</w:t>
      </w:r>
    </w:p>
    <w:p w:rsidR="00052259" w:rsidRPr="004946D0" w:rsidRDefault="00052259" w:rsidP="00052259">
      <w:pPr>
        <w:spacing w:line="276" w:lineRule="auto"/>
        <w:ind w:firstLine="1701"/>
        <w:jc w:val="both"/>
        <w:rPr>
          <w:rFonts w:ascii="Arial" w:hAnsi="Arial" w:cs="Arial"/>
        </w:rPr>
      </w:pPr>
    </w:p>
    <w:p w:rsidR="00052259" w:rsidRPr="003948A8" w:rsidRDefault="00052259" w:rsidP="00052259">
      <w:pPr>
        <w:pStyle w:val="Prrafodelista"/>
        <w:spacing w:line="276" w:lineRule="auto"/>
        <w:ind w:left="0" w:firstLine="1701"/>
        <w:jc w:val="both"/>
        <w:rPr>
          <w:rFonts w:ascii="Arial" w:hAnsi="Arial" w:cs="Arial"/>
          <w:b/>
        </w:rPr>
      </w:pPr>
      <w:r w:rsidRPr="003948A8">
        <w:rPr>
          <w:rFonts w:ascii="Arial" w:hAnsi="Arial" w:cs="Arial"/>
          <w:b/>
        </w:rPr>
        <w:t>Efectos del Proyecto de Acuerdo sobre el Presupuesto Fiscal</w:t>
      </w:r>
    </w:p>
    <w:p w:rsidR="00052259" w:rsidRPr="00CE6787" w:rsidRDefault="00052259" w:rsidP="00052259">
      <w:pPr>
        <w:pStyle w:val="Prrafodelista"/>
        <w:spacing w:line="276" w:lineRule="auto"/>
        <w:ind w:left="0" w:firstLine="1701"/>
        <w:jc w:val="both"/>
        <w:rPr>
          <w:rFonts w:ascii="Arial" w:hAnsi="Arial" w:cs="Arial"/>
        </w:rPr>
      </w:pPr>
      <w:r w:rsidRPr="00CE6787">
        <w:rPr>
          <w:rFonts w:ascii="Arial" w:hAnsi="Arial" w:cs="Arial"/>
        </w:rPr>
        <w:t xml:space="preserve">La implementación del acuerdo en cuestión provoca una menor recaudación anual estimada de USD </w:t>
      </w:r>
      <w:r w:rsidR="00601A50">
        <w:rPr>
          <w:rFonts w:ascii="Arial" w:hAnsi="Arial" w:cs="Arial"/>
        </w:rPr>
        <w:t>423,3</w:t>
      </w:r>
      <w:r w:rsidRPr="00CE6787">
        <w:rPr>
          <w:rFonts w:ascii="Arial" w:hAnsi="Arial" w:cs="Arial"/>
        </w:rPr>
        <w:t xml:space="preserve"> miles, en base a la estimación efectuada por el Servicio de Impuestos Internos. Las cifras se generaron en base a las rentas declaradas en el Formulario 1946. Con todo, cabe señalar que esta estimación no considera el potencial efecto recaudatorio que podrían generar los mayores flujos desde el país con convenio hacia Chile, al ser una cifra no susceptible de determinar con antelación.</w:t>
      </w:r>
    </w:p>
    <w:p w:rsidR="00052259" w:rsidRDefault="00052259" w:rsidP="00052259">
      <w:pPr>
        <w:pStyle w:val="Prrafodelista"/>
        <w:spacing w:line="276" w:lineRule="auto"/>
        <w:ind w:left="0" w:firstLine="1701"/>
        <w:jc w:val="both"/>
        <w:rPr>
          <w:rFonts w:ascii="Arial" w:hAnsi="Arial" w:cs="Arial"/>
        </w:rPr>
      </w:pPr>
    </w:p>
    <w:p w:rsidR="00052259" w:rsidRPr="00CE6787" w:rsidRDefault="00052259" w:rsidP="00052259">
      <w:pPr>
        <w:pStyle w:val="Prrafodelista"/>
        <w:spacing w:line="276" w:lineRule="auto"/>
        <w:ind w:left="0" w:firstLine="1701"/>
        <w:jc w:val="both"/>
        <w:rPr>
          <w:rFonts w:ascii="Arial" w:hAnsi="Arial" w:cs="Arial"/>
          <w:b/>
        </w:rPr>
      </w:pPr>
      <w:r w:rsidRPr="00CE6787">
        <w:rPr>
          <w:rFonts w:ascii="Arial" w:hAnsi="Arial" w:cs="Arial"/>
          <w:b/>
        </w:rPr>
        <w:t>Finalmente, la aprobación de este convenio no representa mayor gasto fiscal, ya que las obligaciones que de su aplicación se deriven serán cubiertas con los recursos que la Ley de Presupuestos del Sector Público contempla para el funcionamiento de la Administración Tributaria.</w:t>
      </w:r>
    </w:p>
    <w:p w:rsidR="00052259" w:rsidRPr="00CE6787" w:rsidRDefault="00052259" w:rsidP="00052259">
      <w:pPr>
        <w:pStyle w:val="Prrafodelista"/>
        <w:spacing w:line="276" w:lineRule="auto"/>
        <w:ind w:left="0" w:firstLine="1701"/>
        <w:jc w:val="both"/>
        <w:rPr>
          <w:rFonts w:ascii="Arial" w:hAnsi="Arial" w:cs="Arial"/>
        </w:rPr>
      </w:pPr>
    </w:p>
    <w:p w:rsidR="00052259" w:rsidRPr="00C11848" w:rsidRDefault="00052259" w:rsidP="00052259">
      <w:pPr>
        <w:pStyle w:val="Prrafodelista"/>
        <w:spacing w:line="276" w:lineRule="auto"/>
        <w:ind w:left="0" w:firstLine="1701"/>
        <w:jc w:val="both"/>
        <w:rPr>
          <w:rFonts w:ascii="Arial" w:hAnsi="Arial" w:cs="Arial"/>
          <w:b/>
        </w:rPr>
      </w:pPr>
      <w:r w:rsidRPr="00C11848">
        <w:rPr>
          <w:rFonts w:ascii="Arial" w:hAnsi="Arial" w:cs="Arial"/>
          <w:b/>
        </w:rPr>
        <w:t>Fuentes de Información</w:t>
      </w:r>
    </w:p>
    <w:p w:rsidR="00052259" w:rsidRPr="00C11848" w:rsidRDefault="00052259" w:rsidP="00052259">
      <w:pPr>
        <w:pStyle w:val="Prrafodelista"/>
        <w:spacing w:line="276" w:lineRule="auto"/>
        <w:ind w:left="0" w:firstLine="1701"/>
        <w:jc w:val="both"/>
        <w:rPr>
          <w:rFonts w:ascii="Arial" w:hAnsi="Arial" w:cs="Arial"/>
        </w:rPr>
      </w:pPr>
      <w:r w:rsidRPr="00C11848">
        <w:rPr>
          <w:rFonts w:ascii="Arial" w:hAnsi="Arial" w:cs="Arial"/>
        </w:rPr>
        <w:t>•</w:t>
      </w:r>
      <w:r w:rsidRPr="00C11848">
        <w:rPr>
          <w:rFonts w:ascii="Arial" w:hAnsi="Arial" w:cs="Arial"/>
        </w:rPr>
        <w:tab/>
        <w:t xml:space="preserve">Convenio entre la República de Chile y </w:t>
      </w:r>
      <w:r w:rsidR="002110A2">
        <w:rPr>
          <w:rFonts w:ascii="Arial" w:hAnsi="Arial" w:cs="Arial"/>
        </w:rPr>
        <w:t xml:space="preserve">los </w:t>
      </w:r>
      <w:r w:rsidR="00601A50">
        <w:rPr>
          <w:rFonts w:ascii="Arial" w:hAnsi="Arial" w:cs="Arial"/>
        </w:rPr>
        <w:t>Emiratos Árabes Unidos</w:t>
      </w:r>
      <w:r w:rsidRPr="00C11848">
        <w:rPr>
          <w:rFonts w:ascii="Arial" w:hAnsi="Arial" w:cs="Arial"/>
        </w:rPr>
        <w:t xml:space="preserve"> para eliminar la doble imposición en relación con los impuestos sobre la renta y el patrimonio y para prevenir la evasión y elusión fiscal, y su protocolo.</w:t>
      </w:r>
    </w:p>
    <w:p w:rsidR="00052259" w:rsidRPr="00C11848" w:rsidRDefault="00052259" w:rsidP="00052259">
      <w:pPr>
        <w:pStyle w:val="Prrafodelista"/>
        <w:spacing w:line="276" w:lineRule="auto"/>
        <w:ind w:left="0" w:firstLine="1701"/>
        <w:jc w:val="both"/>
        <w:rPr>
          <w:rFonts w:ascii="Arial" w:hAnsi="Arial" w:cs="Arial"/>
        </w:rPr>
      </w:pPr>
      <w:r w:rsidRPr="00C11848">
        <w:rPr>
          <w:rFonts w:ascii="Arial" w:hAnsi="Arial" w:cs="Arial"/>
        </w:rPr>
        <w:t>•</w:t>
      </w:r>
      <w:r w:rsidRPr="00C11848">
        <w:rPr>
          <w:rFonts w:ascii="Arial" w:hAnsi="Arial" w:cs="Arial"/>
        </w:rPr>
        <w:tab/>
        <w:t>Servicio de Impuestos internos. Minuta “Estimación de impacto fiscal - convenios para evitar la doble tributación”</w:t>
      </w:r>
    </w:p>
    <w:p w:rsidR="00052259" w:rsidRPr="00C11848" w:rsidRDefault="00052259" w:rsidP="00052259">
      <w:pPr>
        <w:pStyle w:val="Prrafodelista"/>
        <w:spacing w:line="276" w:lineRule="auto"/>
        <w:ind w:left="0" w:firstLine="1701"/>
        <w:jc w:val="both"/>
        <w:rPr>
          <w:rFonts w:ascii="Arial" w:hAnsi="Arial" w:cs="Arial"/>
        </w:rPr>
      </w:pPr>
      <w:r w:rsidRPr="00C11848">
        <w:rPr>
          <w:rFonts w:ascii="Arial" w:hAnsi="Arial" w:cs="Arial"/>
        </w:rPr>
        <w:t>•</w:t>
      </w:r>
      <w:r w:rsidRPr="00C11848">
        <w:rPr>
          <w:rFonts w:ascii="Arial" w:hAnsi="Arial" w:cs="Arial"/>
        </w:rPr>
        <w:tab/>
        <w:t>Servicio de Impuestos Internos. Formulario 1946.</w:t>
      </w:r>
    </w:p>
    <w:p w:rsidR="00052259" w:rsidRPr="004946D0" w:rsidRDefault="00052259" w:rsidP="00052259">
      <w:pPr>
        <w:pStyle w:val="Prrafodelista"/>
        <w:spacing w:line="276" w:lineRule="auto"/>
        <w:ind w:left="0" w:firstLine="1701"/>
        <w:jc w:val="both"/>
        <w:rPr>
          <w:rFonts w:ascii="Arial" w:hAnsi="Arial" w:cs="Arial"/>
        </w:rPr>
      </w:pPr>
    </w:p>
    <w:p w:rsidR="00BF54AF" w:rsidRDefault="003F0FC8" w:rsidP="003F0FC8">
      <w:pPr>
        <w:spacing w:line="276" w:lineRule="auto"/>
        <w:jc w:val="both"/>
        <w:rPr>
          <w:rFonts w:ascii="Arial" w:hAnsi="Arial" w:cs="Arial"/>
          <w:b/>
          <w:sz w:val="22"/>
          <w:szCs w:val="22"/>
        </w:rPr>
      </w:pPr>
      <w:r>
        <w:rPr>
          <w:rFonts w:ascii="Arial" w:hAnsi="Arial" w:cs="Arial"/>
          <w:b/>
          <w:sz w:val="22"/>
          <w:szCs w:val="22"/>
        </w:rPr>
        <w:t>IV.- ACUERDOS ADOPTADOS</w:t>
      </w:r>
    </w:p>
    <w:p w:rsidR="00C11848" w:rsidRDefault="00C11848" w:rsidP="00052259">
      <w:pPr>
        <w:spacing w:line="276" w:lineRule="auto"/>
        <w:ind w:firstLine="1701"/>
        <w:jc w:val="both"/>
        <w:rPr>
          <w:rFonts w:ascii="Arial" w:eastAsia="Arial" w:hAnsi="Arial" w:cs="Arial"/>
          <w:b/>
          <w:color w:val="000000"/>
          <w:sz w:val="22"/>
          <w:szCs w:val="22"/>
          <w:lang w:val="es-ES" w:eastAsia="es-CL"/>
        </w:rPr>
      </w:pP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r w:rsidRPr="00EA5CD9">
        <w:rPr>
          <w:rFonts w:ascii="Arial" w:eastAsia="Arial" w:hAnsi="Arial" w:cs="Arial"/>
          <w:b/>
          <w:color w:val="000000"/>
          <w:sz w:val="22"/>
          <w:szCs w:val="22"/>
          <w:lang w:val="es-ES" w:eastAsia="es-CL"/>
        </w:rPr>
        <w:t>El Subsecretario de Hacienda, señor Alejandro Weber</w:t>
      </w:r>
      <w:r w:rsidRPr="00052259">
        <w:rPr>
          <w:rFonts w:ascii="Arial" w:eastAsia="Arial" w:hAnsi="Arial" w:cs="Arial"/>
          <w:color w:val="000000"/>
          <w:sz w:val="22"/>
          <w:szCs w:val="22"/>
          <w:lang w:val="es-ES" w:eastAsia="es-CL"/>
        </w:rPr>
        <w:t xml:space="preserve">, expresó que los convenios de esta naturaleza facilitan y agilizan la inversión extranjera. </w:t>
      </w: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r w:rsidRPr="00EA5CD9">
        <w:rPr>
          <w:rFonts w:ascii="Arial" w:eastAsia="Arial" w:hAnsi="Arial" w:cs="Arial"/>
          <w:b/>
          <w:color w:val="000000"/>
          <w:sz w:val="22"/>
          <w:szCs w:val="22"/>
          <w:lang w:val="es-ES" w:eastAsia="es-CL"/>
        </w:rPr>
        <w:t>La Coordinadora de Políticas Tributarias del Ministerio de Hacienda, señorita Javiera Suazo</w:t>
      </w:r>
      <w:r w:rsidRPr="00052259">
        <w:rPr>
          <w:rFonts w:ascii="Arial" w:eastAsia="Arial" w:hAnsi="Arial" w:cs="Arial"/>
          <w:color w:val="000000"/>
          <w:sz w:val="22"/>
          <w:szCs w:val="22"/>
          <w:lang w:val="es-ES" w:eastAsia="es-CL"/>
        </w:rPr>
        <w:t xml:space="preserve">, señaló que, en la actualidad, Chile ha celebrado 33 Convenios de Doble Tributación (CDT) que se encuentran vigentes. </w:t>
      </w:r>
      <w:r>
        <w:rPr>
          <w:rFonts w:ascii="Arial" w:eastAsia="Arial" w:hAnsi="Arial" w:cs="Arial"/>
          <w:color w:val="000000"/>
          <w:sz w:val="22"/>
          <w:szCs w:val="22"/>
          <w:lang w:val="es-ES" w:eastAsia="es-CL"/>
        </w:rPr>
        <w:t xml:space="preserve">El </w:t>
      </w:r>
      <w:r w:rsidRPr="00052259">
        <w:rPr>
          <w:rFonts w:ascii="Arial" w:eastAsia="Arial" w:hAnsi="Arial" w:cs="Arial"/>
          <w:color w:val="000000"/>
          <w:sz w:val="22"/>
          <w:szCs w:val="22"/>
          <w:lang w:val="es-ES" w:eastAsia="es-CL"/>
        </w:rPr>
        <w:t>aludido ha sido celebrado en función del modelo propuesto por la Organización para la Cooperación y el Desarrollo Económico (OCDE), con ciertas diferencias específicas derivadas de la necesidad de cada país en función de su propia legislación y política impositiva.</w:t>
      </w:r>
    </w:p>
    <w:p w:rsidR="00052259" w:rsidRPr="00052259" w:rsidRDefault="00052259" w:rsidP="00052259">
      <w:pPr>
        <w:spacing w:line="276" w:lineRule="auto"/>
        <w:jc w:val="center"/>
        <w:rPr>
          <w:rFonts w:ascii="Arial" w:eastAsia="Arial" w:hAnsi="Arial" w:cs="Arial"/>
          <w:b/>
          <w:color w:val="000000"/>
          <w:sz w:val="22"/>
          <w:szCs w:val="22"/>
          <w:lang w:val="es-ES" w:eastAsia="es-CL"/>
        </w:rPr>
      </w:pPr>
      <w:r w:rsidRPr="00052259">
        <w:rPr>
          <w:rFonts w:ascii="Arial" w:eastAsia="Arial" w:hAnsi="Arial" w:cs="Arial"/>
          <w:b/>
          <w:noProof/>
          <w:color w:val="000000"/>
          <w:sz w:val="22"/>
          <w:szCs w:val="22"/>
          <w:lang w:val="es-CL" w:eastAsia="es-CL"/>
        </w:rPr>
        <w:drawing>
          <wp:inline distT="0" distB="0" distL="0" distR="0" wp14:anchorId="2D1996B3" wp14:editId="49B7277F">
            <wp:extent cx="5943600" cy="3426460"/>
            <wp:effectExtent l="0" t="0" r="0" b="254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1"/>
                    <a:stretch>
                      <a:fillRect/>
                    </a:stretch>
                  </pic:blipFill>
                  <pic:spPr>
                    <a:xfrm>
                      <a:off x="0" y="0"/>
                      <a:ext cx="5943600" cy="3426460"/>
                    </a:xfrm>
                    <a:prstGeom prst="rect">
                      <a:avLst/>
                    </a:prstGeom>
                  </pic:spPr>
                </pic:pic>
              </a:graphicData>
            </a:graphic>
          </wp:inline>
        </w:drawing>
      </w: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r w:rsidRPr="00052259">
        <w:rPr>
          <w:rFonts w:ascii="Arial" w:eastAsia="Arial" w:hAnsi="Arial" w:cs="Arial"/>
          <w:color w:val="000000"/>
          <w:sz w:val="22"/>
          <w:szCs w:val="22"/>
          <w:lang w:val="es-ES" w:eastAsia="es-CL"/>
        </w:rPr>
        <w:t xml:space="preserve">En términos generales, </w:t>
      </w:r>
      <w:r>
        <w:rPr>
          <w:rFonts w:ascii="Arial" w:eastAsia="Arial" w:hAnsi="Arial" w:cs="Arial"/>
          <w:color w:val="000000"/>
          <w:sz w:val="22"/>
          <w:szCs w:val="22"/>
          <w:lang w:val="es-ES" w:eastAsia="es-CL"/>
        </w:rPr>
        <w:t xml:space="preserve">el Convenio de Doble Tributación </w:t>
      </w:r>
      <w:r w:rsidRPr="00052259">
        <w:rPr>
          <w:rFonts w:ascii="Arial" w:eastAsia="Arial" w:hAnsi="Arial" w:cs="Arial"/>
          <w:color w:val="000000"/>
          <w:sz w:val="22"/>
          <w:szCs w:val="22"/>
          <w:lang w:val="es-ES" w:eastAsia="es-CL"/>
        </w:rPr>
        <w:t xml:space="preserve"> en análisis definen la potestad tributaria respecto de un grupo de rentas incluidas en cada Convenio, definiendo el derecho que tiene cada Estado Contratante para someterlas a imposición, ya sea por ambos países o por solo uno de ellos. Asimismo, alivia la doble imposición otorgando derecho a crédito por los impuestos pagados en el otro Estado Contratante en caso que la potestad tributaria sea compartida. </w:t>
      </w:r>
    </w:p>
    <w:p w:rsidR="00C11848" w:rsidRDefault="00C11848" w:rsidP="00052259">
      <w:pPr>
        <w:spacing w:line="276" w:lineRule="auto"/>
        <w:ind w:firstLine="1701"/>
        <w:jc w:val="both"/>
        <w:rPr>
          <w:rFonts w:ascii="Arial" w:eastAsia="Arial" w:hAnsi="Arial" w:cs="Arial"/>
          <w:color w:val="000000"/>
          <w:sz w:val="22"/>
          <w:szCs w:val="22"/>
          <w:lang w:val="es-ES" w:eastAsia="es-CL"/>
        </w:rPr>
      </w:pP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r>
        <w:rPr>
          <w:rFonts w:ascii="Arial" w:eastAsia="Arial" w:hAnsi="Arial" w:cs="Arial"/>
          <w:color w:val="000000"/>
          <w:sz w:val="22"/>
          <w:szCs w:val="22"/>
          <w:lang w:val="es-ES" w:eastAsia="es-CL"/>
        </w:rPr>
        <w:t>El CDT</w:t>
      </w:r>
      <w:r w:rsidRPr="00052259">
        <w:rPr>
          <w:rFonts w:ascii="Arial" w:eastAsia="Arial" w:hAnsi="Arial" w:cs="Arial"/>
          <w:color w:val="000000"/>
          <w:sz w:val="22"/>
          <w:szCs w:val="22"/>
          <w:lang w:val="es-ES" w:eastAsia="es-CL"/>
        </w:rPr>
        <w:t xml:space="preserve"> sujeto a revisión por esta Comisión recoge las medidas anti abusos del Modelo de Convenio OCDE 2017, el cual contiene las recomendaciones que surgieron en razón de las Acciones 6 y 7 del Proyecto BEPS, impulsado por los países miembros de la OCDE y los países del G20, que tiene por objeto, entre otros, proponer soluciones a la utilización indiscriminada o inapropiada de los convenios para eliminar la doble imposición.</w:t>
      </w:r>
    </w:p>
    <w:p w:rsidR="00C11848" w:rsidRDefault="00C11848" w:rsidP="00052259">
      <w:pPr>
        <w:spacing w:line="276" w:lineRule="auto"/>
        <w:ind w:firstLine="1701"/>
        <w:jc w:val="both"/>
        <w:rPr>
          <w:rFonts w:ascii="Arial" w:eastAsia="Arial" w:hAnsi="Arial" w:cs="Arial"/>
          <w:color w:val="000000"/>
          <w:sz w:val="22"/>
          <w:szCs w:val="22"/>
          <w:lang w:val="es-ES" w:eastAsia="es-CL"/>
        </w:rPr>
      </w:pPr>
    </w:p>
    <w:p w:rsidR="003058A0" w:rsidRPr="003058A0" w:rsidRDefault="003058A0" w:rsidP="003058A0">
      <w:pPr>
        <w:spacing w:line="276" w:lineRule="auto"/>
        <w:ind w:firstLine="1701"/>
        <w:jc w:val="both"/>
        <w:rPr>
          <w:rFonts w:ascii="Arial" w:eastAsia="Arial" w:hAnsi="Arial" w:cs="Arial"/>
          <w:color w:val="000000"/>
          <w:sz w:val="22"/>
          <w:szCs w:val="22"/>
          <w:lang w:val="es-ES" w:eastAsia="es-CL"/>
        </w:rPr>
      </w:pPr>
      <w:r w:rsidRPr="003058A0">
        <w:rPr>
          <w:rFonts w:ascii="Arial" w:eastAsia="Arial" w:hAnsi="Arial" w:cs="Arial"/>
          <w:color w:val="000000"/>
          <w:sz w:val="22"/>
          <w:szCs w:val="22"/>
          <w:lang w:val="es-ES" w:eastAsia="es-CL"/>
        </w:rPr>
        <w:t>El Informe Financiero, en relación al CDT Chile-</w:t>
      </w:r>
      <w:r w:rsidR="002110A2">
        <w:rPr>
          <w:rFonts w:ascii="Arial" w:eastAsia="Arial" w:hAnsi="Arial" w:cs="Arial"/>
          <w:color w:val="000000"/>
          <w:sz w:val="22"/>
          <w:szCs w:val="22"/>
          <w:lang w:val="es-ES" w:eastAsia="es-CL"/>
        </w:rPr>
        <w:t>Emiratos Árabes Unidos</w:t>
      </w:r>
      <w:r w:rsidRPr="003058A0">
        <w:rPr>
          <w:rFonts w:ascii="Arial" w:eastAsia="Arial" w:hAnsi="Arial" w:cs="Arial"/>
          <w:color w:val="000000"/>
          <w:sz w:val="22"/>
          <w:szCs w:val="22"/>
          <w:lang w:val="es-ES" w:eastAsia="es-CL"/>
        </w:rPr>
        <w:t xml:space="preserve"> indica que la implementación de este </w:t>
      </w:r>
      <w:r>
        <w:rPr>
          <w:rFonts w:ascii="Arial" w:eastAsia="Arial" w:hAnsi="Arial" w:cs="Arial"/>
          <w:color w:val="000000"/>
          <w:sz w:val="22"/>
          <w:szCs w:val="22"/>
          <w:lang w:val="es-ES" w:eastAsia="es-CL"/>
        </w:rPr>
        <w:t>Acuerdo</w:t>
      </w:r>
      <w:r w:rsidRPr="003058A0">
        <w:rPr>
          <w:rFonts w:ascii="Arial" w:eastAsia="Arial" w:hAnsi="Arial" w:cs="Arial"/>
          <w:color w:val="000000"/>
          <w:sz w:val="22"/>
          <w:szCs w:val="22"/>
          <w:lang w:val="es-ES" w:eastAsia="es-CL"/>
        </w:rPr>
        <w:t xml:space="preserve"> generaría una menor recaudación anual estimada de USD 563.500. </w:t>
      </w:r>
    </w:p>
    <w:p w:rsidR="00C11848" w:rsidRDefault="00C11848" w:rsidP="00052259">
      <w:pPr>
        <w:spacing w:line="276" w:lineRule="auto"/>
        <w:ind w:firstLine="1701"/>
        <w:jc w:val="both"/>
        <w:rPr>
          <w:rFonts w:ascii="Arial" w:eastAsia="Arial" w:hAnsi="Arial" w:cs="Arial"/>
          <w:color w:val="000000"/>
          <w:sz w:val="22"/>
          <w:szCs w:val="22"/>
          <w:lang w:val="es-ES" w:eastAsia="es-CL"/>
        </w:rPr>
      </w:pPr>
    </w:p>
    <w:p w:rsidR="00052259" w:rsidRPr="00052259" w:rsidRDefault="00444CCC" w:rsidP="00052259">
      <w:pPr>
        <w:spacing w:line="276" w:lineRule="auto"/>
        <w:ind w:firstLine="1701"/>
        <w:jc w:val="both"/>
        <w:rPr>
          <w:rFonts w:ascii="Arial" w:eastAsia="Arial" w:hAnsi="Arial" w:cs="Arial"/>
          <w:color w:val="000000"/>
          <w:sz w:val="22"/>
          <w:szCs w:val="22"/>
          <w:lang w:val="es-ES" w:eastAsia="es-CL"/>
        </w:rPr>
      </w:pPr>
      <w:r>
        <w:rPr>
          <w:rFonts w:ascii="Arial" w:eastAsia="Arial" w:hAnsi="Arial" w:cs="Arial"/>
          <w:color w:val="000000"/>
          <w:sz w:val="22"/>
          <w:szCs w:val="22"/>
          <w:lang w:val="es-ES" w:eastAsia="es-CL"/>
        </w:rPr>
        <w:t xml:space="preserve">Agrega el informe financiero </w:t>
      </w:r>
      <w:r w:rsidR="00052259" w:rsidRPr="00052259">
        <w:rPr>
          <w:rFonts w:ascii="Arial" w:eastAsia="Arial" w:hAnsi="Arial" w:cs="Arial"/>
          <w:color w:val="000000"/>
          <w:sz w:val="22"/>
          <w:szCs w:val="22"/>
          <w:lang w:val="es-ES" w:eastAsia="es-CL"/>
        </w:rPr>
        <w:t xml:space="preserve">que no es posible de determinar el potencial efecto recaudatorio que podrían generar los mayores flujos desde </w:t>
      </w:r>
      <w:r w:rsidR="002110A2">
        <w:rPr>
          <w:rFonts w:ascii="Arial" w:eastAsia="Arial" w:hAnsi="Arial" w:cs="Arial"/>
          <w:color w:val="000000"/>
          <w:sz w:val="22"/>
          <w:szCs w:val="22"/>
          <w:lang w:val="es-ES" w:eastAsia="es-CL"/>
        </w:rPr>
        <w:t xml:space="preserve">Los Emiratos Árabes Unidos </w:t>
      </w:r>
      <w:r w:rsidR="00052259" w:rsidRPr="00052259">
        <w:rPr>
          <w:rFonts w:ascii="Arial" w:eastAsia="Arial" w:hAnsi="Arial" w:cs="Arial"/>
          <w:color w:val="000000"/>
          <w:sz w:val="22"/>
          <w:szCs w:val="22"/>
          <w:lang w:val="es-ES" w:eastAsia="es-CL"/>
        </w:rPr>
        <w:t xml:space="preserve">con </w:t>
      </w:r>
      <w:r w:rsidR="003058A0">
        <w:rPr>
          <w:rFonts w:ascii="Arial" w:eastAsia="Arial" w:hAnsi="Arial" w:cs="Arial"/>
          <w:color w:val="000000"/>
          <w:sz w:val="22"/>
          <w:szCs w:val="22"/>
          <w:lang w:val="es-ES" w:eastAsia="es-CL"/>
        </w:rPr>
        <w:t>Convenio de Doble Tributación</w:t>
      </w:r>
      <w:r w:rsidR="00052259" w:rsidRPr="00052259">
        <w:rPr>
          <w:rFonts w:ascii="Arial" w:eastAsia="Arial" w:hAnsi="Arial" w:cs="Arial"/>
          <w:color w:val="000000"/>
          <w:sz w:val="22"/>
          <w:szCs w:val="22"/>
          <w:lang w:val="es-ES" w:eastAsia="es-CL"/>
        </w:rPr>
        <w:t xml:space="preserve"> hacia Chile. </w:t>
      </w:r>
    </w:p>
    <w:p w:rsidR="00C11848" w:rsidRDefault="00C11848" w:rsidP="00052259">
      <w:pPr>
        <w:spacing w:line="276" w:lineRule="auto"/>
        <w:ind w:firstLine="1701"/>
        <w:jc w:val="both"/>
        <w:rPr>
          <w:rFonts w:ascii="Arial" w:eastAsia="Arial" w:hAnsi="Arial" w:cs="Arial"/>
          <w:color w:val="000000"/>
          <w:sz w:val="22"/>
          <w:szCs w:val="22"/>
          <w:lang w:val="es-ES" w:eastAsia="es-CL"/>
        </w:rPr>
      </w:pPr>
    </w:p>
    <w:p w:rsidR="00052259" w:rsidRPr="00052259" w:rsidRDefault="00444CCC" w:rsidP="00052259">
      <w:pPr>
        <w:spacing w:line="276" w:lineRule="auto"/>
        <w:ind w:firstLine="1701"/>
        <w:jc w:val="both"/>
        <w:rPr>
          <w:rFonts w:ascii="Arial" w:eastAsia="Arial" w:hAnsi="Arial" w:cs="Arial"/>
          <w:color w:val="000000"/>
          <w:sz w:val="22"/>
          <w:szCs w:val="22"/>
          <w:lang w:val="es-ES" w:eastAsia="es-CL"/>
        </w:rPr>
      </w:pPr>
      <w:r>
        <w:rPr>
          <w:rFonts w:ascii="Arial" w:eastAsia="Arial" w:hAnsi="Arial" w:cs="Arial"/>
          <w:color w:val="000000"/>
          <w:sz w:val="22"/>
          <w:szCs w:val="22"/>
          <w:lang w:val="es-ES" w:eastAsia="es-CL"/>
        </w:rPr>
        <w:t>L</w:t>
      </w:r>
      <w:r w:rsidR="00052259" w:rsidRPr="00052259">
        <w:rPr>
          <w:rFonts w:ascii="Arial" w:eastAsia="Arial" w:hAnsi="Arial" w:cs="Arial"/>
          <w:color w:val="000000"/>
          <w:sz w:val="22"/>
          <w:szCs w:val="22"/>
          <w:lang w:val="es-ES" w:eastAsia="es-CL"/>
        </w:rPr>
        <w:t xml:space="preserve">a aprobación </w:t>
      </w:r>
      <w:r w:rsidR="00EA5CD9">
        <w:rPr>
          <w:rFonts w:ascii="Arial" w:eastAsia="Arial" w:hAnsi="Arial" w:cs="Arial"/>
          <w:color w:val="000000"/>
          <w:sz w:val="22"/>
          <w:szCs w:val="22"/>
          <w:lang w:val="es-ES" w:eastAsia="es-CL"/>
        </w:rPr>
        <w:t>del Convenio de Doble Tributación</w:t>
      </w:r>
      <w:r w:rsidR="00052259" w:rsidRPr="00052259">
        <w:rPr>
          <w:rFonts w:ascii="Arial" w:eastAsia="Arial" w:hAnsi="Arial" w:cs="Arial"/>
          <w:color w:val="000000"/>
          <w:sz w:val="22"/>
          <w:szCs w:val="22"/>
          <w:lang w:val="es-ES" w:eastAsia="es-CL"/>
        </w:rPr>
        <w:t xml:space="preserve"> no representa un mayor gasto fiscal, dado que las obligaciones que se deriven de su aplicación serán cubiertas con los recursos que la Ley de Presupuestos del Sector Público contempla para el funcionamiento de la Administración Tributaria.</w:t>
      </w:r>
    </w:p>
    <w:p w:rsidR="00C11848" w:rsidRDefault="00C11848" w:rsidP="00052259">
      <w:pPr>
        <w:spacing w:line="276" w:lineRule="auto"/>
        <w:ind w:firstLine="1701"/>
        <w:jc w:val="both"/>
        <w:rPr>
          <w:rFonts w:ascii="Arial" w:eastAsia="Arial" w:hAnsi="Arial" w:cs="Arial"/>
          <w:color w:val="000000"/>
          <w:sz w:val="22"/>
          <w:szCs w:val="22"/>
          <w:lang w:val="es-ES" w:eastAsia="es-CL"/>
        </w:rPr>
      </w:pP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r w:rsidRPr="00052259">
        <w:rPr>
          <w:rFonts w:ascii="Arial" w:eastAsia="Arial" w:hAnsi="Arial" w:cs="Arial"/>
          <w:color w:val="000000"/>
          <w:sz w:val="22"/>
          <w:szCs w:val="22"/>
          <w:lang w:val="es-ES" w:eastAsia="es-CL"/>
        </w:rPr>
        <w:t xml:space="preserve">Si bien el Informe Financiero indica </w:t>
      </w:r>
      <w:r w:rsidR="00444CCC">
        <w:rPr>
          <w:rFonts w:ascii="Arial" w:eastAsia="Arial" w:hAnsi="Arial" w:cs="Arial"/>
          <w:color w:val="000000"/>
          <w:sz w:val="22"/>
          <w:szCs w:val="22"/>
          <w:lang w:val="es-ES" w:eastAsia="es-CL"/>
        </w:rPr>
        <w:t xml:space="preserve">que </w:t>
      </w:r>
      <w:r w:rsidRPr="00052259">
        <w:rPr>
          <w:rFonts w:ascii="Arial" w:eastAsia="Arial" w:hAnsi="Arial" w:cs="Arial"/>
          <w:color w:val="000000"/>
          <w:sz w:val="22"/>
          <w:szCs w:val="22"/>
          <w:lang w:val="es-ES" w:eastAsia="es-CL"/>
        </w:rPr>
        <w:t xml:space="preserve">se produciría una menor recaudación, se espera que el efecto final sea un mayor intercambio comercial entre Chile y </w:t>
      </w:r>
      <w:r w:rsidR="002110A2">
        <w:rPr>
          <w:rFonts w:ascii="Arial" w:eastAsia="Arial" w:hAnsi="Arial" w:cs="Arial"/>
          <w:color w:val="000000"/>
          <w:sz w:val="22"/>
          <w:szCs w:val="22"/>
          <w:lang w:val="es-ES" w:eastAsia="es-CL"/>
        </w:rPr>
        <w:t>Los Emiratos Árabes Unidos</w:t>
      </w:r>
      <w:r w:rsidRPr="00052259">
        <w:rPr>
          <w:rFonts w:ascii="Arial" w:eastAsia="Arial" w:hAnsi="Arial" w:cs="Arial"/>
          <w:color w:val="000000"/>
          <w:sz w:val="22"/>
          <w:szCs w:val="22"/>
          <w:lang w:val="es-ES" w:eastAsia="es-CL"/>
        </w:rPr>
        <w:t xml:space="preserve">, lo </w:t>
      </w:r>
      <w:r w:rsidR="00EA5CD9">
        <w:rPr>
          <w:rFonts w:ascii="Arial" w:eastAsia="Arial" w:hAnsi="Arial" w:cs="Arial"/>
          <w:color w:val="000000"/>
          <w:sz w:val="22"/>
          <w:szCs w:val="22"/>
          <w:lang w:val="es-ES" w:eastAsia="es-CL"/>
        </w:rPr>
        <w:t xml:space="preserve">que </w:t>
      </w:r>
      <w:r w:rsidRPr="00052259">
        <w:rPr>
          <w:rFonts w:ascii="Arial" w:eastAsia="Arial" w:hAnsi="Arial" w:cs="Arial"/>
          <w:color w:val="000000"/>
          <w:sz w:val="22"/>
          <w:szCs w:val="22"/>
          <w:lang w:val="es-ES" w:eastAsia="es-CL"/>
        </w:rPr>
        <w:t>debiera generar una mayor recaudación tributaria debido al incremento comercial aludido.</w:t>
      </w:r>
    </w:p>
    <w:p w:rsidR="00C11848" w:rsidRDefault="00C11848" w:rsidP="00052259">
      <w:pPr>
        <w:spacing w:line="276" w:lineRule="auto"/>
        <w:ind w:firstLine="1701"/>
        <w:jc w:val="both"/>
        <w:rPr>
          <w:rFonts w:ascii="Arial" w:eastAsia="Arial" w:hAnsi="Arial" w:cs="Arial"/>
          <w:color w:val="000000"/>
          <w:sz w:val="22"/>
          <w:szCs w:val="22"/>
          <w:lang w:val="es-ES" w:eastAsia="es-CL"/>
        </w:rPr>
      </w:pP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r w:rsidRPr="00052259">
        <w:rPr>
          <w:rFonts w:ascii="Arial" w:eastAsia="Arial" w:hAnsi="Arial" w:cs="Arial"/>
          <w:color w:val="000000"/>
          <w:sz w:val="22"/>
          <w:szCs w:val="22"/>
          <w:lang w:val="es-ES" w:eastAsia="es-CL"/>
        </w:rPr>
        <w:t xml:space="preserve">El aprobar </w:t>
      </w:r>
      <w:r w:rsidR="00EA5CD9">
        <w:rPr>
          <w:rFonts w:ascii="Arial" w:eastAsia="Arial" w:hAnsi="Arial" w:cs="Arial"/>
          <w:color w:val="000000"/>
          <w:sz w:val="22"/>
          <w:szCs w:val="22"/>
          <w:lang w:val="es-ES" w:eastAsia="es-CL"/>
        </w:rPr>
        <w:t>el Convenio en estudio</w:t>
      </w:r>
      <w:r w:rsidRPr="00052259">
        <w:rPr>
          <w:rFonts w:ascii="Arial" w:eastAsia="Arial" w:hAnsi="Arial" w:cs="Arial"/>
          <w:color w:val="000000"/>
          <w:sz w:val="22"/>
          <w:szCs w:val="22"/>
          <w:lang w:val="es-ES" w:eastAsia="es-CL"/>
        </w:rPr>
        <w:t xml:space="preserve"> tendrá un efecto positivo para nuestra economía nacional, haciéndola más dinámica, dado que se logra eliminar o disminuir las trabas impositivas que afectan a las actividades e inversiones desde o hacia </w:t>
      </w:r>
      <w:r w:rsidR="002110A2">
        <w:rPr>
          <w:rFonts w:ascii="Arial" w:eastAsia="Arial" w:hAnsi="Arial" w:cs="Arial"/>
          <w:color w:val="000000"/>
          <w:sz w:val="22"/>
          <w:szCs w:val="22"/>
          <w:lang w:val="es-ES" w:eastAsia="es-CL"/>
        </w:rPr>
        <w:t>Los Emiratos Árabes Unidos</w:t>
      </w:r>
      <w:r w:rsidR="003058A0">
        <w:rPr>
          <w:rFonts w:ascii="Arial" w:eastAsia="Arial" w:hAnsi="Arial" w:cs="Arial"/>
          <w:color w:val="000000"/>
          <w:sz w:val="22"/>
          <w:szCs w:val="22"/>
          <w:lang w:val="es-ES" w:eastAsia="es-CL"/>
        </w:rPr>
        <w:t>.</w:t>
      </w:r>
      <w:r w:rsidRPr="00052259">
        <w:rPr>
          <w:rFonts w:ascii="Arial" w:eastAsia="Arial" w:hAnsi="Arial" w:cs="Arial"/>
          <w:color w:val="000000"/>
          <w:sz w:val="22"/>
          <w:szCs w:val="22"/>
          <w:lang w:val="es-ES" w:eastAsia="es-CL"/>
        </w:rPr>
        <w:t xml:space="preserve"> </w:t>
      </w:r>
    </w:p>
    <w:p w:rsidR="00C11848" w:rsidRDefault="00C11848" w:rsidP="00052259">
      <w:pPr>
        <w:spacing w:line="276" w:lineRule="auto"/>
        <w:ind w:firstLine="1701"/>
        <w:jc w:val="both"/>
        <w:rPr>
          <w:rFonts w:ascii="Arial" w:eastAsia="Arial" w:hAnsi="Arial" w:cs="Arial"/>
          <w:color w:val="000000"/>
          <w:sz w:val="22"/>
          <w:szCs w:val="22"/>
          <w:lang w:val="es-ES" w:eastAsia="es-CL"/>
        </w:rPr>
      </w:pP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r w:rsidRPr="00052259">
        <w:rPr>
          <w:rFonts w:ascii="Arial" w:eastAsia="Arial" w:hAnsi="Arial" w:cs="Arial"/>
          <w:color w:val="000000"/>
          <w:sz w:val="22"/>
          <w:szCs w:val="22"/>
          <w:lang w:val="es-ES" w:eastAsia="es-CL"/>
        </w:rPr>
        <w:t>Lo señalado en el punto anterior permitiría un mayor flujo de capitales entre las jurisdicciones señaladas y nuestro país, lo que generará un aumento y diversificación de las actividades transfronterizas, especialmente respecto de aquellas actividades que involucran tecnologías avanzadas y asesorías técnicas de alto nivel, por la menor imposición que les afectaría. Ello, facilitaría a que Chile pueda constituirse en una plataforma de negocios para empresas extranjeras que quieran operar en otros países de la región.</w:t>
      </w: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p>
    <w:p w:rsidR="003058A0" w:rsidRPr="003058A0" w:rsidRDefault="00052259" w:rsidP="003058A0">
      <w:pPr>
        <w:spacing w:line="276" w:lineRule="auto"/>
        <w:ind w:firstLine="1701"/>
        <w:jc w:val="both"/>
        <w:rPr>
          <w:rFonts w:ascii="Arial" w:eastAsia="Arial" w:hAnsi="Arial" w:cs="Arial"/>
          <w:color w:val="000000"/>
          <w:sz w:val="22"/>
          <w:szCs w:val="22"/>
          <w:lang w:val="es-ES" w:eastAsia="es-CL"/>
        </w:rPr>
      </w:pPr>
      <w:r w:rsidRPr="00052259">
        <w:rPr>
          <w:rFonts w:ascii="Arial" w:eastAsia="Arial" w:hAnsi="Arial" w:cs="Arial"/>
          <w:b/>
          <w:color w:val="000000"/>
          <w:sz w:val="22"/>
          <w:szCs w:val="22"/>
          <w:lang w:val="es-ES" w:eastAsia="es-CL"/>
        </w:rPr>
        <w:t>El Subsecretario de Relaciones Económicas Internacionales, señor Rodrigo Yáñez,</w:t>
      </w:r>
      <w:r w:rsidRPr="00052259">
        <w:rPr>
          <w:rFonts w:ascii="Arial" w:eastAsia="Arial" w:hAnsi="Arial" w:cs="Arial"/>
          <w:color w:val="000000"/>
          <w:sz w:val="22"/>
          <w:szCs w:val="22"/>
          <w:lang w:val="es-ES" w:eastAsia="es-CL"/>
        </w:rPr>
        <w:t xml:space="preserve"> se refirió a la importancia de estos acuerdos. </w:t>
      </w:r>
      <w:r w:rsidR="003058A0" w:rsidRPr="003058A0">
        <w:rPr>
          <w:rFonts w:ascii="Arial" w:eastAsia="Arial" w:hAnsi="Arial" w:cs="Arial"/>
          <w:color w:val="000000"/>
          <w:sz w:val="22"/>
          <w:szCs w:val="22"/>
          <w:lang w:val="es-ES" w:eastAsia="es-CL"/>
        </w:rPr>
        <w:t xml:space="preserve">En el caso de </w:t>
      </w:r>
      <w:r w:rsidR="002110A2">
        <w:rPr>
          <w:rFonts w:ascii="Arial" w:eastAsia="Arial" w:hAnsi="Arial" w:cs="Arial"/>
          <w:color w:val="000000"/>
          <w:sz w:val="22"/>
          <w:szCs w:val="22"/>
          <w:lang w:val="es-ES" w:eastAsia="es-CL"/>
        </w:rPr>
        <w:t>Los Emiratos Árabes Unidos,</w:t>
      </w:r>
      <w:r w:rsidR="003058A0" w:rsidRPr="003058A0">
        <w:rPr>
          <w:rFonts w:ascii="Arial" w:eastAsia="Arial" w:hAnsi="Arial" w:cs="Arial"/>
          <w:color w:val="000000"/>
          <w:sz w:val="22"/>
          <w:szCs w:val="22"/>
          <w:lang w:val="es-ES" w:eastAsia="es-CL"/>
        </w:rPr>
        <w:t xml:space="preserve"> se trata de </w:t>
      </w:r>
      <w:r w:rsidR="003058A0">
        <w:rPr>
          <w:rFonts w:ascii="Arial" w:eastAsia="Arial" w:hAnsi="Arial" w:cs="Arial"/>
          <w:color w:val="000000"/>
          <w:sz w:val="22"/>
          <w:szCs w:val="22"/>
          <w:lang w:val="es-ES" w:eastAsia="es-CL"/>
        </w:rPr>
        <w:t xml:space="preserve">un </w:t>
      </w:r>
      <w:r w:rsidR="003058A0" w:rsidRPr="003058A0">
        <w:rPr>
          <w:rFonts w:ascii="Arial" w:eastAsia="Arial" w:hAnsi="Arial" w:cs="Arial"/>
          <w:color w:val="000000"/>
          <w:sz w:val="22"/>
          <w:szCs w:val="22"/>
          <w:lang w:val="es-ES" w:eastAsia="es-CL"/>
        </w:rPr>
        <w:t xml:space="preserve">socio comercial importante de zonas emergentes. </w:t>
      </w:r>
    </w:p>
    <w:p w:rsidR="003058A0" w:rsidRPr="003058A0" w:rsidRDefault="003058A0" w:rsidP="003058A0">
      <w:pPr>
        <w:spacing w:line="276" w:lineRule="auto"/>
        <w:ind w:firstLine="1701"/>
        <w:jc w:val="both"/>
        <w:rPr>
          <w:rFonts w:ascii="Arial" w:eastAsia="Arial" w:hAnsi="Arial" w:cs="Arial"/>
          <w:color w:val="000000"/>
          <w:sz w:val="22"/>
          <w:szCs w:val="22"/>
          <w:lang w:val="es-ES" w:eastAsia="es-CL"/>
        </w:rPr>
      </w:pPr>
    </w:p>
    <w:p w:rsidR="00C11848" w:rsidRDefault="00C11848" w:rsidP="00052259">
      <w:pPr>
        <w:spacing w:line="276" w:lineRule="auto"/>
        <w:ind w:firstLine="1701"/>
        <w:jc w:val="both"/>
        <w:rPr>
          <w:rFonts w:ascii="Arial" w:eastAsia="Arial" w:hAnsi="Arial" w:cs="Arial"/>
          <w:b/>
          <w:color w:val="000000"/>
          <w:sz w:val="22"/>
          <w:szCs w:val="22"/>
          <w:lang w:val="es-ES" w:eastAsia="es-CL"/>
        </w:rPr>
      </w:pP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r w:rsidRPr="00052259">
        <w:rPr>
          <w:rFonts w:ascii="Arial" w:eastAsia="Arial" w:hAnsi="Arial" w:cs="Arial"/>
          <w:b/>
          <w:color w:val="000000"/>
          <w:sz w:val="22"/>
          <w:szCs w:val="22"/>
          <w:lang w:val="es-ES" w:eastAsia="es-CL"/>
        </w:rPr>
        <w:t>El diputado Schilling</w:t>
      </w:r>
      <w:r w:rsidRPr="00052259">
        <w:rPr>
          <w:rFonts w:ascii="Arial" w:eastAsia="Arial" w:hAnsi="Arial" w:cs="Arial"/>
          <w:color w:val="000000"/>
          <w:sz w:val="22"/>
          <w:szCs w:val="22"/>
          <w:lang w:val="es-ES" w:eastAsia="es-CL"/>
        </w:rPr>
        <w:t xml:space="preserve"> consultó si estos acuerdos permiten al inversionista decidir autónomamente si pagará impuestos en el país donde reside o en el que invierte. </w:t>
      </w:r>
    </w:p>
    <w:p w:rsidR="00C11848" w:rsidRDefault="00C11848" w:rsidP="00052259">
      <w:pPr>
        <w:spacing w:line="276" w:lineRule="auto"/>
        <w:ind w:firstLine="1701"/>
        <w:jc w:val="both"/>
        <w:rPr>
          <w:rFonts w:ascii="Arial" w:eastAsia="Arial" w:hAnsi="Arial" w:cs="Arial"/>
          <w:b/>
          <w:color w:val="000000"/>
          <w:sz w:val="22"/>
          <w:szCs w:val="22"/>
          <w:lang w:val="es-ES" w:eastAsia="es-CL"/>
        </w:rPr>
      </w:pP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r w:rsidRPr="00052259">
        <w:rPr>
          <w:rFonts w:ascii="Arial" w:eastAsia="Arial" w:hAnsi="Arial" w:cs="Arial"/>
          <w:b/>
          <w:color w:val="000000"/>
          <w:sz w:val="22"/>
          <w:szCs w:val="22"/>
          <w:lang w:val="es-ES" w:eastAsia="es-CL"/>
        </w:rPr>
        <w:t>El diputado Pérez</w:t>
      </w:r>
      <w:r w:rsidRPr="00052259">
        <w:rPr>
          <w:rFonts w:ascii="Arial" w:eastAsia="Arial" w:hAnsi="Arial" w:cs="Arial"/>
          <w:color w:val="000000"/>
          <w:sz w:val="22"/>
          <w:szCs w:val="22"/>
          <w:lang w:val="es-ES" w:eastAsia="es-CL"/>
        </w:rPr>
        <w:t xml:space="preserve"> preguntó dónde se encuentra la utilidad o conveniencia de consagrar estos acuerdos de doble tributación, en orden a beneficiar el interés chileno.</w:t>
      </w:r>
    </w:p>
    <w:p w:rsidR="00C11848" w:rsidRDefault="00C11848" w:rsidP="00052259">
      <w:pPr>
        <w:spacing w:line="276" w:lineRule="auto"/>
        <w:ind w:firstLine="1701"/>
        <w:jc w:val="both"/>
        <w:rPr>
          <w:rFonts w:ascii="Arial" w:eastAsia="Arial" w:hAnsi="Arial" w:cs="Arial"/>
          <w:b/>
          <w:color w:val="000000"/>
          <w:sz w:val="22"/>
          <w:szCs w:val="22"/>
          <w:lang w:val="es-ES" w:eastAsia="es-CL"/>
        </w:rPr>
      </w:pP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r w:rsidRPr="00052259">
        <w:rPr>
          <w:rFonts w:ascii="Arial" w:eastAsia="Arial" w:hAnsi="Arial" w:cs="Arial"/>
          <w:b/>
          <w:color w:val="000000"/>
          <w:sz w:val="22"/>
          <w:szCs w:val="22"/>
          <w:lang w:val="es-ES" w:eastAsia="es-CL"/>
        </w:rPr>
        <w:t>La señorita Suazo</w:t>
      </w:r>
      <w:r w:rsidRPr="00052259">
        <w:rPr>
          <w:rFonts w:ascii="Arial" w:eastAsia="Arial" w:hAnsi="Arial" w:cs="Arial"/>
          <w:color w:val="000000"/>
          <w:sz w:val="22"/>
          <w:szCs w:val="22"/>
          <w:lang w:val="es-ES" w:eastAsia="es-CL"/>
        </w:rPr>
        <w:t xml:space="preserve"> señaló que en ningún caso los inversionistas tienen derecho a elegir dónde pagar sus tributos. Ambos países, soberanamente, negocian una distribución de potestad tributaria justa y equitativa, de manera que una misma operación resulte gravada dos veces, por el mismo impuesto, en ambos países. Por otra parte, indicó que estos convenios favorecen la inversión de los países respectivos, la que, de aumentar, promoverá también una mayor recaudación. Ese es el potencial recaudatorio que señalan los informes financieros y que es imposible estimar en este momento. </w:t>
      </w:r>
    </w:p>
    <w:p w:rsidR="00C11848" w:rsidRDefault="00C11848" w:rsidP="00052259">
      <w:pPr>
        <w:spacing w:line="276" w:lineRule="auto"/>
        <w:ind w:firstLine="1701"/>
        <w:jc w:val="both"/>
        <w:rPr>
          <w:rFonts w:ascii="Arial" w:eastAsia="Arial" w:hAnsi="Arial" w:cs="Arial"/>
          <w:color w:val="000000"/>
          <w:sz w:val="22"/>
          <w:szCs w:val="22"/>
          <w:lang w:val="es-ES" w:eastAsia="es-CL"/>
        </w:rPr>
      </w:pPr>
    </w:p>
    <w:p w:rsidR="00C11848" w:rsidRPr="00C11848" w:rsidRDefault="00C11848" w:rsidP="00052259">
      <w:pPr>
        <w:spacing w:line="276" w:lineRule="auto"/>
        <w:ind w:firstLine="1701"/>
        <w:jc w:val="both"/>
        <w:rPr>
          <w:rFonts w:ascii="Arial" w:eastAsia="Arial" w:hAnsi="Arial" w:cs="Arial"/>
          <w:color w:val="000000"/>
          <w:sz w:val="22"/>
          <w:szCs w:val="22"/>
          <w:u w:val="single"/>
          <w:lang w:val="es-ES" w:eastAsia="es-CL"/>
        </w:rPr>
      </w:pPr>
      <w:r w:rsidRPr="00C11848">
        <w:rPr>
          <w:rFonts w:ascii="Arial" w:eastAsia="Arial" w:hAnsi="Arial" w:cs="Arial"/>
          <w:color w:val="000000"/>
          <w:sz w:val="22"/>
          <w:szCs w:val="22"/>
          <w:u w:val="single"/>
          <w:lang w:val="es-ES" w:eastAsia="es-CL"/>
        </w:rPr>
        <w:t>Votación</w:t>
      </w:r>
    </w:p>
    <w:p w:rsidR="00C11848" w:rsidRDefault="00C11848" w:rsidP="00052259">
      <w:pPr>
        <w:spacing w:line="276" w:lineRule="auto"/>
        <w:ind w:firstLine="1701"/>
        <w:jc w:val="both"/>
        <w:rPr>
          <w:rFonts w:ascii="Arial" w:eastAsia="Arial" w:hAnsi="Arial" w:cs="Arial"/>
          <w:color w:val="000000"/>
          <w:sz w:val="22"/>
          <w:szCs w:val="22"/>
          <w:lang w:val="es-ES" w:eastAsia="es-CL"/>
        </w:rPr>
      </w:pP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r w:rsidRPr="00052259">
        <w:rPr>
          <w:rFonts w:ascii="Arial" w:eastAsia="Arial" w:hAnsi="Arial" w:cs="Arial"/>
          <w:color w:val="000000"/>
          <w:sz w:val="22"/>
          <w:szCs w:val="22"/>
          <w:lang w:val="es-ES" w:eastAsia="es-CL"/>
        </w:rPr>
        <w:t xml:space="preserve">Puesto en votación </w:t>
      </w:r>
      <w:r w:rsidR="00EA5CD9">
        <w:rPr>
          <w:rFonts w:ascii="Arial" w:eastAsia="Arial" w:hAnsi="Arial" w:cs="Arial"/>
          <w:color w:val="000000"/>
          <w:sz w:val="22"/>
          <w:szCs w:val="22"/>
          <w:lang w:val="es-ES" w:eastAsia="es-CL"/>
        </w:rPr>
        <w:t>el proyecto</w:t>
      </w:r>
      <w:r w:rsidRPr="00052259">
        <w:rPr>
          <w:rFonts w:ascii="Arial" w:eastAsia="Arial" w:hAnsi="Arial" w:cs="Arial"/>
          <w:color w:val="000000"/>
          <w:sz w:val="22"/>
          <w:szCs w:val="22"/>
          <w:lang w:val="es-ES" w:eastAsia="es-CL"/>
        </w:rPr>
        <w:t xml:space="preserve"> de acuerdo, </w:t>
      </w:r>
      <w:r w:rsidR="00C11848">
        <w:rPr>
          <w:rFonts w:ascii="Arial" w:eastAsia="Arial" w:hAnsi="Arial" w:cs="Arial"/>
          <w:color w:val="000000"/>
          <w:sz w:val="22"/>
          <w:szCs w:val="22"/>
          <w:lang w:val="es-ES" w:eastAsia="es-CL"/>
        </w:rPr>
        <w:t xml:space="preserve">en lo que respecta a la competencia de esta Comisión de Hacienda, fue </w:t>
      </w:r>
      <w:r w:rsidRPr="00052259">
        <w:rPr>
          <w:rFonts w:ascii="Arial" w:eastAsia="Arial" w:hAnsi="Arial" w:cs="Arial"/>
          <w:color w:val="000000"/>
          <w:sz w:val="22"/>
          <w:szCs w:val="22"/>
          <w:lang w:val="es-ES" w:eastAsia="es-CL"/>
        </w:rPr>
        <w:t>aprobado por la unanimidad de los diputados presentes señores(a) Cid, Hernández, Lorenzini, Mellado, Pérez, Santana, Schilling y Von Mühlenbrock.</w:t>
      </w:r>
    </w:p>
    <w:p w:rsidR="00C11848" w:rsidRDefault="00C11848" w:rsidP="00BF51DA">
      <w:pPr>
        <w:tabs>
          <w:tab w:val="left" w:pos="2268"/>
        </w:tabs>
        <w:spacing w:after="200" w:line="276" w:lineRule="auto"/>
        <w:ind w:firstLine="1701"/>
        <w:jc w:val="both"/>
        <w:rPr>
          <w:rFonts w:ascii="Arial" w:hAnsi="Arial" w:cs="Arial"/>
          <w:spacing w:val="-3"/>
          <w:sz w:val="22"/>
          <w:szCs w:val="22"/>
          <w:lang w:val="es-CL" w:eastAsia="en-US" w:bidi="en-US"/>
        </w:rPr>
      </w:pPr>
    </w:p>
    <w:p w:rsidR="00C11848" w:rsidRDefault="00C11848" w:rsidP="00BF51DA">
      <w:pPr>
        <w:tabs>
          <w:tab w:val="left" w:pos="2268"/>
        </w:tabs>
        <w:spacing w:after="200" w:line="276" w:lineRule="auto"/>
        <w:ind w:firstLine="1701"/>
        <w:jc w:val="both"/>
        <w:rPr>
          <w:rFonts w:ascii="Arial" w:hAnsi="Arial" w:cs="Arial"/>
          <w:spacing w:val="-3"/>
          <w:sz w:val="22"/>
          <w:szCs w:val="22"/>
          <w:lang w:val="es-CL" w:eastAsia="en-US" w:bidi="en-US"/>
        </w:rPr>
      </w:pPr>
    </w:p>
    <w:p w:rsidR="00BF51DA" w:rsidRPr="00BF51DA" w:rsidRDefault="00BF51DA" w:rsidP="00BF51DA">
      <w:pPr>
        <w:tabs>
          <w:tab w:val="left" w:pos="2268"/>
        </w:tabs>
        <w:spacing w:after="200" w:line="276" w:lineRule="auto"/>
        <w:ind w:firstLine="1701"/>
        <w:jc w:val="both"/>
        <w:rPr>
          <w:rFonts w:ascii="Arial" w:hAnsi="Arial" w:cs="Arial"/>
          <w:spacing w:val="-3"/>
          <w:sz w:val="22"/>
          <w:szCs w:val="22"/>
          <w:lang w:val="es-CL" w:eastAsia="en-US" w:bidi="en-US"/>
        </w:rPr>
      </w:pPr>
      <w:r w:rsidRPr="00BF51DA">
        <w:rPr>
          <w:rFonts w:ascii="Arial" w:hAnsi="Arial" w:cs="Arial"/>
          <w:spacing w:val="-3"/>
          <w:sz w:val="22"/>
          <w:szCs w:val="22"/>
          <w:lang w:val="es-CL" w:eastAsia="en-US" w:bidi="en-US"/>
        </w:rPr>
        <w:t xml:space="preserve">Por las razones señaladas y consideraciones que expondrá </w:t>
      </w:r>
      <w:r w:rsidR="00C11848">
        <w:rPr>
          <w:rFonts w:ascii="Arial" w:hAnsi="Arial" w:cs="Arial"/>
          <w:spacing w:val="-3"/>
          <w:sz w:val="22"/>
          <w:szCs w:val="22"/>
          <w:lang w:val="es-CL" w:eastAsia="en-US" w:bidi="en-US"/>
        </w:rPr>
        <w:t>la señora</w:t>
      </w:r>
      <w:r w:rsidRPr="00BF51DA">
        <w:rPr>
          <w:rFonts w:ascii="Arial" w:hAnsi="Arial" w:cs="Arial"/>
          <w:spacing w:val="-3"/>
          <w:sz w:val="22"/>
          <w:szCs w:val="22"/>
          <w:lang w:val="es-CL" w:eastAsia="en-US" w:bidi="en-US"/>
        </w:rPr>
        <w:t xml:space="preserve"> Diputado Informante, la Comisión de Hacienda recomienda aprobar el proyecto de acuerdo sometido a consideración, en los mismos términos </w:t>
      </w:r>
      <w:r>
        <w:rPr>
          <w:rFonts w:ascii="Arial" w:hAnsi="Arial" w:cs="Arial"/>
          <w:spacing w:val="-3"/>
          <w:sz w:val="22"/>
          <w:szCs w:val="22"/>
          <w:lang w:val="es-CL" w:eastAsia="en-US" w:bidi="en-US"/>
        </w:rPr>
        <w:t>pro</w:t>
      </w:r>
      <w:r w:rsidRPr="00BF51DA">
        <w:rPr>
          <w:rFonts w:ascii="Arial" w:hAnsi="Arial" w:cs="Arial"/>
          <w:spacing w:val="-3"/>
          <w:sz w:val="22"/>
          <w:szCs w:val="22"/>
          <w:lang w:val="es-CL" w:eastAsia="en-US" w:bidi="en-US"/>
        </w:rPr>
        <w:t>puestos por la Comisión Técnica</w:t>
      </w:r>
      <w:r>
        <w:rPr>
          <w:rFonts w:ascii="Arial" w:hAnsi="Arial" w:cs="Arial"/>
          <w:spacing w:val="-3"/>
          <w:sz w:val="22"/>
          <w:szCs w:val="22"/>
          <w:lang w:val="es-CL" w:eastAsia="en-US" w:bidi="en-US"/>
        </w:rPr>
        <w:t>.</w:t>
      </w:r>
    </w:p>
    <w:p w:rsidR="00BF51DA" w:rsidRPr="00BF51DA" w:rsidRDefault="00BF51DA" w:rsidP="00BF51DA">
      <w:pPr>
        <w:tabs>
          <w:tab w:val="left" w:pos="2835"/>
        </w:tabs>
        <w:spacing w:before="240" w:after="240" w:line="276" w:lineRule="auto"/>
        <w:jc w:val="center"/>
        <w:rPr>
          <w:rFonts w:ascii="Arial" w:hAnsi="Arial" w:cs="Arial"/>
          <w:spacing w:val="-3"/>
          <w:sz w:val="22"/>
          <w:szCs w:val="22"/>
        </w:rPr>
      </w:pPr>
      <w:r w:rsidRPr="00BF51DA">
        <w:rPr>
          <w:rFonts w:ascii="Arial" w:hAnsi="Arial" w:cs="Arial"/>
          <w:sz w:val="22"/>
          <w:szCs w:val="22"/>
          <w:lang w:val="es-MX"/>
        </w:rPr>
        <w:t>*******</w:t>
      </w:r>
    </w:p>
    <w:p w:rsidR="00FD0D7E" w:rsidRDefault="00FD0D7E" w:rsidP="00FD0D7E">
      <w:pPr>
        <w:spacing w:line="276" w:lineRule="auto"/>
        <w:ind w:firstLine="1701"/>
        <w:jc w:val="both"/>
        <w:rPr>
          <w:rFonts w:ascii="Arial" w:hAnsi="Arial" w:cs="Arial"/>
          <w:sz w:val="22"/>
          <w:szCs w:val="22"/>
        </w:rPr>
      </w:pPr>
      <w:r>
        <w:rPr>
          <w:rFonts w:ascii="Arial" w:hAnsi="Arial" w:cs="Arial"/>
          <w:sz w:val="22"/>
          <w:szCs w:val="22"/>
        </w:rPr>
        <w:t xml:space="preserve">Tratado y acordado en la sesión celebrada el 11 de enero </w:t>
      </w:r>
      <w:r w:rsidRPr="00521DE3">
        <w:rPr>
          <w:rFonts w:ascii="Arial" w:hAnsi="Arial" w:cs="Arial"/>
          <w:sz w:val="22"/>
          <w:szCs w:val="22"/>
        </w:rPr>
        <w:t xml:space="preserve">del </w:t>
      </w:r>
      <w:r>
        <w:rPr>
          <w:rFonts w:ascii="Arial" w:hAnsi="Arial" w:cs="Arial"/>
          <w:sz w:val="22"/>
          <w:szCs w:val="22"/>
        </w:rPr>
        <w:t>año en curso, con la asistencia presencial o remota, de</w:t>
      </w:r>
      <w:r w:rsidRPr="00520907">
        <w:rPr>
          <w:rFonts w:ascii="Arial" w:hAnsi="Arial" w:cs="Arial"/>
          <w:sz w:val="22"/>
          <w:szCs w:val="22"/>
        </w:rPr>
        <w:t xml:space="preserve"> lo</w:t>
      </w:r>
      <w:r>
        <w:rPr>
          <w:rFonts w:ascii="Arial" w:hAnsi="Arial" w:cs="Arial"/>
          <w:sz w:val="22"/>
          <w:szCs w:val="22"/>
        </w:rPr>
        <w:t xml:space="preserve">s diputados (a) señores, Sofía Cid Versalovic, Marcelo Díaz Díaz, Javier Hernández Hernández, </w:t>
      </w:r>
      <w:r w:rsidRPr="00691D5B">
        <w:rPr>
          <w:rFonts w:ascii="Arial" w:hAnsi="Arial" w:cs="Arial"/>
          <w:sz w:val="22"/>
          <w:szCs w:val="22"/>
        </w:rPr>
        <w:t>Pablo Lorenzini Basso</w:t>
      </w:r>
      <w:r>
        <w:rPr>
          <w:rFonts w:ascii="Arial" w:hAnsi="Arial" w:cs="Arial"/>
          <w:sz w:val="22"/>
          <w:szCs w:val="22"/>
        </w:rPr>
        <w:t xml:space="preserve"> </w:t>
      </w:r>
      <w:r w:rsidRPr="00691D5B">
        <w:rPr>
          <w:rFonts w:ascii="Arial" w:hAnsi="Arial" w:cs="Arial"/>
          <w:sz w:val="22"/>
          <w:szCs w:val="22"/>
        </w:rPr>
        <w:t xml:space="preserve">(Presidente), </w:t>
      </w:r>
      <w:r>
        <w:rPr>
          <w:rFonts w:ascii="Arial" w:hAnsi="Arial" w:cs="Arial"/>
          <w:sz w:val="22"/>
          <w:szCs w:val="22"/>
        </w:rPr>
        <w:t xml:space="preserve">Cosme Mellado Pino, Leopoldo Pérez Lahsen, </w:t>
      </w:r>
      <w:r w:rsidRPr="00EF0D2D">
        <w:rPr>
          <w:rFonts w:ascii="Arial" w:hAnsi="Arial" w:cs="Arial"/>
          <w:sz w:val="22"/>
          <w:szCs w:val="22"/>
        </w:rPr>
        <w:t>Alejandro Santana Tirachini</w:t>
      </w:r>
      <w:r>
        <w:rPr>
          <w:rFonts w:ascii="Arial" w:hAnsi="Arial" w:cs="Arial"/>
          <w:sz w:val="22"/>
          <w:szCs w:val="22"/>
        </w:rPr>
        <w:t xml:space="preserve">, </w:t>
      </w:r>
      <w:r w:rsidRPr="00691D5B">
        <w:rPr>
          <w:rFonts w:ascii="Arial" w:hAnsi="Arial" w:cs="Arial"/>
          <w:sz w:val="22"/>
          <w:szCs w:val="22"/>
        </w:rPr>
        <w:t xml:space="preserve">Marcelo Schilling Rodríguez, </w:t>
      </w:r>
      <w:r>
        <w:rPr>
          <w:rFonts w:ascii="Arial" w:hAnsi="Arial" w:cs="Arial"/>
          <w:sz w:val="22"/>
          <w:szCs w:val="22"/>
        </w:rPr>
        <w:t>y Gastón Von Mühlenbrock Zamora.</w:t>
      </w:r>
      <w:r w:rsidRPr="0087793E">
        <w:rPr>
          <w:rFonts w:ascii="Arial" w:hAnsi="Arial" w:cs="Arial"/>
          <w:sz w:val="22"/>
          <w:szCs w:val="22"/>
        </w:rPr>
        <w:t xml:space="preserve"> </w:t>
      </w:r>
      <w:r>
        <w:rPr>
          <w:rFonts w:ascii="Arial" w:hAnsi="Arial" w:cs="Arial"/>
          <w:sz w:val="22"/>
          <w:szCs w:val="22"/>
        </w:rPr>
        <w:t>Además asistió</w:t>
      </w:r>
      <w:r w:rsidRPr="009D3CDF">
        <w:rPr>
          <w:rFonts w:ascii="Arial" w:hAnsi="Arial" w:cs="Arial"/>
          <w:sz w:val="22"/>
          <w:szCs w:val="22"/>
        </w:rPr>
        <w:t xml:space="preserve"> </w:t>
      </w:r>
      <w:r>
        <w:rPr>
          <w:rFonts w:ascii="Arial" w:hAnsi="Arial" w:cs="Arial"/>
          <w:sz w:val="22"/>
          <w:szCs w:val="22"/>
        </w:rPr>
        <w:t xml:space="preserve">el </w:t>
      </w:r>
      <w:r w:rsidRPr="00C73D1F">
        <w:rPr>
          <w:rFonts w:ascii="Arial" w:hAnsi="Arial" w:cs="Arial"/>
          <w:sz w:val="22"/>
          <w:szCs w:val="22"/>
        </w:rPr>
        <w:t xml:space="preserve">diputado </w:t>
      </w:r>
      <w:r>
        <w:rPr>
          <w:rFonts w:ascii="Arial" w:hAnsi="Arial" w:cs="Arial"/>
          <w:sz w:val="22"/>
          <w:szCs w:val="22"/>
        </w:rPr>
        <w:t xml:space="preserve">señor </w:t>
      </w:r>
      <w:r w:rsidRPr="00C73D1F">
        <w:rPr>
          <w:rFonts w:ascii="Arial" w:hAnsi="Arial" w:cs="Arial"/>
          <w:sz w:val="22"/>
          <w:szCs w:val="22"/>
        </w:rPr>
        <w:t>Gabriel Silber Romo</w:t>
      </w:r>
    </w:p>
    <w:p w:rsidR="00FD0D7E" w:rsidRDefault="00FD0D7E" w:rsidP="00FD0D7E">
      <w:pPr>
        <w:tabs>
          <w:tab w:val="left" w:pos="-284"/>
          <w:tab w:val="left" w:pos="0"/>
          <w:tab w:val="left" w:pos="851"/>
        </w:tabs>
        <w:spacing w:line="276" w:lineRule="auto"/>
        <w:ind w:right="51" w:firstLine="1701"/>
        <w:jc w:val="right"/>
        <w:rPr>
          <w:rFonts w:ascii="Arial" w:hAnsi="Arial" w:cs="Arial"/>
          <w:sz w:val="22"/>
          <w:szCs w:val="22"/>
        </w:rPr>
      </w:pPr>
    </w:p>
    <w:p w:rsidR="00FD0D7E" w:rsidRDefault="00FD0D7E" w:rsidP="00FD0D7E">
      <w:pPr>
        <w:tabs>
          <w:tab w:val="left" w:pos="-284"/>
          <w:tab w:val="left" w:pos="0"/>
          <w:tab w:val="left" w:pos="851"/>
        </w:tabs>
        <w:spacing w:line="276" w:lineRule="auto"/>
        <w:ind w:right="51" w:firstLine="1701"/>
        <w:jc w:val="right"/>
        <w:rPr>
          <w:rFonts w:ascii="Arial" w:hAnsi="Arial" w:cs="Arial"/>
          <w:sz w:val="22"/>
          <w:szCs w:val="22"/>
        </w:rPr>
      </w:pPr>
    </w:p>
    <w:p w:rsidR="00BF51DA" w:rsidRPr="00BF51DA" w:rsidRDefault="00BF51DA" w:rsidP="00FD0D7E">
      <w:pPr>
        <w:tabs>
          <w:tab w:val="left" w:pos="-284"/>
          <w:tab w:val="left" w:pos="0"/>
          <w:tab w:val="left" w:pos="851"/>
        </w:tabs>
        <w:spacing w:line="276" w:lineRule="auto"/>
        <w:ind w:right="51" w:firstLine="1701"/>
        <w:jc w:val="right"/>
        <w:rPr>
          <w:rFonts w:ascii="Arial" w:hAnsi="Arial" w:cs="Arial"/>
          <w:sz w:val="22"/>
          <w:szCs w:val="22"/>
        </w:rPr>
      </w:pPr>
      <w:r w:rsidRPr="00BF51DA">
        <w:rPr>
          <w:rFonts w:ascii="Arial" w:hAnsi="Arial" w:cs="Arial"/>
          <w:sz w:val="22"/>
          <w:szCs w:val="22"/>
        </w:rPr>
        <w:t xml:space="preserve">Sala de la Comisión, a </w:t>
      </w:r>
      <w:r w:rsidR="00FD0D7E">
        <w:rPr>
          <w:rFonts w:ascii="Arial" w:hAnsi="Arial" w:cs="Arial"/>
          <w:sz w:val="22"/>
          <w:szCs w:val="22"/>
        </w:rPr>
        <w:t>12</w:t>
      </w:r>
      <w:r w:rsidRPr="00BF51DA">
        <w:rPr>
          <w:rFonts w:ascii="Arial" w:hAnsi="Arial" w:cs="Arial"/>
          <w:sz w:val="22"/>
          <w:szCs w:val="22"/>
        </w:rPr>
        <w:t xml:space="preserve"> de </w:t>
      </w:r>
      <w:r w:rsidR="00FD0D7E">
        <w:rPr>
          <w:rFonts w:ascii="Arial" w:hAnsi="Arial" w:cs="Arial"/>
          <w:sz w:val="22"/>
          <w:szCs w:val="22"/>
        </w:rPr>
        <w:t>enero</w:t>
      </w:r>
      <w:r w:rsidRPr="00BF51DA">
        <w:rPr>
          <w:rFonts w:ascii="Arial" w:hAnsi="Arial" w:cs="Arial"/>
          <w:sz w:val="22"/>
          <w:szCs w:val="22"/>
        </w:rPr>
        <w:t xml:space="preserve"> de 20</w:t>
      </w:r>
      <w:r w:rsidR="00FD0D7E">
        <w:rPr>
          <w:rFonts w:ascii="Arial" w:hAnsi="Arial" w:cs="Arial"/>
          <w:sz w:val="22"/>
          <w:szCs w:val="22"/>
        </w:rPr>
        <w:t>22.</w:t>
      </w:r>
    </w:p>
    <w:p w:rsidR="00BF51DA" w:rsidRPr="00BF51DA" w:rsidRDefault="00BF51DA" w:rsidP="00BF51DA">
      <w:pPr>
        <w:tabs>
          <w:tab w:val="left" w:pos="-284"/>
          <w:tab w:val="left" w:pos="0"/>
          <w:tab w:val="left" w:pos="3402"/>
        </w:tabs>
        <w:spacing w:line="276" w:lineRule="auto"/>
        <w:ind w:right="51" w:firstLine="1701"/>
        <w:jc w:val="both"/>
        <w:rPr>
          <w:rFonts w:ascii="Arial" w:hAnsi="Arial" w:cs="Arial"/>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8B0791" w:rsidRPr="002E1ACA" w:rsidRDefault="008B0791" w:rsidP="008B0791">
      <w:pPr>
        <w:tabs>
          <w:tab w:val="left" w:pos="-284"/>
          <w:tab w:val="left" w:pos="0"/>
          <w:tab w:val="left" w:pos="3402"/>
        </w:tabs>
        <w:spacing w:line="276" w:lineRule="auto"/>
        <w:ind w:right="51"/>
        <w:jc w:val="center"/>
        <w:rPr>
          <w:rFonts w:ascii="Arial" w:hAnsi="Arial" w:cs="Arial"/>
          <w:b/>
          <w:sz w:val="22"/>
          <w:szCs w:val="22"/>
        </w:rPr>
      </w:pPr>
      <w:r w:rsidRPr="002E1ACA">
        <w:rPr>
          <w:rFonts w:ascii="Arial" w:hAnsi="Arial" w:cs="Arial"/>
          <w:b/>
          <w:sz w:val="22"/>
          <w:szCs w:val="22"/>
        </w:rPr>
        <w:t>MARÍA EUGENIA SILVA FERRER</w:t>
      </w:r>
    </w:p>
    <w:p w:rsidR="008B0791" w:rsidRPr="002E1ACA" w:rsidRDefault="008B0791" w:rsidP="008B0791">
      <w:pPr>
        <w:tabs>
          <w:tab w:val="left" w:pos="-284"/>
          <w:tab w:val="left" w:pos="0"/>
          <w:tab w:val="left" w:pos="4751"/>
        </w:tabs>
        <w:spacing w:line="276" w:lineRule="auto"/>
        <w:ind w:right="51"/>
        <w:jc w:val="center"/>
        <w:rPr>
          <w:rFonts w:ascii="Arial" w:hAnsi="Arial" w:cs="Arial"/>
          <w:sz w:val="22"/>
          <w:szCs w:val="22"/>
        </w:rPr>
      </w:pPr>
      <w:r w:rsidRPr="002E1ACA">
        <w:rPr>
          <w:rFonts w:ascii="Arial" w:hAnsi="Arial" w:cs="Arial"/>
          <w:sz w:val="22"/>
          <w:szCs w:val="22"/>
        </w:rPr>
        <w:t xml:space="preserve">Abogado Secretaria de la Comisión </w:t>
      </w:r>
    </w:p>
    <w:p w:rsidR="008B0791" w:rsidRPr="002E1ACA" w:rsidRDefault="008B0791" w:rsidP="008B0791">
      <w:pPr>
        <w:spacing w:line="276" w:lineRule="auto"/>
        <w:jc w:val="both"/>
        <w:rPr>
          <w:rFonts w:ascii="Arial" w:hAnsi="Arial" w:cs="Arial"/>
          <w:sz w:val="22"/>
          <w:szCs w:val="22"/>
        </w:rPr>
      </w:pPr>
    </w:p>
    <w:sectPr w:rsidR="008B0791" w:rsidRPr="002E1ACA" w:rsidSect="00931FD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D82" w:rsidRDefault="00376D82" w:rsidP="00A71F7D">
      <w:r>
        <w:separator/>
      </w:r>
    </w:p>
  </w:endnote>
  <w:endnote w:type="continuationSeparator" w:id="0">
    <w:p w:rsidR="00376D82" w:rsidRDefault="00376D82" w:rsidP="00A7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D82" w:rsidRDefault="00376D82" w:rsidP="00A71F7D">
      <w:r>
        <w:separator/>
      </w:r>
    </w:p>
  </w:footnote>
  <w:footnote w:type="continuationSeparator" w:id="0">
    <w:p w:rsidR="00376D82" w:rsidRDefault="00376D82" w:rsidP="00A71F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8189E"/>
    <w:multiLevelType w:val="hybridMultilevel"/>
    <w:tmpl w:val="3CB09940"/>
    <w:lvl w:ilvl="0" w:tplc="B58A0E0C">
      <w:start w:val="1"/>
      <w:numFmt w:val="lowerRoman"/>
      <w:lvlText w:val="%1)"/>
      <w:lvlJc w:val="left"/>
      <w:pPr>
        <w:ind w:left="2421" w:hanging="72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 w15:restartNumberingAfterBreak="0">
    <w:nsid w:val="1DFF7034"/>
    <w:multiLevelType w:val="hybridMultilevel"/>
    <w:tmpl w:val="57AA8E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AD95736"/>
    <w:multiLevelType w:val="hybridMultilevel"/>
    <w:tmpl w:val="E1E248AE"/>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4739161A"/>
    <w:multiLevelType w:val="multilevel"/>
    <w:tmpl w:val="EF5C1F6A"/>
    <w:lvl w:ilvl="0">
      <w:start w:val="1"/>
      <w:numFmt w:val="decimal"/>
      <w:pStyle w:val="Estilo"/>
      <w:lvlText w:val="%1."/>
      <w:lvlJc w:val="left"/>
      <w:pPr>
        <w:tabs>
          <w:tab w:val="num" w:pos="3195"/>
        </w:tabs>
        <w:ind w:left="2835" w:firstLine="0"/>
      </w:pPr>
      <w:rPr>
        <w:rFonts w:ascii="Courier" w:hAnsi="Courier" w:cs="Times New Roman" w:hint="default"/>
        <w:b/>
        <w:i w:val="0"/>
        <w:caps/>
        <w:strike w:val="0"/>
        <w:dstrike w:val="0"/>
        <w:vanish w:val="0"/>
        <w:webHidden w:val="0"/>
        <w:color w:val="000000"/>
        <w:sz w:val="24"/>
        <w:u w:val="none"/>
        <w:effect w:val="none"/>
        <w:vertAlign w:val="baseline"/>
        <w:specVanish w:val="0"/>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4" w15:restartNumberingAfterBreak="0">
    <w:nsid w:val="636268BE"/>
    <w:multiLevelType w:val="hybridMultilevel"/>
    <w:tmpl w:val="90D23FBE"/>
    <w:lvl w:ilvl="0" w:tplc="A94078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A0"/>
    <w:rsid w:val="000331F0"/>
    <w:rsid w:val="00034632"/>
    <w:rsid w:val="00037B2E"/>
    <w:rsid w:val="00052259"/>
    <w:rsid w:val="00062743"/>
    <w:rsid w:val="000C6118"/>
    <w:rsid w:val="001255F7"/>
    <w:rsid w:val="001439FE"/>
    <w:rsid w:val="00147243"/>
    <w:rsid w:val="00164773"/>
    <w:rsid w:val="00181BEE"/>
    <w:rsid w:val="0018279D"/>
    <w:rsid w:val="001A4C6B"/>
    <w:rsid w:val="001F5A85"/>
    <w:rsid w:val="002110A2"/>
    <w:rsid w:val="00255254"/>
    <w:rsid w:val="00275697"/>
    <w:rsid w:val="002E1ACA"/>
    <w:rsid w:val="003058A0"/>
    <w:rsid w:val="00345868"/>
    <w:rsid w:val="00350CCD"/>
    <w:rsid w:val="00376D82"/>
    <w:rsid w:val="003A1366"/>
    <w:rsid w:val="003B3D95"/>
    <w:rsid w:val="003D6D5A"/>
    <w:rsid w:val="003E487C"/>
    <w:rsid w:val="003E76C5"/>
    <w:rsid w:val="003F0FC8"/>
    <w:rsid w:val="003F2693"/>
    <w:rsid w:val="00403451"/>
    <w:rsid w:val="004038D7"/>
    <w:rsid w:val="00420AFD"/>
    <w:rsid w:val="00430B94"/>
    <w:rsid w:val="00432104"/>
    <w:rsid w:val="00443FA2"/>
    <w:rsid w:val="00444CCC"/>
    <w:rsid w:val="00460840"/>
    <w:rsid w:val="00461E99"/>
    <w:rsid w:val="00470037"/>
    <w:rsid w:val="00486D42"/>
    <w:rsid w:val="004F146B"/>
    <w:rsid w:val="00503BE7"/>
    <w:rsid w:val="00515B7A"/>
    <w:rsid w:val="00543A55"/>
    <w:rsid w:val="005474DB"/>
    <w:rsid w:val="00566BC6"/>
    <w:rsid w:val="005778D8"/>
    <w:rsid w:val="005F634C"/>
    <w:rsid w:val="0060199B"/>
    <w:rsid w:val="00601A50"/>
    <w:rsid w:val="00616315"/>
    <w:rsid w:val="006352EC"/>
    <w:rsid w:val="00637D97"/>
    <w:rsid w:val="006A5537"/>
    <w:rsid w:val="006B066F"/>
    <w:rsid w:val="006D155A"/>
    <w:rsid w:val="006E221A"/>
    <w:rsid w:val="00705A09"/>
    <w:rsid w:val="00724587"/>
    <w:rsid w:val="00755EFD"/>
    <w:rsid w:val="007C772A"/>
    <w:rsid w:val="007D4205"/>
    <w:rsid w:val="007E1E24"/>
    <w:rsid w:val="00873B39"/>
    <w:rsid w:val="008A6916"/>
    <w:rsid w:val="008B0791"/>
    <w:rsid w:val="008E330A"/>
    <w:rsid w:val="00931FD3"/>
    <w:rsid w:val="00952837"/>
    <w:rsid w:val="009B26EE"/>
    <w:rsid w:val="009F507F"/>
    <w:rsid w:val="00A62646"/>
    <w:rsid w:val="00A71F7D"/>
    <w:rsid w:val="00A779E6"/>
    <w:rsid w:val="00A809F7"/>
    <w:rsid w:val="00A83679"/>
    <w:rsid w:val="00A86D28"/>
    <w:rsid w:val="00A87D5C"/>
    <w:rsid w:val="00B4156C"/>
    <w:rsid w:val="00B629A9"/>
    <w:rsid w:val="00BE164D"/>
    <w:rsid w:val="00BF51DA"/>
    <w:rsid w:val="00BF54AF"/>
    <w:rsid w:val="00C11816"/>
    <w:rsid w:val="00C11848"/>
    <w:rsid w:val="00C41124"/>
    <w:rsid w:val="00C57749"/>
    <w:rsid w:val="00CA02AC"/>
    <w:rsid w:val="00CF2DA0"/>
    <w:rsid w:val="00D84505"/>
    <w:rsid w:val="00DD5715"/>
    <w:rsid w:val="00E028DB"/>
    <w:rsid w:val="00E1271D"/>
    <w:rsid w:val="00E4540D"/>
    <w:rsid w:val="00E86292"/>
    <w:rsid w:val="00EA5CD9"/>
    <w:rsid w:val="00EB5B48"/>
    <w:rsid w:val="00EB6580"/>
    <w:rsid w:val="00EC0CB0"/>
    <w:rsid w:val="00EE62DA"/>
    <w:rsid w:val="00F00FE2"/>
    <w:rsid w:val="00F23AEF"/>
    <w:rsid w:val="00F419A2"/>
    <w:rsid w:val="00F721DC"/>
    <w:rsid w:val="00FD0D7E"/>
    <w:rsid w:val="00FD4A0B"/>
    <w:rsid w:val="00FF1B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EFC1A-A004-498F-86CF-3C963C22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DA0"/>
    <w:pPr>
      <w:spacing w:after="0" w:line="240" w:lineRule="auto"/>
    </w:pPr>
    <w:rPr>
      <w:rFonts w:ascii="CG Times (WN)" w:eastAsia="Times New Roman" w:hAnsi="CG Times (WN)" w:cs="Times New Roman"/>
      <w:sz w:val="20"/>
      <w:szCs w:val="20"/>
      <w:lang w:val="es-ES_tradnl" w:eastAsia="es-ES"/>
    </w:rPr>
  </w:style>
  <w:style w:type="paragraph" w:styleId="Ttulo1">
    <w:name w:val="heading 1"/>
    <w:basedOn w:val="Normal"/>
    <w:next w:val="Normal"/>
    <w:link w:val="Ttulo1Car"/>
    <w:qFormat/>
    <w:rsid w:val="005474DB"/>
    <w:pPr>
      <w:keepNext/>
      <w:tabs>
        <w:tab w:val="left" w:pos="3402"/>
        <w:tab w:val="left" w:pos="4751"/>
      </w:tabs>
      <w:spacing w:line="360" w:lineRule="atLeast"/>
      <w:ind w:right="51"/>
      <w:jc w:val="both"/>
      <w:outlineLvl w:val="0"/>
    </w:pPr>
    <w:rPr>
      <w:rFonts w:ascii="Arial" w:hAnsi="Arial"/>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basedOn w:val="Normal"/>
    <w:next w:val="Sangradetextonormal"/>
    <w:uiPriority w:val="99"/>
    <w:rsid w:val="00345868"/>
    <w:pPr>
      <w:numPr>
        <w:ilvl w:val="8"/>
        <w:numId w:val="1"/>
      </w:numPr>
      <w:tabs>
        <w:tab w:val="num" w:pos="3195"/>
        <w:tab w:val="left" w:pos="3544"/>
      </w:tabs>
      <w:spacing w:before="240" w:after="120"/>
      <w:ind w:left="2835" w:firstLine="0"/>
      <w:jc w:val="both"/>
    </w:pPr>
    <w:rPr>
      <w:rFonts w:ascii="Courier" w:hAnsi="Courier"/>
      <w:spacing w:val="-3"/>
      <w:sz w:val="24"/>
    </w:rPr>
  </w:style>
  <w:style w:type="paragraph" w:styleId="Sangradetextonormal">
    <w:name w:val="Body Text Indent"/>
    <w:basedOn w:val="Normal"/>
    <w:link w:val="SangradetextonormalCar"/>
    <w:uiPriority w:val="99"/>
    <w:semiHidden/>
    <w:unhideWhenUsed/>
    <w:rsid w:val="00345868"/>
    <w:pPr>
      <w:spacing w:after="120"/>
      <w:ind w:left="283"/>
    </w:pPr>
  </w:style>
  <w:style w:type="character" w:customStyle="1" w:styleId="SangradetextonormalCar">
    <w:name w:val="Sangría de texto normal Car"/>
    <w:basedOn w:val="Fuentedeprrafopredeter"/>
    <w:link w:val="Sangradetextonormal"/>
    <w:uiPriority w:val="99"/>
    <w:semiHidden/>
    <w:rsid w:val="00345868"/>
    <w:rPr>
      <w:rFonts w:ascii="CG Times (WN)" w:eastAsia="Times New Roman" w:hAnsi="CG Times (WN)" w:cs="Times New Roman"/>
      <w:sz w:val="20"/>
      <w:szCs w:val="20"/>
      <w:lang w:val="es-ES_tradnl" w:eastAsia="es-ES"/>
    </w:rPr>
  </w:style>
  <w:style w:type="paragraph" w:styleId="Prrafodelista">
    <w:name w:val="List Paragraph"/>
    <w:basedOn w:val="Normal"/>
    <w:uiPriority w:val="34"/>
    <w:qFormat/>
    <w:rsid w:val="00705A09"/>
    <w:pPr>
      <w:spacing w:after="160" w:line="259" w:lineRule="auto"/>
      <w:ind w:left="720"/>
      <w:contextualSpacing/>
    </w:pPr>
    <w:rPr>
      <w:rFonts w:ascii="Calibri" w:eastAsia="Calibri" w:hAnsi="Calibri"/>
      <w:sz w:val="22"/>
      <w:szCs w:val="22"/>
      <w:lang w:val="es-CL" w:eastAsia="en-US"/>
    </w:rPr>
  </w:style>
  <w:style w:type="paragraph" w:styleId="Textonotapie">
    <w:name w:val="footnote text"/>
    <w:basedOn w:val="Normal"/>
    <w:link w:val="TextonotapieCar"/>
    <w:uiPriority w:val="99"/>
    <w:unhideWhenUsed/>
    <w:rsid w:val="00A71F7D"/>
  </w:style>
  <w:style w:type="character" w:customStyle="1" w:styleId="TextonotapieCar">
    <w:name w:val="Texto nota pie Car"/>
    <w:basedOn w:val="Fuentedeprrafopredeter"/>
    <w:link w:val="Textonotapie"/>
    <w:uiPriority w:val="99"/>
    <w:rsid w:val="00A71F7D"/>
    <w:rPr>
      <w:rFonts w:ascii="CG Times (WN)" w:eastAsia="Times New Roman" w:hAnsi="CG Times (WN)" w:cs="Times New Roman"/>
      <w:sz w:val="20"/>
      <w:szCs w:val="20"/>
      <w:lang w:val="es-ES_tradnl" w:eastAsia="es-ES"/>
    </w:rPr>
  </w:style>
  <w:style w:type="character" w:styleId="Refdenotaalpie">
    <w:name w:val="footnote reference"/>
    <w:basedOn w:val="Fuentedeprrafopredeter"/>
    <w:uiPriority w:val="99"/>
    <w:unhideWhenUsed/>
    <w:rsid w:val="00A71F7D"/>
    <w:rPr>
      <w:vertAlign w:val="superscript"/>
    </w:rPr>
  </w:style>
  <w:style w:type="paragraph" w:styleId="HTMLconformatoprevio">
    <w:name w:val="HTML Preformatted"/>
    <w:basedOn w:val="Normal"/>
    <w:link w:val="HTMLconformatoprevioCar"/>
    <w:rsid w:val="007C772A"/>
    <w:rPr>
      <w:rFonts w:ascii="Courier New" w:hAnsi="Courier New" w:cs="Courier New"/>
    </w:rPr>
  </w:style>
  <w:style w:type="character" w:customStyle="1" w:styleId="HTMLconformatoprevioCar">
    <w:name w:val="HTML con formato previo Car"/>
    <w:basedOn w:val="Fuentedeprrafopredeter"/>
    <w:link w:val="HTMLconformatoprevio"/>
    <w:rsid w:val="007C772A"/>
    <w:rPr>
      <w:rFonts w:ascii="Courier New" w:eastAsia="Times New Roman" w:hAnsi="Courier New" w:cs="Courier New"/>
      <w:sz w:val="20"/>
      <w:szCs w:val="20"/>
      <w:lang w:val="es-ES_tradnl" w:eastAsia="es-ES"/>
    </w:rPr>
  </w:style>
  <w:style w:type="character" w:customStyle="1" w:styleId="Ttulo1Car">
    <w:name w:val="Título 1 Car"/>
    <w:basedOn w:val="Fuentedeprrafopredeter"/>
    <w:link w:val="Ttulo1"/>
    <w:rsid w:val="005474DB"/>
    <w:rPr>
      <w:rFonts w:ascii="Arial" w:eastAsia="Times New Roman" w:hAnsi="Arial" w:cs="Times New Roman"/>
      <w:sz w:val="24"/>
      <w:szCs w:val="20"/>
      <w:u w:val="single"/>
      <w:lang w:val="es-ES_tradnl" w:eastAsia="es-ES"/>
    </w:rPr>
  </w:style>
  <w:style w:type="character" w:styleId="Hipervnculo">
    <w:name w:val="Hyperlink"/>
    <w:rsid w:val="00FD4A0B"/>
    <w:rPr>
      <w:rFonts w:ascii="Verdana" w:hAnsi="Verdana"/>
      <w:color w:val="0000FF"/>
      <w:sz w:val="18"/>
      <w:u w:val="single"/>
    </w:rPr>
  </w:style>
  <w:style w:type="paragraph" w:customStyle="1" w:styleId="xmsonormal">
    <w:name w:val="x_msonormal"/>
    <w:basedOn w:val="Normal"/>
    <w:rsid w:val="00FD4A0B"/>
    <w:pPr>
      <w:spacing w:before="100" w:beforeAutospacing="1" w:after="100" w:afterAutospacing="1"/>
    </w:pPr>
    <w:rPr>
      <w:rFonts w:ascii="Times New Roman" w:hAnsi="Times New Roman"/>
      <w:sz w:val="24"/>
      <w:szCs w:val="24"/>
      <w:lang w:val="es-CL" w:eastAsia="es-CL"/>
    </w:rPr>
  </w:style>
  <w:style w:type="paragraph" w:styleId="Textodeglobo">
    <w:name w:val="Balloon Text"/>
    <w:basedOn w:val="Normal"/>
    <w:link w:val="TextodegloboCar"/>
    <w:uiPriority w:val="99"/>
    <w:semiHidden/>
    <w:unhideWhenUsed/>
    <w:rsid w:val="006163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16315"/>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8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D3BBFE-F4C1-4F5F-8EE2-1EFA8BC17424}">
  <ds:schemaRefs>
    <ds:schemaRef ds:uri="http://schemas.microsoft.com/sharepoint/v3/contenttype/forms"/>
  </ds:schemaRefs>
</ds:datastoreItem>
</file>

<file path=customXml/itemProps2.xml><?xml version="1.0" encoding="utf-8"?>
<ds:datastoreItem xmlns:ds="http://schemas.openxmlformats.org/officeDocument/2006/customXml" ds:itemID="{3BFFB1E7-7D53-4693-B83D-C47E58E4C0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43C7D7-4821-4E91-9C44-36C148815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732F943-95BE-484E-9AF0-F7EC11411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1715</Words>
  <Characters>9436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Ignacio Flores Cuneo</dc:creator>
  <cp:lastModifiedBy>Maria Eugenia Silva Ferrer</cp:lastModifiedBy>
  <cp:revision>8</cp:revision>
  <dcterms:created xsi:type="dcterms:W3CDTF">2022-01-13T15:01:00Z</dcterms:created>
  <dcterms:modified xsi:type="dcterms:W3CDTF">2022-01-13T15:10:00Z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