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085" w:rsidRPr="008D6085" w:rsidRDefault="008D6085" w:rsidP="00687258">
      <w:pPr>
        <w:pStyle w:val="Sinespaciado"/>
        <w:ind w:right="-518"/>
        <w:jc w:val="both"/>
        <w:rPr>
          <w:rFonts w:ascii="Arial" w:hAnsi="Arial" w:cs="Arial"/>
          <w:b/>
        </w:rPr>
      </w:pPr>
      <w:r w:rsidRPr="008D6085">
        <w:rPr>
          <w:rFonts w:ascii="Arial" w:hAnsi="Arial" w:cs="Arial"/>
          <w:b/>
          <w:lang w:val="es-ES_tradnl"/>
        </w:rPr>
        <w:t xml:space="preserve">INFORME DE LA COMISION DE HACIENDA RECAÍDO EN EL PROYECTO DE LEY QUE MODIFICA EL </w:t>
      </w:r>
      <w:r w:rsidRPr="008D6085">
        <w:rPr>
          <w:rFonts w:ascii="Arial" w:hAnsi="Arial" w:cs="Arial"/>
          <w:b/>
        </w:rPr>
        <w:t>FONDO DE GARANTÍA PARA PEQUEÑOS Y MEDIANOS EMPRESARIOS Y PERMITE FLEXIBILIZAR CONVENIOS DE PAGO POR IMPUESTOS ADEUDADOS, PARA APOYAR LA REACTIVACIÓN DE LA ECONOMÍA.</w:t>
      </w:r>
    </w:p>
    <w:p w:rsidR="008C6391" w:rsidRPr="00861179" w:rsidRDefault="008C6391" w:rsidP="008D6085">
      <w:pPr>
        <w:pStyle w:val="Sinespaciado"/>
        <w:pBdr>
          <w:bottom w:val="single" w:sz="12" w:space="1" w:color="auto"/>
        </w:pBdr>
        <w:spacing w:line="276" w:lineRule="auto"/>
        <w:ind w:right="-234"/>
        <w:jc w:val="both"/>
        <w:rPr>
          <w:rFonts w:ascii="Arial" w:hAnsi="Arial" w:cs="Arial"/>
          <w:b/>
          <w:lang w:val="es-ES_tradnl"/>
        </w:rPr>
      </w:pPr>
    </w:p>
    <w:p w:rsidR="008C6391" w:rsidRPr="00861179" w:rsidRDefault="008C6391" w:rsidP="00861179">
      <w:pPr>
        <w:pStyle w:val="Sinespaciado"/>
        <w:spacing w:line="276" w:lineRule="auto"/>
        <w:ind w:right="-234"/>
        <w:jc w:val="right"/>
        <w:rPr>
          <w:rFonts w:ascii="Arial" w:hAnsi="Arial" w:cs="Arial"/>
          <w:b/>
          <w:lang w:val="es-ES_tradnl"/>
        </w:rPr>
      </w:pPr>
    </w:p>
    <w:p w:rsidR="00974678" w:rsidRPr="00861179" w:rsidRDefault="008C6391" w:rsidP="00861179">
      <w:pPr>
        <w:pStyle w:val="Sinespaciado"/>
        <w:spacing w:line="276" w:lineRule="auto"/>
        <w:ind w:right="-234"/>
        <w:jc w:val="right"/>
        <w:rPr>
          <w:rFonts w:ascii="Arial" w:hAnsi="Arial" w:cs="Arial"/>
          <w:b/>
          <w:lang w:val="es-ES_tradnl"/>
        </w:rPr>
      </w:pPr>
      <w:r w:rsidRPr="00861179">
        <w:rPr>
          <w:rFonts w:ascii="Arial" w:hAnsi="Arial" w:cs="Arial"/>
          <w:b/>
          <w:lang w:val="es-ES_tradnl"/>
        </w:rPr>
        <w:t xml:space="preserve">Boletín N° </w:t>
      </w:r>
      <w:r w:rsidR="008D6085">
        <w:rPr>
          <w:rFonts w:ascii="Arial" w:hAnsi="Arial" w:cs="Arial"/>
          <w:b/>
          <w:lang w:val="es-ES_tradnl"/>
        </w:rPr>
        <w:t>15.259-03</w:t>
      </w:r>
    </w:p>
    <w:p w:rsidR="008C6391" w:rsidRPr="00861179" w:rsidRDefault="008C6391" w:rsidP="00861179">
      <w:pPr>
        <w:pStyle w:val="Sinespaciado"/>
        <w:spacing w:line="276" w:lineRule="auto"/>
        <w:ind w:right="-234"/>
        <w:jc w:val="right"/>
        <w:rPr>
          <w:rFonts w:ascii="Arial" w:hAnsi="Arial" w:cs="Arial"/>
          <w:b/>
          <w:lang w:val="es-ES_tradnl"/>
        </w:rPr>
      </w:pPr>
    </w:p>
    <w:p w:rsidR="008C6391" w:rsidRPr="00861179" w:rsidRDefault="008C6391" w:rsidP="00861179">
      <w:pPr>
        <w:pStyle w:val="Sinespaciado"/>
        <w:spacing w:line="276" w:lineRule="auto"/>
        <w:ind w:right="-234"/>
        <w:jc w:val="right"/>
        <w:rPr>
          <w:rFonts w:ascii="Arial" w:hAnsi="Arial" w:cs="Arial"/>
          <w:b/>
          <w:lang w:val="es-ES_tradnl"/>
        </w:rPr>
      </w:pPr>
    </w:p>
    <w:p w:rsidR="00974678" w:rsidRPr="00861179" w:rsidRDefault="00974678" w:rsidP="00861179">
      <w:pPr>
        <w:tabs>
          <w:tab w:val="left" w:pos="2268"/>
        </w:tabs>
        <w:spacing w:line="276" w:lineRule="auto"/>
        <w:ind w:right="-234"/>
        <w:jc w:val="both"/>
        <w:outlineLvl w:val="0"/>
        <w:rPr>
          <w:rFonts w:ascii="Arial" w:hAnsi="Arial" w:cs="Arial"/>
          <w:spacing w:val="-3"/>
          <w:sz w:val="22"/>
          <w:szCs w:val="22"/>
        </w:rPr>
      </w:pPr>
      <w:r w:rsidRPr="00861179">
        <w:rPr>
          <w:rFonts w:ascii="Arial" w:hAnsi="Arial" w:cs="Arial"/>
          <w:b/>
          <w:spacing w:val="-3"/>
          <w:sz w:val="22"/>
          <w:szCs w:val="22"/>
        </w:rPr>
        <w:t>HONORABLE CÁMARA</w:t>
      </w:r>
      <w:r w:rsidRPr="00861179">
        <w:rPr>
          <w:rFonts w:ascii="Arial" w:hAnsi="Arial" w:cs="Arial"/>
          <w:spacing w:val="-3"/>
          <w:sz w:val="22"/>
          <w:szCs w:val="22"/>
        </w:rPr>
        <w:t>:</w:t>
      </w:r>
    </w:p>
    <w:p w:rsidR="00974678" w:rsidRPr="00861179" w:rsidRDefault="00974678" w:rsidP="00861179">
      <w:pPr>
        <w:spacing w:line="276" w:lineRule="auto"/>
        <w:ind w:right="-234" w:firstLine="1701"/>
        <w:jc w:val="both"/>
        <w:rPr>
          <w:rFonts w:ascii="Arial" w:hAnsi="Arial" w:cs="Arial"/>
          <w:sz w:val="22"/>
          <w:szCs w:val="22"/>
        </w:rPr>
      </w:pPr>
    </w:p>
    <w:p w:rsidR="00B2058A" w:rsidRPr="0014589F" w:rsidRDefault="00974678" w:rsidP="00687258">
      <w:pPr>
        <w:pStyle w:val="Sinespaciado"/>
        <w:spacing w:line="276" w:lineRule="auto"/>
        <w:ind w:right="-518" w:firstLine="1701"/>
        <w:jc w:val="both"/>
        <w:rPr>
          <w:rFonts w:ascii="Arial" w:hAnsi="Arial" w:cs="Arial"/>
        </w:rPr>
      </w:pPr>
      <w:r w:rsidRPr="00861179">
        <w:rPr>
          <w:rFonts w:ascii="Arial" w:hAnsi="Arial" w:cs="Arial"/>
        </w:rPr>
        <w:t xml:space="preserve">La Comisión de Hacienda pasa a informar, en cumplimiento del inciso segundo del artículo 17 de la ley N° 18.918, Orgánica Constitucional del Congreso Nacional, y conforme a lo dispuesto en el inciso segundo del artículo 226 del Reglamento de la Corporación, el proyecto de ley mencionado en el epígrafe, originado en </w:t>
      </w:r>
      <w:bookmarkStart w:id="0" w:name="_Toc408309924"/>
      <w:bookmarkStart w:id="1" w:name="_Toc409556907"/>
      <w:bookmarkStart w:id="2" w:name="_Toc499712179"/>
      <w:r w:rsidR="008C6391" w:rsidRPr="00861179">
        <w:rPr>
          <w:rFonts w:ascii="Arial" w:hAnsi="Arial" w:cs="Arial"/>
          <w:lang w:val="es-ES_tradnl"/>
        </w:rPr>
        <w:t xml:space="preserve">Mensaje de S.E. el Presidente de la República don </w:t>
      </w:r>
      <w:r w:rsidR="008D6085">
        <w:rPr>
          <w:rFonts w:ascii="Arial" w:hAnsi="Arial" w:cs="Arial"/>
          <w:lang w:val="es-ES_tradnl"/>
        </w:rPr>
        <w:t>Gabriel Boric Font</w:t>
      </w:r>
      <w:r w:rsidR="008C6391" w:rsidRPr="00861179">
        <w:rPr>
          <w:rFonts w:ascii="Arial" w:hAnsi="Arial" w:cs="Arial"/>
          <w:lang w:val="es-ES_tradnl"/>
        </w:rPr>
        <w:t xml:space="preserve">, ingresado a tramitación el </w:t>
      </w:r>
      <w:r w:rsidR="008D6085">
        <w:rPr>
          <w:rFonts w:ascii="Arial" w:hAnsi="Arial" w:cs="Arial"/>
          <w:lang w:val="es-ES_tradnl"/>
        </w:rPr>
        <w:t xml:space="preserve">8 de agosto </w:t>
      </w:r>
      <w:r w:rsidR="008C6391" w:rsidRPr="00861179">
        <w:rPr>
          <w:rFonts w:ascii="Arial" w:hAnsi="Arial" w:cs="Arial"/>
          <w:lang w:val="es-ES_tradnl"/>
        </w:rPr>
        <w:t xml:space="preserve"> del año en curso, </w:t>
      </w:r>
      <w:r w:rsidR="008D6085">
        <w:rPr>
          <w:rFonts w:ascii="Arial" w:hAnsi="Arial" w:cs="Arial"/>
          <w:lang w:val="es-ES_tradnl"/>
        </w:rPr>
        <w:t xml:space="preserve">en </w:t>
      </w:r>
      <w:r w:rsidR="005C2381" w:rsidRPr="00861179">
        <w:rPr>
          <w:rFonts w:ascii="Arial" w:hAnsi="Arial" w:cs="Arial"/>
          <w:lang w:val="es-ES_tradnl"/>
        </w:rPr>
        <w:t>su primer trámite constitucional</w:t>
      </w:r>
      <w:r w:rsidR="008D6085">
        <w:rPr>
          <w:rFonts w:ascii="Arial" w:hAnsi="Arial" w:cs="Arial"/>
          <w:lang w:val="es-ES_tradnl"/>
        </w:rPr>
        <w:t xml:space="preserve">, </w:t>
      </w:r>
      <w:r w:rsidR="008C6391" w:rsidRPr="00861179">
        <w:rPr>
          <w:rFonts w:ascii="Arial" w:hAnsi="Arial" w:cs="Arial"/>
          <w:lang w:val="es-ES_tradnl"/>
        </w:rPr>
        <w:t xml:space="preserve">con urgencia calificada de </w:t>
      </w:r>
      <w:r w:rsidR="008C6391" w:rsidRPr="0014589F">
        <w:rPr>
          <w:rFonts w:ascii="Arial" w:hAnsi="Arial" w:cs="Arial"/>
          <w:lang w:val="es-ES_tradnl"/>
        </w:rPr>
        <w:t>Discusión Inmediata</w:t>
      </w:r>
      <w:r w:rsidR="005C2381" w:rsidRPr="0014589F">
        <w:rPr>
          <w:rFonts w:ascii="Arial" w:hAnsi="Arial" w:cs="Arial"/>
          <w:lang w:val="es-ES_tradnl"/>
        </w:rPr>
        <w:t>.</w:t>
      </w:r>
      <w:r w:rsidR="00F122F0" w:rsidRPr="0014589F">
        <w:rPr>
          <w:rFonts w:ascii="Arial" w:hAnsi="Arial" w:cs="Arial"/>
          <w:lang w:val="es-ES_tradnl"/>
        </w:rPr>
        <w:t xml:space="preserve">  </w:t>
      </w:r>
    </w:p>
    <w:p w:rsidR="00BD18AC" w:rsidRPr="00861179" w:rsidRDefault="00BD18AC" w:rsidP="00687258">
      <w:pPr>
        <w:spacing w:line="276" w:lineRule="auto"/>
        <w:ind w:right="-518" w:firstLine="1701"/>
        <w:jc w:val="both"/>
        <w:rPr>
          <w:rFonts w:ascii="Arial" w:hAnsi="Arial" w:cs="Arial"/>
          <w:sz w:val="22"/>
          <w:szCs w:val="22"/>
        </w:rPr>
      </w:pPr>
    </w:p>
    <w:p w:rsidR="00380F78" w:rsidRPr="00380F78" w:rsidRDefault="004A276F" w:rsidP="00380F78">
      <w:pPr>
        <w:spacing w:line="276" w:lineRule="auto"/>
        <w:ind w:right="-518" w:firstLine="1701"/>
        <w:jc w:val="both"/>
        <w:rPr>
          <w:rFonts w:ascii="Arial" w:eastAsiaTheme="minorHAnsi" w:hAnsi="Arial" w:cs="Arial"/>
          <w:sz w:val="22"/>
          <w:szCs w:val="22"/>
          <w:lang w:val="es-ES_tradnl" w:eastAsia="en-US"/>
        </w:rPr>
      </w:pPr>
      <w:r w:rsidRPr="00861179">
        <w:rPr>
          <w:rFonts w:ascii="Arial" w:eastAsiaTheme="minorHAnsi" w:hAnsi="Arial" w:cs="Arial"/>
          <w:sz w:val="22"/>
          <w:szCs w:val="22"/>
          <w:lang w:val="es-CL" w:eastAsia="en-US"/>
        </w:rPr>
        <w:t>En representación del Ejecutivo asisti</w:t>
      </w:r>
      <w:r w:rsidR="005C2381" w:rsidRPr="00861179">
        <w:rPr>
          <w:rFonts w:ascii="Arial" w:eastAsiaTheme="minorHAnsi" w:hAnsi="Arial" w:cs="Arial"/>
          <w:sz w:val="22"/>
          <w:szCs w:val="22"/>
          <w:lang w:val="es-CL" w:eastAsia="en-US"/>
        </w:rPr>
        <w:t>ó</w:t>
      </w:r>
      <w:r w:rsidR="00380F78" w:rsidRPr="00380F78">
        <w:rPr>
          <w:rFonts w:ascii="Arial" w:eastAsiaTheme="minorHAnsi" w:hAnsi="Arial" w:cs="Arial"/>
          <w:sz w:val="22"/>
          <w:szCs w:val="22"/>
          <w:lang w:val="es-ES_tradnl" w:eastAsia="en-US"/>
        </w:rPr>
        <w:t xml:space="preserve"> el Ministro de Economía, Fomento y Turismo, señor Nicolás Grau Veloso, la Subsecretaria de Economía y Empresas de Menor Tamaño, Javiera Petersen Muga y la Subsecretaria de Hacienda, señora Claudia Sanhueza Riveros. </w:t>
      </w:r>
    </w:p>
    <w:p w:rsidR="00E96C46" w:rsidRPr="00861179" w:rsidRDefault="00E96C46" w:rsidP="00687258">
      <w:pPr>
        <w:spacing w:line="276" w:lineRule="auto"/>
        <w:ind w:right="-518"/>
        <w:jc w:val="both"/>
        <w:rPr>
          <w:rFonts w:ascii="Arial" w:hAnsi="Arial" w:cs="Arial"/>
          <w:sz w:val="22"/>
          <w:szCs w:val="22"/>
        </w:rPr>
      </w:pPr>
    </w:p>
    <w:p w:rsidR="00F746CE" w:rsidRPr="00861179" w:rsidRDefault="00A51684" w:rsidP="00687258">
      <w:pPr>
        <w:spacing w:line="276" w:lineRule="auto"/>
        <w:ind w:right="-518"/>
        <w:jc w:val="both"/>
        <w:rPr>
          <w:rFonts w:ascii="Arial" w:hAnsi="Arial" w:cs="Arial"/>
          <w:b/>
          <w:bCs/>
          <w:sz w:val="22"/>
          <w:szCs w:val="22"/>
        </w:rPr>
      </w:pPr>
      <w:r w:rsidRPr="00861179">
        <w:rPr>
          <w:rFonts w:ascii="Arial" w:hAnsi="Arial" w:cs="Arial"/>
          <w:b/>
          <w:sz w:val="22"/>
          <w:szCs w:val="22"/>
        </w:rPr>
        <w:t>I.-</w:t>
      </w:r>
      <w:r w:rsidR="00F746CE" w:rsidRPr="00861179">
        <w:rPr>
          <w:rFonts w:ascii="Arial" w:hAnsi="Arial" w:cs="Arial"/>
          <w:b/>
          <w:sz w:val="22"/>
          <w:szCs w:val="22"/>
        </w:rPr>
        <w:t>CONSTANCIAS REGLAMENTARIAS PREVIAS</w:t>
      </w:r>
      <w:bookmarkEnd w:id="0"/>
      <w:bookmarkEnd w:id="1"/>
      <w:bookmarkEnd w:id="2"/>
    </w:p>
    <w:p w:rsidR="00C32A16" w:rsidRPr="00861179" w:rsidRDefault="00F746CE" w:rsidP="00687258">
      <w:pPr>
        <w:pStyle w:val="Ttulo2"/>
        <w:tabs>
          <w:tab w:val="left" w:pos="709"/>
        </w:tabs>
        <w:spacing w:before="240" w:line="276" w:lineRule="auto"/>
        <w:ind w:right="-518" w:firstLine="1701"/>
        <w:rPr>
          <w:rFonts w:cs="Arial"/>
          <w:sz w:val="22"/>
          <w:szCs w:val="22"/>
        </w:rPr>
      </w:pPr>
      <w:bookmarkStart w:id="3" w:name="_Toc408309925"/>
      <w:bookmarkStart w:id="4" w:name="_Toc409556908"/>
      <w:bookmarkStart w:id="5" w:name="_Toc499712180"/>
      <w:r w:rsidRPr="00861179">
        <w:rPr>
          <w:rFonts w:cs="Arial"/>
          <w:i w:val="0"/>
          <w:sz w:val="22"/>
          <w:szCs w:val="22"/>
        </w:rPr>
        <w:t xml:space="preserve">1) </w:t>
      </w:r>
      <w:r w:rsidR="000D493D" w:rsidRPr="00861179">
        <w:rPr>
          <w:rFonts w:cs="Arial"/>
          <w:i w:val="0"/>
          <w:sz w:val="22"/>
          <w:szCs w:val="22"/>
          <w:u w:val="single"/>
        </w:rPr>
        <w:t>I</w:t>
      </w:r>
      <w:r w:rsidR="00464D9C" w:rsidRPr="00861179">
        <w:rPr>
          <w:rFonts w:cs="Arial"/>
          <w:i w:val="0"/>
          <w:sz w:val="22"/>
          <w:szCs w:val="22"/>
          <w:u w:val="single"/>
        </w:rPr>
        <w:t>dea matri</w:t>
      </w:r>
      <w:r w:rsidR="00E95BEA" w:rsidRPr="00861179">
        <w:rPr>
          <w:rFonts w:cs="Arial"/>
          <w:i w:val="0"/>
          <w:sz w:val="22"/>
          <w:szCs w:val="22"/>
          <w:u w:val="single"/>
        </w:rPr>
        <w:t>z</w:t>
      </w:r>
      <w:r w:rsidR="00464D9C" w:rsidRPr="00861179">
        <w:rPr>
          <w:rFonts w:cs="Arial"/>
          <w:i w:val="0"/>
          <w:sz w:val="22"/>
          <w:szCs w:val="22"/>
          <w:u w:val="single"/>
        </w:rPr>
        <w:t xml:space="preserve"> o fundamental del proyecto</w:t>
      </w:r>
      <w:r w:rsidR="009175B1" w:rsidRPr="00861179">
        <w:rPr>
          <w:rFonts w:cs="Arial"/>
          <w:i w:val="0"/>
          <w:sz w:val="22"/>
          <w:szCs w:val="22"/>
        </w:rPr>
        <w:t>:</w:t>
      </w:r>
      <w:bookmarkEnd w:id="3"/>
      <w:bookmarkEnd w:id="4"/>
      <w:bookmarkEnd w:id="5"/>
    </w:p>
    <w:p w:rsidR="00CD4DF2" w:rsidRDefault="00CD4DF2" w:rsidP="00687258">
      <w:pPr>
        <w:spacing w:line="276" w:lineRule="auto"/>
        <w:ind w:right="-518" w:firstLine="1701"/>
        <w:jc w:val="both"/>
        <w:rPr>
          <w:rFonts w:ascii="Arial" w:hAnsi="Arial" w:cs="Arial"/>
          <w:sz w:val="22"/>
          <w:szCs w:val="22"/>
        </w:rPr>
      </w:pPr>
      <w:bookmarkStart w:id="6" w:name="_Toc408309926"/>
      <w:bookmarkStart w:id="7" w:name="_Toc409556909"/>
      <w:bookmarkStart w:id="8" w:name="_Toc499712181"/>
    </w:p>
    <w:p w:rsidR="00CD4DF2" w:rsidRPr="00687258" w:rsidRDefault="00CD4DF2" w:rsidP="00687258">
      <w:pPr>
        <w:tabs>
          <w:tab w:val="left" w:pos="1701"/>
        </w:tabs>
        <w:spacing w:line="276" w:lineRule="auto"/>
        <w:ind w:right="-518" w:firstLine="1701"/>
        <w:jc w:val="both"/>
        <w:rPr>
          <w:rFonts w:ascii="Arial" w:hAnsi="Arial" w:cs="Arial"/>
          <w:sz w:val="22"/>
          <w:szCs w:val="22"/>
          <w:lang w:val="es-ES_tradnl"/>
        </w:rPr>
      </w:pPr>
      <w:r w:rsidRPr="00687258">
        <w:rPr>
          <w:rFonts w:ascii="Arial" w:hAnsi="Arial" w:cs="Arial"/>
          <w:sz w:val="22"/>
          <w:szCs w:val="22"/>
          <w:lang w:val="es-ES_tradnl"/>
        </w:rPr>
        <w:t xml:space="preserve">Perfeccionar las medidas de garantía </w:t>
      </w:r>
      <w:r w:rsidR="0014589F">
        <w:rPr>
          <w:rFonts w:ascii="Arial" w:hAnsi="Arial" w:cs="Arial"/>
          <w:sz w:val="22"/>
          <w:szCs w:val="22"/>
          <w:lang w:val="es-ES_tradnl"/>
        </w:rPr>
        <w:t xml:space="preserve">del Estado </w:t>
      </w:r>
      <w:r w:rsidRPr="00687258">
        <w:rPr>
          <w:rFonts w:ascii="Arial" w:hAnsi="Arial" w:cs="Arial"/>
          <w:sz w:val="22"/>
          <w:szCs w:val="22"/>
          <w:lang w:val="es-ES_tradnl"/>
        </w:rPr>
        <w:t>para el financiamiento de las Mipymes, segmento más golpeado por la emergencia sanitaria, alta inflación y bajas perspectivas de crecimiento, otorgándoles nuevos beneficios para aliviar su carga crediticia, considerando por una parte, que no han podido acceder de forma adecuada a los beneficios entregados por anteriores leyes a las empresas pequeñas y medianas, y, por otra parte, que todavía requieren de ayudas importantes para sumarse a la reactivación, fuente prioritaria de generación de empleo, todo ello, a través de la creación de un nuevo FOGAPE Chile Apoya que facilita específicamente a las MiPymes el acceso a las garantías del Fondo de Garantías del Pequeño Empresario.</w:t>
      </w:r>
    </w:p>
    <w:p w:rsidR="00CD4DF2" w:rsidRPr="00687258" w:rsidRDefault="00CD4DF2" w:rsidP="00687258">
      <w:pPr>
        <w:spacing w:line="276" w:lineRule="auto"/>
        <w:ind w:right="-518" w:firstLine="1701"/>
        <w:jc w:val="both"/>
        <w:rPr>
          <w:rFonts w:ascii="Arial" w:hAnsi="Arial" w:cs="Arial"/>
          <w:sz w:val="22"/>
          <w:szCs w:val="22"/>
        </w:rPr>
      </w:pPr>
    </w:p>
    <w:p w:rsidR="000D493D" w:rsidRPr="00687258" w:rsidRDefault="009F5F0C" w:rsidP="00687258">
      <w:pPr>
        <w:spacing w:line="276" w:lineRule="auto"/>
        <w:ind w:right="-518" w:firstLine="1701"/>
        <w:jc w:val="both"/>
        <w:rPr>
          <w:rFonts w:ascii="Arial" w:hAnsi="Arial" w:cs="Arial"/>
          <w:sz w:val="22"/>
          <w:szCs w:val="22"/>
        </w:rPr>
      </w:pPr>
      <w:r w:rsidRPr="00687258">
        <w:rPr>
          <w:rFonts w:ascii="Arial" w:hAnsi="Arial" w:cs="Arial"/>
          <w:sz w:val="22"/>
          <w:szCs w:val="22"/>
        </w:rPr>
        <w:t xml:space="preserve">2) </w:t>
      </w:r>
      <w:r w:rsidRPr="00687258">
        <w:rPr>
          <w:rFonts w:ascii="Arial" w:hAnsi="Arial" w:cs="Arial"/>
          <w:sz w:val="22"/>
          <w:szCs w:val="22"/>
          <w:u w:val="single"/>
        </w:rPr>
        <w:t>Comisión técnica</w:t>
      </w:r>
      <w:r w:rsidR="009175B1" w:rsidRPr="00687258">
        <w:rPr>
          <w:rFonts w:ascii="Arial" w:hAnsi="Arial" w:cs="Arial"/>
          <w:sz w:val="22"/>
          <w:szCs w:val="22"/>
          <w:u w:val="single"/>
        </w:rPr>
        <w:t>:</w:t>
      </w:r>
      <w:r w:rsidR="009175B1" w:rsidRPr="00687258">
        <w:rPr>
          <w:rFonts w:ascii="Arial" w:hAnsi="Arial" w:cs="Arial"/>
          <w:sz w:val="22"/>
          <w:szCs w:val="22"/>
        </w:rPr>
        <w:t xml:space="preserve"> </w:t>
      </w:r>
    </w:p>
    <w:p w:rsidR="009F5F0C" w:rsidRPr="00687258" w:rsidRDefault="00557A83" w:rsidP="00687258">
      <w:pPr>
        <w:spacing w:line="276" w:lineRule="auto"/>
        <w:ind w:right="-518" w:firstLine="1701"/>
        <w:jc w:val="both"/>
        <w:rPr>
          <w:rFonts w:ascii="Arial" w:hAnsi="Arial" w:cs="Arial"/>
          <w:sz w:val="22"/>
          <w:szCs w:val="22"/>
        </w:rPr>
      </w:pPr>
      <w:r w:rsidRPr="00687258">
        <w:rPr>
          <w:rFonts w:ascii="Arial" w:hAnsi="Arial" w:cs="Arial"/>
          <w:sz w:val="22"/>
          <w:szCs w:val="22"/>
          <w:lang w:val="es-ES_tradnl"/>
        </w:rPr>
        <w:t xml:space="preserve">La </w:t>
      </w:r>
      <w:r w:rsidR="00D62925" w:rsidRPr="00687258">
        <w:rPr>
          <w:rFonts w:ascii="Arial" w:hAnsi="Arial" w:cs="Arial"/>
          <w:sz w:val="22"/>
          <w:szCs w:val="22"/>
          <w:lang w:val="es-ES_tradnl"/>
        </w:rPr>
        <w:t xml:space="preserve">Comisión de </w:t>
      </w:r>
      <w:r w:rsidR="000562FC" w:rsidRPr="00687258">
        <w:rPr>
          <w:rFonts w:ascii="Arial" w:hAnsi="Arial" w:cs="Arial"/>
          <w:sz w:val="22"/>
          <w:szCs w:val="22"/>
          <w:lang w:val="es-ES_tradnl"/>
        </w:rPr>
        <w:t>Economía, Fomento, Micro, Pequeña y Mediana Empresa, Protección de los Consumidores y Turismo</w:t>
      </w:r>
      <w:r w:rsidR="005611BC" w:rsidRPr="00687258">
        <w:rPr>
          <w:rFonts w:ascii="Arial" w:hAnsi="Arial" w:cs="Arial"/>
          <w:sz w:val="22"/>
          <w:szCs w:val="22"/>
        </w:rPr>
        <w:t>.</w:t>
      </w:r>
    </w:p>
    <w:p w:rsidR="00F746CE" w:rsidRPr="00687258" w:rsidRDefault="009175B1" w:rsidP="00687258">
      <w:pPr>
        <w:tabs>
          <w:tab w:val="left" w:pos="709"/>
        </w:tabs>
        <w:spacing w:before="120" w:line="276" w:lineRule="auto"/>
        <w:ind w:right="-518" w:firstLine="1701"/>
        <w:jc w:val="both"/>
        <w:rPr>
          <w:rFonts w:ascii="Arial" w:hAnsi="Arial" w:cs="Arial"/>
          <w:sz w:val="22"/>
          <w:szCs w:val="22"/>
          <w:u w:val="single"/>
        </w:rPr>
      </w:pPr>
      <w:r w:rsidRPr="00687258">
        <w:rPr>
          <w:rFonts w:ascii="Arial" w:hAnsi="Arial" w:cs="Arial"/>
          <w:sz w:val="22"/>
          <w:szCs w:val="22"/>
        </w:rPr>
        <w:t>3</w:t>
      </w:r>
      <w:r w:rsidR="00F746CE" w:rsidRPr="00687258">
        <w:rPr>
          <w:rFonts w:ascii="Arial" w:hAnsi="Arial" w:cs="Arial"/>
          <w:sz w:val="22"/>
          <w:szCs w:val="22"/>
        </w:rPr>
        <w:t xml:space="preserve">) </w:t>
      </w:r>
      <w:r w:rsidR="00F746CE" w:rsidRPr="00687258">
        <w:rPr>
          <w:rFonts w:ascii="Arial" w:hAnsi="Arial" w:cs="Arial"/>
          <w:sz w:val="22"/>
          <w:szCs w:val="22"/>
          <w:u w:val="single"/>
        </w:rPr>
        <w:t>Normas de carácter orgánico constitucional</w:t>
      </w:r>
      <w:r w:rsidR="00EA1C6F" w:rsidRPr="00687258">
        <w:rPr>
          <w:rFonts w:ascii="Arial" w:hAnsi="Arial" w:cs="Arial"/>
          <w:snapToGrid w:val="0"/>
          <w:sz w:val="22"/>
          <w:szCs w:val="22"/>
          <w:u w:val="single"/>
        </w:rPr>
        <w:t xml:space="preserve"> o de quórum calificado</w:t>
      </w:r>
      <w:r w:rsidR="00F746CE" w:rsidRPr="00687258">
        <w:rPr>
          <w:rFonts w:ascii="Arial" w:hAnsi="Arial" w:cs="Arial"/>
          <w:sz w:val="22"/>
          <w:szCs w:val="22"/>
          <w:u w:val="single"/>
        </w:rPr>
        <w:t>.</w:t>
      </w:r>
      <w:bookmarkEnd w:id="6"/>
      <w:bookmarkEnd w:id="7"/>
      <w:bookmarkEnd w:id="8"/>
    </w:p>
    <w:p w:rsidR="005611BC" w:rsidRPr="00687258" w:rsidRDefault="00F3118C" w:rsidP="00687258">
      <w:pPr>
        <w:pStyle w:val="Prrafodelista"/>
        <w:spacing w:line="276" w:lineRule="auto"/>
        <w:ind w:left="0" w:right="-518" w:firstLine="1701"/>
        <w:jc w:val="both"/>
        <w:rPr>
          <w:rFonts w:ascii="Arial" w:hAnsi="Arial" w:cs="Arial"/>
        </w:rPr>
      </w:pPr>
      <w:r w:rsidRPr="00687258">
        <w:rPr>
          <w:rFonts w:ascii="Arial" w:hAnsi="Arial" w:cs="Arial"/>
        </w:rPr>
        <w:t xml:space="preserve">No </w:t>
      </w:r>
      <w:r w:rsidR="0014589F">
        <w:rPr>
          <w:rFonts w:ascii="Arial" w:hAnsi="Arial" w:cs="Arial"/>
        </w:rPr>
        <w:t xml:space="preserve">hubo en este trámite nuevas </w:t>
      </w:r>
      <w:r w:rsidR="005B167B" w:rsidRPr="00687258">
        <w:rPr>
          <w:rFonts w:ascii="Arial" w:hAnsi="Arial" w:cs="Arial"/>
        </w:rPr>
        <w:t>normas en esa condición.</w:t>
      </w:r>
    </w:p>
    <w:p w:rsidR="000D493D" w:rsidRPr="00687258" w:rsidRDefault="000562FC" w:rsidP="00687258">
      <w:pPr>
        <w:tabs>
          <w:tab w:val="left" w:pos="-284"/>
          <w:tab w:val="left" w:pos="0"/>
          <w:tab w:val="left" w:pos="851"/>
          <w:tab w:val="left" w:pos="4751"/>
        </w:tabs>
        <w:spacing w:line="276" w:lineRule="auto"/>
        <w:ind w:right="-518" w:firstLine="1701"/>
        <w:jc w:val="both"/>
        <w:rPr>
          <w:rFonts w:ascii="Arial" w:hAnsi="Arial" w:cs="Arial"/>
          <w:sz w:val="22"/>
          <w:szCs w:val="22"/>
          <w:u w:val="single"/>
        </w:rPr>
      </w:pPr>
      <w:bookmarkStart w:id="9" w:name="_Toc408309927"/>
      <w:bookmarkStart w:id="10" w:name="_Toc409556910"/>
      <w:bookmarkStart w:id="11" w:name="_Toc499712182"/>
      <w:r w:rsidRPr="00687258">
        <w:rPr>
          <w:rFonts w:ascii="Arial" w:hAnsi="Arial" w:cs="Arial"/>
          <w:sz w:val="22"/>
          <w:szCs w:val="22"/>
        </w:rPr>
        <w:t>4</w:t>
      </w:r>
      <w:r w:rsidR="00F746CE" w:rsidRPr="00687258">
        <w:rPr>
          <w:rFonts w:ascii="Arial" w:hAnsi="Arial" w:cs="Arial"/>
          <w:sz w:val="22"/>
          <w:szCs w:val="22"/>
        </w:rPr>
        <w:t xml:space="preserve">) </w:t>
      </w:r>
      <w:r w:rsidR="000D493D" w:rsidRPr="00687258">
        <w:rPr>
          <w:rFonts w:ascii="Arial" w:hAnsi="Arial" w:cs="Arial"/>
          <w:sz w:val="22"/>
          <w:szCs w:val="22"/>
          <w:u w:val="single"/>
        </w:rPr>
        <w:t>Artículos que la Comisión Técnica dispuso que fueran conocid</w:t>
      </w:r>
      <w:r w:rsidRPr="00687258">
        <w:rPr>
          <w:rFonts w:ascii="Arial" w:hAnsi="Arial" w:cs="Arial"/>
          <w:sz w:val="22"/>
          <w:szCs w:val="22"/>
          <w:u w:val="single"/>
        </w:rPr>
        <w:t>o</w:t>
      </w:r>
      <w:r w:rsidR="000D493D" w:rsidRPr="00687258">
        <w:rPr>
          <w:rFonts w:ascii="Arial" w:hAnsi="Arial" w:cs="Arial"/>
          <w:sz w:val="22"/>
          <w:szCs w:val="22"/>
          <w:u w:val="single"/>
        </w:rPr>
        <w:t>s por esta Comisión de Hacienda:</w:t>
      </w:r>
    </w:p>
    <w:p w:rsidR="000562FC" w:rsidRPr="00687258" w:rsidRDefault="000562FC" w:rsidP="00687258">
      <w:pPr>
        <w:pStyle w:val="Sinespaciado"/>
        <w:spacing w:line="276" w:lineRule="auto"/>
        <w:ind w:right="-518" w:firstLine="1701"/>
        <w:jc w:val="both"/>
        <w:rPr>
          <w:rFonts w:ascii="Arial" w:hAnsi="Arial" w:cs="Arial"/>
          <w:b/>
          <w:bCs/>
          <w:lang w:val="es-ES"/>
        </w:rPr>
      </w:pPr>
      <w:r w:rsidRPr="00687258">
        <w:rPr>
          <w:rFonts w:ascii="Arial" w:hAnsi="Arial" w:cs="Arial"/>
          <w:bCs/>
          <w:lang w:val="es-ES"/>
        </w:rPr>
        <w:t xml:space="preserve">Según consigna el informe de la Comisión de Economía, </w:t>
      </w:r>
      <w:r w:rsidR="00CD4DF2" w:rsidRPr="00687258">
        <w:rPr>
          <w:rFonts w:ascii="Arial" w:hAnsi="Arial" w:cs="Arial"/>
          <w:bCs/>
          <w:lang w:val="es-ES"/>
        </w:rPr>
        <w:t>l</w:t>
      </w:r>
      <w:r w:rsidR="00CD4DF2" w:rsidRPr="00687258">
        <w:rPr>
          <w:rFonts w:ascii="Arial" w:eastAsia="Times New Roman" w:hAnsi="Arial" w:cs="Arial"/>
          <w:lang w:val="es-ES_tradnl" w:eastAsia="es-ES"/>
        </w:rPr>
        <w:t xml:space="preserve">os artículos 1°, 3º, 4º, 5º y 6º </w:t>
      </w:r>
      <w:r w:rsidR="00D62925" w:rsidRPr="00687258">
        <w:rPr>
          <w:rFonts w:ascii="Arial" w:hAnsi="Arial" w:cs="Arial"/>
          <w:bCs/>
        </w:rPr>
        <w:t>del texto aprobado</w:t>
      </w:r>
      <w:r w:rsidR="00861179" w:rsidRPr="00687258">
        <w:rPr>
          <w:rFonts w:ascii="Arial" w:hAnsi="Arial" w:cs="Arial"/>
          <w:bCs/>
        </w:rPr>
        <w:t>,</w:t>
      </w:r>
      <w:r w:rsidR="00D62925" w:rsidRPr="00687258">
        <w:rPr>
          <w:rFonts w:ascii="Arial" w:hAnsi="Arial" w:cs="Arial"/>
          <w:bCs/>
        </w:rPr>
        <w:t xml:space="preserve"> son de competencia de esta Comisión de Hacienda.</w:t>
      </w:r>
    </w:p>
    <w:p w:rsidR="000562FC" w:rsidRPr="00687258" w:rsidRDefault="000562FC" w:rsidP="00687258">
      <w:pPr>
        <w:tabs>
          <w:tab w:val="left" w:pos="-284"/>
          <w:tab w:val="left" w:pos="0"/>
          <w:tab w:val="left" w:pos="851"/>
          <w:tab w:val="left" w:pos="4751"/>
        </w:tabs>
        <w:spacing w:line="276" w:lineRule="auto"/>
        <w:ind w:right="-518" w:firstLine="1701"/>
        <w:jc w:val="both"/>
        <w:rPr>
          <w:rFonts w:ascii="Arial" w:hAnsi="Arial" w:cs="Arial"/>
          <w:sz w:val="22"/>
          <w:szCs w:val="22"/>
          <w:u w:val="single"/>
        </w:rPr>
      </w:pPr>
    </w:p>
    <w:p w:rsidR="008C5B5D" w:rsidRPr="00687258" w:rsidRDefault="005B167B" w:rsidP="00687258">
      <w:pPr>
        <w:pStyle w:val="Sinespaciado"/>
        <w:spacing w:line="276" w:lineRule="auto"/>
        <w:ind w:right="-518" w:firstLine="1701"/>
        <w:jc w:val="both"/>
        <w:rPr>
          <w:rFonts w:ascii="Arial" w:hAnsi="Arial" w:cs="Arial"/>
        </w:rPr>
      </w:pPr>
      <w:bookmarkStart w:id="12" w:name="_Toc408309929"/>
      <w:bookmarkStart w:id="13" w:name="_Toc409556912"/>
      <w:bookmarkStart w:id="14" w:name="_Toc499712184"/>
      <w:bookmarkEnd w:id="9"/>
      <w:bookmarkEnd w:id="10"/>
      <w:bookmarkEnd w:id="11"/>
      <w:r w:rsidRPr="00687258">
        <w:rPr>
          <w:rFonts w:ascii="Arial" w:hAnsi="Arial" w:cs="Arial"/>
          <w:lang w:eastAsia="es-CL"/>
        </w:rPr>
        <w:t>5</w:t>
      </w:r>
      <w:r w:rsidR="005A7749" w:rsidRPr="00687258">
        <w:rPr>
          <w:rFonts w:ascii="Arial" w:hAnsi="Arial" w:cs="Arial"/>
          <w:lang w:eastAsia="es-CL"/>
        </w:rPr>
        <w:t xml:space="preserve">) </w:t>
      </w:r>
      <w:r w:rsidR="005A7749" w:rsidRPr="00687258">
        <w:rPr>
          <w:rFonts w:ascii="Arial" w:hAnsi="Arial" w:cs="Arial"/>
          <w:u w:val="single"/>
          <w:lang w:eastAsia="es-CL"/>
        </w:rPr>
        <w:t xml:space="preserve">Artículos </w:t>
      </w:r>
      <w:r w:rsidR="004833DA" w:rsidRPr="00687258">
        <w:rPr>
          <w:rFonts w:ascii="Arial" w:hAnsi="Arial" w:cs="Arial"/>
          <w:u w:val="single"/>
          <w:lang w:eastAsia="es-CL"/>
        </w:rPr>
        <w:t>nuevos</w:t>
      </w:r>
      <w:r w:rsidR="00687258">
        <w:rPr>
          <w:rFonts w:ascii="Arial" w:hAnsi="Arial" w:cs="Arial"/>
          <w:u w:val="single"/>
          <w:lang w:eastAsia="es-CL"/>
        </w:rPr>
        <w:t xml:space="preserve">: </w:t>
      </w:r>
      <w:r w:rsidR="005C2765" w:rsidRPr="00687258">
        <w:rPr>
          <w:rFonts w:ascii="Arial" w:hAnsi="Arial" w:cs="Arial"/>
        </w:rPr>
        <w:t xml:space="preserve">No </w:t>
      </w:r>
      <w:r w:rsidR="00687258">
        <w:rPr>
          <w:rFonts w:ascii="Arial" w:hAnsi="Arial" w:cs="Arial"/>
        </w:rPr>
        <w:t>hubo</w:t>
      </w:r>
    </w:p>
    <w:p w:rsidR="005C2765" w:rsidRPr="00687258" w:rsidRDefault="005C2765" w:rsidP="00687258">
      <w:pPr>
        <w:pStyle w:val="Sinespaciado"/>
        <w:spacing w:line="276" w:lineRule="auto"/>
        <w:ind w:right="-518" w:firstLine="1701"/>
        <w:jc w:val="both"/>
        <w:rPr>
          <w:rFonts w:ascii="Arial" w:hAnsi="Arial" w:cs="Arial"/>
          <w:lang w:eastAsia="es-CL"/>
        </w:rPr>
      </w:pPr>
    </w:p>
    <w:p w:rsidR="004833DA" w:rsidRDefault="005B167B" w:rsidP="00687258">
      <w:pPr>
        <w:pStyle w:val="Sinespaciado"/>
        <w:spacing w:line="276" w:lineRule="auto"/>
        <w:ind w:right="-518" w:firstLine="1701"/>
        <w:jc w:val="both"/>
        <w:rPr>
          <w:rFonts w:ascii="Arial" w:hAnsi="Arial" w:cs="Arial"/>
          <w:u w:val="single"/>
          <w:lang w:eastAsia="es-CL"/>
        </w:rPr>
      </w:pPr>
      <w:r w:rsidRPr="00687258">
        <w:rPr>
          <w:rFonts w:ascii="Arial" w:hAnsi="Arial" w:cs="Arial"/>
          <w:lang w:eastAsia="es-CL"/>
        </w:rPr>
        <w:t>6</w:t>
      </w:r>
      <w:r w:rsidR="004833DA" w:rsidRPr="00687258">
        <w:rPr>
          <w:rFonts w:ascii="Arial" w:hAnsi="Arial" w:cs="Arial"/>
          <w:lang w:eastAsia="es-CL"/>
        </w:rPr>
        <w:t xml:space="preserve">) </w:t>
      </w:r>
      <w:r w:rsidR="004833DA" w:rsidRPr="00687258">
        <w:rPr>
          <w:rFonts w:ascii="Arial" w:hAnsi="Arial" w:cs="Arial"/>
          <w:u w:val="single"/>
          <w:lang w:eastAsia="es-CL"/>
        </w:rPr>
        <w:t>Artículos modificados</w:t>
      </w:r>
      <w:r w:rsidR="00687258">
        <w:rPr>
          <w:rFonts w:ascii="Arial" w:hAnsi="Arial" w:cs="Arial"/>
          <w:u w:val="single"/>
          <w:lang w:eastAsia="es-CL"/>
        </w:rPr>
        <w:t>:</w:t>
      </w:r>
    </w:p>
    <w:p w:rsidR="00546BE3" w:rsidRDefault="00546BE3" w:rsidP="00687258">
      <w:pPr>
        <w:pStyle w:val="Sinespaciado"/>
        <w:spacing w:line="276" w:lineRule="auto"/>
        <w:ind w:right="-518" w:firstLine="1701"/>
        <w:jc w:val="both"/>
        <w:rPr>
          <w:rFonts w:ascii="Arial" w:hAnsi="Arial" w:cs="Arial"/>
          <w:b/>
          <w:lang w:eastAsia="es-CL"/>
        </w:rPr>
      </w:pPr>
    </w:p>
    <w:p w:rsidR="0014589F" w:rsidRDefault="00546BE3" w:rsidP="00687258">
      <w:pPr>
        <w:pStyle w:val="Sinespaciado"/>
        <w:spacing w:line="276" w:lineRule="auto"/>
        <w:ind w:right="-518" w:firstLine="1701"/>
        <w:jc w:val="both"/>
        <w:rPr>
          <w:rFonts w:ascii="Arial" w:hAnsi="Arial" w:cs="Arial"/>
          <w:b/>
          <w:lang w:eastAsia="es-CL"/>
        </w:rPr>
      </w:pPr>
      <w:r>
        <w:rPr>
          <w:rFonts w:ascii="Arial" w:hAnsi="Arial" w:cs="Arial"/>
          <w:b/>
          <w:lang w:eastAsia="es-CL"/>
        </w:rPr>
        <w:t>1.-A</w:t>
      </w:r>
      <w:r w:rsidR="0014589F" w:rsidRPr="0014589F">
        <w:rPr>
          <w:rFonts w:ascii="Arial" w:hAnsi="Arial" w:cs="Arial"/>
          <w:b/>
          <w:lang w:eastAsia="es-CL"/>
        </w:rPr>
        <w:t>rtículo primero</w:t>
      </w:r>
      <w:r w:rsidR="0014589F">
        <w:rPr>
          <w:rFonts w:ascii="Arial" w:hAnsi="Arial" w:cs="Arial"/>
          <w:b/>
          <w:lang w:eastAsia="es-CL"/>
        </w:rPr>
        <w:t>:</w:t>
      </w:r>
    </w:p>
    <w:p w:rsidR="0014589F" w:rsidRDefault="0014589F" w:rsidP="00687258">
      <w:pPr>
        <w:pStyle w:val="Sinespaciado"/>
        <w:spacing w:line="276" w:lineRule="auto"/>
        <w:ind w:right="-518" w:firstLine="1701"/>
        <w:jc w:val="both"/>
        <w:rPr>
          <w:rFonts w:ascii="Arial" w:hAnsi="Arial" w:cs="Arial"/>
          <w:lang w:eastAsia="es-CL"/>
        </w:rPr>
      </w:pPr>
      <w:r w:rsidRPr="00546BE3">
        <w:rPr>
          <w:rFonts w:ascii="Arial" w:hAnsi="Arial" w:cs="Arial"/>
          <w:lang w:eastAsia="es-CL"/>
        </w:rPr>
        <w:t>En el inciso octavo</w:t>
      </w:r>
      <w:r w:rsidR="00546BE3" w:rsidRPr="00546BE3">
        <w:rPr>
          <w:rFonts w:ascii="Arial" w:hAnsi="Arial" w:cs="Arial"/>
          <w:lang w:eastAsia="es-CL"/>
        </w:rPr>
        <w:t>, del numeral 5</w:t>
      </w:r>
      <w:r w:rsidR="00546BE3">
        <w:rPr>
          <w:rFonts w:ascii="Arial" w:hAnsi="Arial" w:cs="Arial"/>
          <w:lang w:eastAsia="es-CL"/>
        </w:rPr>
        <w:t>, se ha reemplazado la expresión “por el plazo de 12 meses desde que se adjudique la primera licitación efectuada en virtud de Fogape Chile Apoya” por “hasta el 31 de diciembre de 2023”.</w:t>
      </w:r>
    </w:p>
    <w:p w:rsidR="00546BE3" w:rsidRDefault="00546BE3" w:rsidP="00687258">
      <w:pPr>
        <w:pStyle w:val="Sinespaciado"/>
        <w:spacing w:line="276" w:lineRule="auto"/>
        <w:ind w:right="-518" w:firstLine="1701"/>
        <w:jc w:val="both"/>
        <w:rPr>
          <w:rFonts w:ascii="Arial" w:hAnsi="Arial" w:cs="Arial"/>
          <w:lang w:eastAsia="es-CL"/>
        </w:rPr>
      </w:pPr>
    </w:p>
    <w:p w:rsidR="00546BE3" w:rsidRDefault="00546BE3" w:rsidP="00215D5D">
      <w:pPr>
        <w:pStyle w:val="Sinespaciado"/>
        <w:spacing w:line="276" w:lineRule="auto"/>
        <w:ind w:right="-518" w:firstLine="1701"/>
        <w:jc w:val="both"/>
        <w:rPr>
          <w:rFonts w:ascii="Arial" w:hAnsi="Arial" w:cs="Arial"/>
          <w:b/>
          <w:lang w:eastAsia="es-CL"/>
        </w:rPr>
      </w:pPr>
      <w:r w:rsidRPr="00546BE3">
        <w:rPr>
          <w:rFonts w:ascii="Arial" w:hAnsi="Arial" w:cs="Arial"/>
          <w:b/>
          <w:lang w:eastAsia="es-CL"/>
        </w:rPr>
        <w:t>2.-</w:t>
      </w:r>
      <w:r>
        <w:rPr>
          <w:rFonts w:ascii="Arial" w:hAnsi="Arial" w:cs="Arial"/>
          <w:b/>
          <w:lang w:eastAsia="es-CL"/>
        </w:rPr>
        <w:t>A</w:t>
      </w:r>
      <w:r w:rsidRPr="00546BE3">
        <w:rPr>
          <w:rFonts w:ascii="Arial" w:hAnsi="Arial" w:cs="Arial"/>
          <w:b/>
          <w:lang w:eastAsia="es-CL"/>
        </w:rPr>
        <w:t>rtículo segundo</w:t>
      </w:r>
      <w:r>
        <w:rPr>
          <w:rFonts w:ascii="Arial" w:hAnsi="Arial" w:cs="Arial"/>
          <w:b/>
          <w:lang w:eastAsia="es-CL"/>
        </w:rPr>
        <w:t>:</w:t>
      </w:r>
    </w:p>
    <w:p w:rsidR="00215D5D" w:rsidRDefault="00215D5D" w:rsidP="00215D5D">
      <w:pPr>
        <w:pStyle w:val="Sinespaciado"/>
        <w:spacing w:line="276" w:lineRule="auto"/>
        <w:ind w:right="-518" w:firstLine="1701"/>
        <w:jc w:val="both"/>
        <w:rPr>
          <w:rFonts w:ascii="Arial" w:hAnsi="Arial" w:cs="Arial"/>
          <w:b/>
          <w:lang w:eastAsia="es-CL"/>
        </w:rPr>
      </w:pPr>
    </w:p>
    <w:p w:rsidR="00215D5D" w:rsidRPr="00113F44" w:rsidRDefault="00215D5D" w:rsidP="00BD0997">
      <w:pPr>
        <w:pStyle w:val="Prrafodelista"/>
        <w:numPr>
          <w:ilvl w:val="0"/>
          <w:numId w:val="2"/>
        </w:numPr>
        <w:spacing w:after="0" w:line="276" w:lineRule="auto"/>
        <w:ind w:left="0" w:right="-518" w:firstLine="1701"/>
        <w:jc w:val="both"/>
        <w:rPr>
          <w:rFonts w:ascii="Arial" w:eastAsia="Courier New" w:hAnsi="Arial" w:cs="Arial"/>
          <w:bCs/>
          <w:lang w:val="es-MX"/>
        </w:rPr>
      </w:pPr>
      <w:r>
        <w:rPr>
          <w:rFonts w:ascii="Arial" w:eastAsia="Courier New" w:hAnsi="Arial" w:cs="Arial"/>
          <w:bCs/>
          <w:lang w:val="es-MX"/>
        </w:rPr>
        <w:t>Se ha intercalado</w:t>
      </w:r>
      <w:r w:rsidRPr="00113F44">
        <w:rPr>
          <w:rFonts w:ascii="Arial" w:eastAsia="Courier New" w:hAnsi="Arial" w:cs="Arial"/>
          <w:bCs/>
          <w:lang w:val="es-MX"/>
        </w:rPr>
        <w:t xml:space="preserve"> el siguiente inciso cuarto nuevo, pasando a ser el actual inciso cuarto, inciso quinto, y así sucesivamente:</w:t>
      </w:r>
    </w:p>
    <w:p w:rsidR="00215D5D" w:rsidRPr="00113F44" w:rsidRDefault="00215D5D" w:rsidP="00215D5D">
      <w:pPr>
        <w:pStyle w:val="Prrafodelista"/>
        <w:spacing w:line="276" w:lineRule="auto"/>
        <w:ind w:left="0" w:right="-518" w:firstLine="1701"/>
        <w:jc w:val="both"/>
        <w:rPr>
          <w:rFonts w:ascii="Arial" w:eastAsia="Courier New" w:hAnsi="Arial" w:cs="Arial"/>
          <w:bCs/>
          <w:lang w:val="es-MX"/>
        </w:rPr>
      </w:pPr>
      <w:r w:rsidRPr="00113F44">
        <w:rPr>
          <w:rFonts w:ascii="Arial" w:eastAsia="Courier New" w:hAnsi="Arial" w:cs="Arial"/>
          <w:bCs/>
          <w:lang w:val="es-MX"/>
        </w:rPr>
        <w:t>“Asimismo, el Ministerio del Interior y Seguridad Pública, directamente, o a través de la Subsecretaría del Interior, entregará al Administrador el listado de personas que formen parte del catastro de afectados por eventos de violencia rural gestionado por dicho Ministerio.”.</w:t>
      </w:r>
    </w:p>
    <w:p w:rsidR="00215D5D" w:rsidRPr="00113F44" w:rsidRDefault="00215D5D" w:rsidP="00215D5D">
      <w:pPr>
        <w:pStyle w:val="Prrafodelista"/>
        <w:spacing w:line="276" w:lineRule="auto"/>
        <w:ind w:left="0" w:right="-518" w:firstLine="1701"/>
        <w:jc w:val="both"/>
        <w:rPr>
          <w:rFonts w:ascii="Arial" w:eastAsia="Courier New" w:hAnsi="Arial" w:cs="Arial"/>
          <w:bCs/>
          <w:lang w:val="es-MX"/>
        </w:rPr>
      </w:pPr>
    </w:p>
    <w:p w:rsidR="00215D5D" w:rsidRPr="00113F44" w:rsidRDefault="00215D5D" w:rsidP="00BD0997">
      <w:pPr>
        <w:pStyle w:val="Prrafodelista"/>
        <w:numPr>
          <w:ilvl w:val="0"/>
          <w:numId w:val="2"/>
        </w:numPr>
        <w:spacing w:after="0" w:line="276" w:lineRule="auto"/>
        <w:ind w:left="0" w:right="-518" w:firstLine="1701"/>
        <w:jc w:val="both"/>
        <w:rPr>
          <w:rFonts w:ascii="Arial" w:eastAsia="Courier New" w:hAnsi="Arial" w:cs="Arial"/>
          <w:bCs/>
          <w:lang w:val="es-MX"/>
        </w:rPr>
      </w:pPr>
      <w:r>
        <w:rPr>
          <w:rFonts w:ascii="Arial" w:eastAsia="Courier New" w:hAnsi="Arial" w:cs="Arial"/>
          <w:bCs/>
          <w:lang w:val="es-MX"/>
        </w:rPr>
        <w:t xml:space="preserve">Se ha agregado </w:t>
      </w:r>
      <w:r w:rsidRPr="00113F44">
        <w:rPr>
          <w:rFonts w:ascii="Arial" w:eastAsia="Courier New" w:hAnsi="Arial" w:cs="Arial"/>
          <w:bCs/>
          <w:lang w:val="es-MX"/>
        </w:rPr>
        <w:t>en el inciso quinto, que ha pasado a ser sexto, a continuación del punto final, la siguiente frase:</w:t>
      </w:r>
    </w:p>
    <w:p w:rsidR="00215D5D" w:rsidRPr="00113F44" w:rsidRDefault="00215D5D" w:rsidP="00215D5D">
      <w:pPr>
        <w:pStyle w:val="Prrafodelista"/>
        <w:tabs>
          <w:tab w:val="left" w:pos="4111"/>
        </w:tabs>
        <w:spacing w:after="0" w:line="276" w:lineRule="auto"/>
        <w:ind w:left="0" w:right="-518" w:firstLine="1701"/>
        <w:jc w:val="both"/>
        <w:rPr>
          <w:rFonts w:ascii="Arial" w:eastAsia="Courier New" w:hAnsi="Arial" w:cs="Arial"/>
          <w:bCs/>
          <w:lang w:val="es-MX"/>
        </w:rPr>
      </w:pPr>
    </w:p>
    <w:p w:rsidR="00215D5D" w:rsidRDefault="00215D5D" w:rsidP="00215D5D">
      <w:pPr>
        <w:pStyle w:val="Prrafodelista"/>
        <w:spacing w:line="276" w:lineRule="auto"/>
        <w:ind w:left="0" w:right="-518" w:firstLine="1701"/>
        <w:jc w:val="both"/>
        <w:rPr>
          <w:rFonts w:ascii="Arial" w:eastAsia="Courier New" w:hAnsi="Arial" w:cs="Arial"/>
          <w:bCs/>
          <w:lang w:val="es-MX"/>
        </w:rPr>
      </w:pPr>
      <w:r w:rsidRPr="00113F44">
        <w:rPr>
          <w:rFonts w:ascii="Arial" w:eastAsia="Courier New" w:hAnsi="Arial" w:cs="Arial"/>
          <w:bCs/>
          <w:lang w:val="es-MX"/>
        </w:rPr>
        <w:t>“En todo caso, la información que se entregue según lo dispuesto en los incisos segundo, tercero, cuarto y quinto de este artículo se limitará estrictamente a aquella que sea necesaria para la correcta identificación de las empresas elegibles para acceder al FOGAPE Chile Apoya creado por esta ley, en cumplimiento de lo dispuesto por la ley N° 19.628, sobre protección de la vida privada.”.</w:t>
      </w:r>
    </w:p>
    <w:p w:rsidR="00215D5D" w:rsidRDefault="00215D5D" w:rsidP="00215D5D">
      <w:pPr>
        <w:pStyle w:val="Prrafodelista"/>
        <w:spacing w:line="276" w:lineRule="auto"/>
        <w:ind w:left="0" w:right="-518" w:firstLine="1701"/>
        <w:jc w:val="both"/>
        <w:rPr>
          <w:rFonts w:ascii="Arial" w:eastAsia="Courier New" w:hAnsi="Arial" w:cs="Arial"/>
          <w:bCs/>
          <w:lang w:val="es-MX"/>
        </w:rPr>
      </w:pPr>
    </w:p>
    <w:p w:rsidR="00215D5D" w:rsidRDefault="00215D5D" w:rsidP="00215D5D">
      <w:pPr>
        <w:pStyle w:val="Prrafodelista"/>
        <w:spacing w:line="276" w:lineRule="auto"/>
        <w:ind w:left="0" w:right="-518" w:firstLine="1701"/>
        <w:jc w:val="both"/>
        <w:rPr>
          <w:rFonts w:ascii="Arial" w:eastAsia="Courier New" w:hAnsi="Arial" w:cs="Arial"/>
          <w:b/>
          <w:bCs/>
          <w:lang w:val="es-MX"/>
        </w:rPr>
      </w:pPr>
      <w:r w:rsidRPr="00215D5D">
        <w:rPr>
          <w:rFonts w:ascii="Arial" w:eastAsia="Courier New" w:hAnsi="Arial" w:cs="Arial"/>
          <w:b/>
          <w:bCs/>
          <w:lang w:val="es-MX"/>
        </w:rPr>
        <w:t>3.-Artículo quinto</w:t>
      </w:r>
      <w:r>
        <w:rPr>
          <w:rFonts w:ascii="Arial" w:eastAsia="Courier New" w:hAnsi="Arial" w:cs="Arial"/>
          <w:b/>
          <w:bCs/>
          <w:lang w:val="es-MX"/>
        </w:rPr>
        <w:t>:</w:t>
      </w:r>
    </w:p>
    <w:p w:rsidR="00215D5D" w:rsidRDefault="00215D5D" w:rsidP="00215D5D">
      <w:pPr>
        <w:pStyle w:val="Prrafodelista"/>
        <w:spacing w:line="276" w:lineRule="auto"/>
        <w:ind w:left="0" w:right="-518" w:firstLine="1701"/>
        <w:jc w:val="both"/>
        <w:rPr>
          <w:rFonts w:ascii="Arial" w:eastAsia="Courier New" w:hAnsi="Arial" w:cs="Arial"/>
          <w:bCs/>
          <w:lang w:val="es-MX"/>
        </w:rPr>
      </w:pPr>
      <w:r w:rsidRPr="00215D5D">
        <w:rPr>
          <w:rFonts w:ascii="Arial" w:eastAsia="Courier New" w:hAnsi="Arial" w:cs="Arial"/>
          <w:bCs/>
          <w:lang w:val="es-MX"/>
        </w:rPr>
        <w:t xml:space="preserve"> Se ha sustituido, en el inciso primero</w:t>
      </w:r>
      <w:r>
        <w:rPr>
          <w:rFonts w:ascii="Arial" w:eastAsia="Courier New" w:hAnsi="Arial" w:cs="Arial"/>
          <w:bCs/>
          <w:lang w:val="es-MX"/>
        </w:rPr>
        <w:t>, la palabra “diez” por “doce”.</w:t>
      </w:r>
    </w:p>
    <w:p w:rsidR="00215D5D" w:rsidRDefault="00215D5D" w:rsidP="00215D5D">
      <w:pPr>
        <w:pStyle w:val="Prrafodelista"/>
        <w:spacing w:line="276" w:lineRule="auto"/>
        <w:ind w:left="0" w:right="-518" w:firstLine="1701"/>
        <w:jc w:val="both"/>
        <w:rPr>
          <w:rFonts w:ascii="Arial" w:eastAsia="Courier New" w:hAnsi="Arial" w:cs="Arial"/>
          <w:bCs/>
          <w:lang w:val="es-MX"/>
        </w:rPr>
      </w:pPr>
    </w:p>
    <w:p w:rsidR="00215D5D" w:rsidRDefault="00215D5D" w:rsidP="00215D5D">
      <w:pPr>
        <w:pStyle w:val="Prrafodelista"/>
        <w:spacing w:line="276" w:lineRule="auto"/>
        <w:ind w:left="0" w:right="-518" w:firstLine="1701"/>
        <w:jc w:val="both"/>
        <w:rPr>
          <w:rFonts w:ascii="Arial" w:eastAsia="Courier New" w:hAnsi="Arial" w:cs="Arial"/>
          <w:b/>
          <w:bCs/>
          <w:lang w:val="es-MX"/>
        </w:rPr>
      </w:pPr>
      <w:r w:rsidRPr="00215D5D">
        <w:rPr>
          <w:rFonts w:ascii="Arial" w:eastAsia="Courier New" w:hAnsi="Arial" w:cs="Arial"/>
          <w:b/>
          <w:bCs/>
          <w:lang w:val="es-MX"/>
        </w:rPr>
        <w:t>4.-Artículo sexto</w:t>
      </w:r>
      <w:r>
        <w:rPr>
          <w:rFonts w:ascii="Arial" w:eastAsia="Courier New" w:hAnsi="Arial" w:cs="Arial"/>
          <w:b/>
          <w:bCs/>
          <w:lang w:val="es-MX"/>
        </w:rPr>
        <w:t>:</w:t>
      </w:r>
    </w:p>
    <w:p w:rsidR="00215D5D" w:rsidRDefault="00215D5D" w:rsidP="00215D5D">
      <w:pPr>
        <w:pStyle w:val="Prrafodelista"/>
        <w:spacing w:line="276" w:lineRule="auto"/>
        <w:ind w:left="0" w:right="-518" w:firstLine="1701"/>
        <w:jc w:val="both"/>
        <w:rPr>
          <w:rFonts w:ascii="Arial" w:eastAsia="Courier New" w:hAnsi="Arial" w:cs="Arial"/>
          <w:bCs/>
          <w:lang w:val="es-MX"/>
        </w:rPr>
      </w:pPr>
      <w:r w:rsidRPr="00215D5D">
        <w:rPr>
          <w:rFonts w:ascii="Arial" w:eastAsia="Courier New" w:hAnsi="Arial" w:cs="Arial"/>
          <w:bCs/>
          <w:lang w:val="es-MX"/>
        </w:rPr>
        <w:t>Se ha modificado</w:t>
      </w:r>
      <w:r>
        <w:rPr>
          <w:rFonts w:ascii="Arial" w:eastAsia="Courier New" w:hAnsi="Arial" w:cs="Arial"/>
          <w:bCs/>
          <w:lang w:val="es-MX"/>
        </w:rPr>
        <w:t>, el inciso primero, del siguiente modo:</w:t>
      </w:r>
    </w:p>
    <w:p w:rsidR="00215D5D" w:rsidRDefault="00215D5D" w:rsidP="00215D5D">
      <w:pPr>
        <w:pStyle w:val="Prrafodelista"/>
        <w:spacing w:line="276" w:lineRule="auto"/>
        <w:ind w:left="0" w:right="-518" w:firstLine="1701"/>
        <w:jc w:val="both"/>
        <w:rPr>
          <w:rFonts w:ascii="Arial" w:eastAsia="Courier New" w:hAnsi="Arial" w:cs="Arial"/>
          <w:bCs/>
          <w:lang w:val="es-MX"/>
        </w:rPr>
      </w:pPr>
      <w:r>
        <w:rPr>
          <w:rFonts w:ascii="Arial" w:eastAsia="Courier New" w:hAnsi="Arial" w:cs="Arial"/>
          <w:bCs/>
          <w:lang w:val="es-MX"/>
        </w:rPr>
        <w:t>a).-Se ha sustituido la frase “31 de diciembre de 2022” por “30 de abril de 2023”.</w:t>
      </w:r>
    </w:p>
    <w:p w:rsidR="00215D5D" w:rsidRPr="00215D5D" w:rsidRDefault="00215D5D" w:rsidP="00215D5D">
      <w:pPr>
        <w:pStyle w:val="Prrafodelista"/>
        <w:spacing w:line="276" w:lineRule="auto"/>
        <w:ind w:left="0" w:right="-518" w:firstLine="1701"/>
        <w:jc w:val="both"/>
        <w:rPr>
          <w:rFonts w:ascii="Arial" w:eastAsia="Courier New" w:hAnsi="Arial" w:cs="Arial"/>
        </w:rPr>
      </w:pPr>
      <w:r>
        <w:rPr>
          <w:rFonts w:ascii="Arial" w:eastAsia="Courier New" w:hAnsi="Arial" w:cs="Arial"/>
          <w:bCs/>
          <w:lang w:val="es-MX"/>
        </w:rPr>
        <w:t xml:space="preserve">b).-Se ha reemplazado la frase “31 de mayo” por “30 de junio”. </w:t>
      </w:r>
    </w:p>
    <w:p w:rsidR="00546BE3" w:rsidRPr="00215D5D" w:rsidRDefault="00546BE3" w:rsidP="00215D5D">
      <w:pPr>
        <w:pStyle w:val="Sinespaciado"/>
        <w:spacing w:line="276" w:lineRule="auto"/>
        <w:ind w:right="-518" w:firstLine="1701"/>
        <w:jc w:val="both"/>
        <w:rPr>
          <w:rFonts w:ascii="Arial" w:hAnsi="Arial" w:cs="Arial"/>
          <w:lang w:eastAsia="es-CL"/>
        </w:rPr>
      </w:pPr>
    </w:p>
    <w:p w:rsidR="00FE01E9" w:rsidRPr="00687258" w:rsidRDefault="005B167B" w:rsidP="00687258">
      <w:pPr>
        <w:spacing w:line="276" w:lineRule="auto"/>
        <w:ind w:right="-518" w:firstLine="1701"/>
        <w:rPr>
          <w:rFonts w:ascii="Arial" w:hAnsi="Arial" w:cs="Arial"/>
          <w:i/>
          <w:sz w:val="22"/>
          <w:szCs w:val="22"/>
        </w:rPr>
      </w:pPr>
      <w:r w:rsidRPr="00687258">
        <w:rPr>
          <w:rFonts w:ascii="Arial" w:hAnsi="Arial" w:cs="Arial"/>
          <w:sz w:val="22"/>
          <w:szCs w:val="22"/>
        </w:rPr>
        <w:t>7</w:t>
      </w:r>
      <w:r w:rsidR="005C2765" w:rsidRPr="00687258">
        <w:rPr>
          <w:rFonts w:ascii="Arial" w:hAnsi="Arial" w:cs="Arial"/>
          <w:sz w:val="22"/>
          <w:szCs w:val="22"/>
        </w:rPr>
        <w:t xml:space="preserve">) </w:t>
      </w:r>
      <w:r w:rsidR="005C2765" w:rsidRPr="00687258">
        <w:rPr>
          <w:rFonts w:ascii="Arial" w:hAnsi="Arial" w:cs="Arial"/>
          <w:sz w:val="22"/>
          <w:szCs w:val="22"/>
          <w:u w:val="single"/>
        </w:rPr>
        <w:t>Artículo suprimido</w:t>
      </w:r>
      <w:r w:rsidR="00687258">
        <w:rPr>
          <w:rFonts w:ascii="Arial" w:hAnsi="Arial" w:cs="Arial"/>
          <w:sz w:val="22"/>
          <w:szCs w:val="22"/>
          <w:u w:val="single"/>
        </w:rPr>
        <w:t xml:space="preserve">: </w:t>
      </w:r>
      <w:r w:rsidR="00F57BE0" w:rsidRPr="00687258">
        <w:rPr>
          <w:rFonts w:ascii="Arial" w:hAnsi="Arial" w:cs="Arial"/>
          <w:sz w:val="22"/>
          <w:szCs w:val="22"/>
        </w:rPr>
        <w:t>No</w:t>
      </w:r>
      <w:r w:rsidRPr="00687258">
        <w:rPr>
          <w:rFonts w:ascii="Arial" w:hAnsi="Arial" w:cs="Arial"/>
          <w:sz w:val="22"/>
          <w:szCs w:val="22"/>
        </w:rPr>
        <w:t xml:space="preserve"> </w:t>
      </w:r>
      <w:r w:rsidR="00687258">
        <w:rPr>
          <w:rFonts w:ascii="Arial" w:hAnsi="Arial" w:cs="Arial"/>
          <w:sz w:val="22"/>
          <w:szCs w:val="22"/>
        </w:rPr>
        <w:t>hubo</w:t>
      </w:r>
    </w:p>
    <w:p w:rsidR="005C2765" w:rsidRDefault="005B167B" w:rsidP="00687258">
      <w:pPr>
        <w:pStyle w:val="Ttulo2"/>
        <w:tabs>
          <w:tab w:val="left" w:pos="709"/>
        </w:tabs>
        <w:spacing w:before="240" w:line="276" w:lineRule="auto"/>
        <w:ind w:right="-518" w:firstLine="1701"/>
        <w:rPr>
          <w:rFonts w:cs="Arial"/>
          <w:i w:val="0"/>
          <w:sz w:val="22"/>
          <w:szCs w:val="22"/>
        </w:rPr>
      </w:pPr>
      <w:r w:rsidRPr="00687258">
        <w:rPr>
          <w:rFonts w:cs="Arial"/>
          <w:i w:val="0"/>
          <w:sz w:val="22"/>
          <w:szCs w:val="22"/>
        </w:rPr>
        <w:t>8</w:t>
      </w:r>
      <w:r w:rsidR="005C2765" w:rsidRPr="00687258">
        <w:rPr>
          <w:rFonts w:cs="Arial"/>
          <w:i w:val="0"/>
          <w:sz w:val="22"/>
          <w:szCs w:val="22"/>
        </w:rPr>
        <w:t xml:space="preserve">) </w:t>
      </w:r>
      <w:r w:rsidR="005C2765" w:rsidRPr="00687258">
        <w:rPr>
          <w:rFonts w:cs="Arial"/>
          <w:i w:val="0"/>
          <w:sz w:val="22"/>
          <w:szCs w:val="22"/>
          <w:u w:val="single"/>
        </w:rPr>
        <w:t>Indicaciones rechazadas:</w:t>
      </w:r>
      <w:r w:rsidR="00687258">
        <w:rPr>
          <w:rFonts w:cs="Arial"/>
          <w:i w:val="0"/>
          <w:sz w:val="22"/>
          <w:szCs w:val="22"/>
          <w:u w:val="single"/>
        </w:rPr>
        <w:t xml:space="preserve"> </w:t>
      </w:r>
      <w:r w:rsidR="005C2381" w:rsidRPr="00687258">
        <w:rPr>
          <w:rFonts w:cs="Arial"/>
          <w:i w:val="0"/>
          <w:sz w:val="22"/>
          <w:szCs w:val="22"/>
        </w:rPr>
        <w:t xml:space="preserve">No </w:t>
      </w:r>
      <w:r w:rsidR="00687258">
        <w:rPr>
          <w:rFonts w:cs="Arial"/>
          <w:i w:val="0"/>
          <w:sz w:val="22"/>
          <w:szCs w:val="22"/>
        </w:rPr>
        <w:t>hubo</w:t>
      </w:r>
    </w:p>
    <w:p w:rsidR="00215D5D" w:rsidRDefault="00215D5D" w:rsidP="00215D5D"/>
    <w:p w:rsidR="00215D5D" w:rsidRDefault="00215D5D" w:rsidP="00215D5D">
      <w:pPr>
        <w:ind w:firstLine="1701"/>
        <w:jc w:val="both"/>
        <w:rPr>
          <w:rFonts w:ascii="Arial" w:hAnsi="Arial" w:cs="Arial"/>
          <w:sz w:val="22"/>
          <w:szCs w:val="22"/>
        </w:rPr>
      </w:pPr>
      <w:r w:rsidRPr="00215D5D">
        <w:rPr>
          <w:rFonts w:ascii="Arial" w:hAnsi="Arial" w:cs="Arial"/>
          <w:sz w:val="22"/>
          <w:szCs w:val="22"/>
        </w:rPr>
        <w:t xml:space="preserve">9) </w:t>
      </w:r>
      <w:r w:rsidRPr="00215D5D">
        <w:rPr>
          <w:rFonts w:ascii="Arial" w:hAnsi="Arial" w:cs="Arial"/>
          <w:sz w:val="22"/>
          <w:szCs w:val="22"/>
          <w:u w:val="single"/>
        </w:rPr>
        <w:t>Indicaciones declaradas inadmisibles</w:t>
      </w:r>
      <w:r>
        <w:rPr>
          <w:rFonts w:ascii="Arial" w:hAnsi="Arial" w:cs="Arial"/>
          <w:sz w:val="22"/>
          <w:szCs w:val="22"/>
        </w:rPr>
        <w:t>:</w:t>
      </w:r>
    </w:p>
    <w:p w:rsidR="00F46BAA" w:rsidRDefault="00F46BAA" w:rsidP="00603226">
      <w:pPr>
        <w:spacing w:line="276" w:lineRule="auto"/>
        <w:ind w:firstLine="1701"/>
        <w:jc w:val="both"/>
        <w:rPr>
          <w:rFonts w:ascii="Arial" w:hAnsi="Arial" w:cs="Arial"/>
          <w:sz w:val="22"/>
          <w:szCs w:val="22"/>
        </w:rPr>
      </w:pPr>
      <w:r>
        <w:rPr>
          <w:rFonts w:ascii="Arial" w:hAnsi="Arial" w:cs="Arial"/>
          <w:sz w:val="22"/>
          <w:szCs w:val="22"/>
        </w:rPr>
        <w:t>Todos los diputados y diputada integrantes de la Comisión concordaron las indicaciones señaladas anteriormente a los artículos primero y sexto</w:t>
      </w:r>
      <w:r w:rsidR="00603226">
        <w:rPr>
          <w:rFonts w:ascii="Arial" w:hAnsi="Arial" w:cs="Arial"/>
          <w:sz w:val="22"/>
          <w:szCs w:val="22"/>
        </w:rPr>
        <w:t>, las que declaradas inadmisibles por incidir en materia financiera del Estado, se hizo cargo el Ejecutivo</w:t>
      </w:r>
      <w:r w:rsidR="00C1286F">
        <w:rPr>
          <w:rFonts w:ascii="Arial" w:hAnsi="Arial" w:cs="Arial"/>
          <w:sz w:val="22"/>
          <w:szCs w:val="22"/>
        </w:rPr>
        <w:t xml:space="preserve"> presentando las indicaciones correspondientes</w:t>
      </w:r>
      <w:r w:rsidR="00603226">
        <w:rPr>
          <w:rFonts w:ascii="Arial" w:hAnsi="Arial" w:cs="Arial"/>
          <w:sz w:val="22"/>
          <w:szCs w:val="22"/>
        </w:rPr>
        <w:t>.</w:t>
      </w:r>
    </w:p>
    <w:p w:rsidR="009D7161" w:rsidRPr="00215D5D" w:rsidRDefault="00603226" w:rsidP="00687258">
      <w:pPr>
        <w:pStyle w:val="Ttulo2"/>
        <w:tabs>
          <w:tab w:val="left" w:pos="709"/>
        </w:tabs>
        <w:spacing w:before="240" w:line="276" w:lineRule="auto"/>
        <w:ind w:right="-518" w:firstLine="1701"/>
        <w:rPr>
          <w:rFonts w:cs="Arial"/>
          <w:b/>
          <w:i w:val="0"/>
          <w:sz w:val="22"/>
          <w:szCs w:val="22"/>
        </w:rPr>
      </w:pPr>
      <w:r>
        <w:rPr>
          <w:rFonts w:cs="Arial"/>
          <w:i w:val="0"/>
          <w:sz w:val="22"/>
          <w:szCs w:val="22"/>
        </w:rPr>
        <w:t>10)</w:t>
      </w:r>
      <w:r w:rsidR="00293899" w:rsidRPr="00687258">
        <w:rPr>
          <w:rFonts w:cs="Arial"/>
          <w:i w:val="0"/>
          <w:sz w:val="22"/>
          <w:szCs w:val="22"/>
        </w:rPr>
        <w:t xml:space="preserve"> </w:t>
      </w:r>
      <w:r w:rsidR="00293899" w:rsidRPr="00687258">
        <w:rPr>
          <w:rFonts w:cs="Arial"/>
          <w:i w:val="0"/>
          <w:sz w:val="22"/>
          <w:szCs w:val="22"/>
          <w:u w:val="single"/>
        </w:rPr>
        <w:t>Diputado informante</w:t>
      </w:r>
      <w:r w:rsidR="000D493D" w:rsidRPr="00687258">
        <w:rPr>
          <w:rFonts w:cs="Arial"/>
          <w:i w:val="0"/>
          <w:sz w:val="22"/>
          <w:szCs w:val="22"/>
          <w:u w:val="single"/>
        </w:rPr>
        <w:t>:</w:t>
      </w:r>
      <w:bookmarkEnd w:id="12"/>
      <w:bookmarkEnd w:id="13"/>
      <w:bookmarkEnd w:id="14"/>
      <w:r w:rsidR="002A5F9C" w:rsidRPr="00687258">
        <w:rPr>
          <w:rFonts w:cs="Arial"/>
          <w:i w:val="0"/>
          <w:sz w:val="22"/>
          <w:szCs w:val="22"/>
        </w:rPr>
        <w:t xml:space="preserve"> </w:t>
      </w:r>
      <w:r w:rsidR="00364A4A" w:rsidRPr="00215D5D">
        <w:rPr>
          <w:rFonts w:cs="Arial"/>
          <w:i w:val="0"/>
          <w:sz w:val="22"/>
          <w:szCs w:val="22"/>
        </w:rPr>
        <w:t>Se designó al señor</w:t>
      </w:r>
      <w:bookmarkStart w:id="15" w:name="_Toc408309938"/>
      <w:bookmarkStart w:id="16" w:name="_Toc409556940"/>
      <w:bookmarkStart w:id="17" w:name="_Toc499712193"/>
      <w:r w:rsidR="00687258" w:rsidRPr="00215D5D">
        <w:rPr>
          <w:rFonts w:cs="Arial"/>
          <w:i w:val="0"/>
          <w:sz w:val="22"/>
          <w:szCs w:val="22"/>
        </w:rPr>
        <w:t xml:space="preserve"> Alexis Sepúlveda Soto.</w:t>
      </w:r>
    </w:p>
    <w:p w:rsidR="005E538A" w:rsidRPr="00687258" w:rsidRDefault="005E538A" w:rsidP="00687258">
      <w:pPr>
        <w:spacing w:line="276" w:lineRule="auto"/>
        <w:ind w:right="-518"/>
        <w:jc w:val="both"/>
        <w:rPr>
          <w:rFonts w:ascii="Arial" w:hAnsi="Arial" w:cs="Arial"/>
          <w:b/>
          <w:sz w:val="22"/>
          <w:szCs w:val="22"/>
        </w:rPr>
      </w:pPr>
    </w:p>
    <w:p w:rsidR="00CD4DF2" w:rsidRPr="00687258" w:rsidRDefault="00CD4DF2" w:rsidP="00687258">
      <w:pPr>
        <w:autoSpaceDE w:val="0"/>
        <w:autoSpaceDN w:val="0"/>
        <w:adjustRightInd w:val="0"/>
        <w:spacing w:line="276" w:lineRule="auto"/>
        <w:ind w:right="-518"/>
        <w:jc w:val="both"/>
        <w:rPr>
          <w:rFonts w:ascii="Arial" w:hAnsi="Arial" w:cs="Arial"/>
          <w:b/>
          <w:sz w:val="22"/>
          <w:szCs w:val="22"/>
          <w:lang w:eastAsia="es-CL"/>
        </w:rPr>
      </w:pPr>
    </w:p>
    <w:p w:rsidR="00687258" w:rsidRPr="00687258" w:rsidRDefault="00687258" w:rsidP="00687258">
      <w:pPr>
        <w:tabs>
          <w:tab w:val="left" w:pos="1701"/>
        </w:tabs>
        <w:spacing w:line="276" w:lineRule="auto"/>
        <w:ind w:right="-518"/>
        <w:jc w:val="both"/>
        <w:rPr>
          <w:rFonts w:ascii="Arial" w:hAnsi="Arial" w:cs="Arial"/>
          <w:b/>
          <w:sz w:val="22"/>
          <w:szCs w:val="22"/>
        </w:rPr>
      </w:pPr>
      <w:r w:rsidRPr="00687258">
        <w:rPr>
          <w:rFonts w:ascii="Arial" w:hAnsi="Arial" w:cs="Arial"/>
          <w:b/>
          <w:sz w:val="22"/>
          <w:szCs w:val="22"/>
        </w:rPr>
        <w:t>II.- CONTENIDO DE LA INICIATIVA</w:t>
      </w:r>
      <w:r w:rsidR="00603226">
        <w:rPr>
          <w:rFonts w:ascii="Arial" w:hAnsi="Arial" w:cs="Arial"/>
          <w:b/>
          <w:sz w:val="22"/>
          <w:szCs w:val="22"/>
        </w:rPr>
        <w:t xml:space="preserve"> </w:t>
      </w:r>
    </w:p>
    <w:p w:rsidR="00687258" w:rsidRPr="00687258" w:rsidRDefault="00687258" w:rsidP="00687258">
      <w:pPr>
        <w:spacing w:line="276" w:lineRule="auto"/>
        <w:ind w:right="-518" w:firstLine="1701"/>
        <w:jc w:val="both"/>
        <w:rPr>
          <w:rFonts w:ascii="Arial" w:hAnsi="Arial" w:cs="Arial"/>
          <w:sz w:val="22"/>
          <w:szCs w:val="22"/>
          <w:lang w:val="es-ES_tradnl"/>
        </w:rPr>
      </w:pPr>
      <w:r w:rsidRPr="00687258">
        <w:rPr>
          <w:rFonts w:ascii="Arial" w:hAnsi="Arial" w:cs="Arial"/>
          <w:sz w:val="22"/>
          <w:szCs w:val="22"/>
        </w:rPr>
        <w:t xml:space="preserve">Consta de </w:t>
      </w:r>
      <w:r w:rsidRPr="00687258">
        <w:rPr>
          <w:rFonts w:ascii="Arial" w:hAnsi="Arial" w:cs="Arial"/>
          <w:bCs/>
          <w:sz w:val="22"/>
          <w:szCs w:val="22"/>
          <w:lang w:val="es-MX"/>
        </w:rPr>
        <w:t>seis artículos, que m</w:t>
      </w:r>
      <w:r w:rsidRPr="00687258">
        <w:rPr>
          <w:rFonts w:ascii="Arial" w:hAnsi="Arial" w:cs="Arial"/>
          <w:sz w:val="22"/>
          <w:szCs w:val="22"/>
          <w:lang w:val="es-ES_tradnl"/>
        </w:rPr>
        <w:t xml:space="preserve">odifican el decreto ley Nº 3.472, de 1980, que crea el Fondo de Garantía para Pequeños Empresarios, a objeto de crear  FOGAPE Chile Apoya, que durante doce meses permitirá otorgar créditos con garantía FOGAPE, bajo condiciones y requisitos más </w:t>
      </w:r>
      <w:r w:rsidR="00C90CFB">
        <w:rPr>
          <w:rFonts w:ascii="Arial" w:hAnsi="Arial" w:cs="Arial"/>
          <w:sz w:val="22"/>
          <w:szCs w:val="22"/>
          <w:lang w:val="es-ES_tradnl"/>
        </w:rPr>
        <w:t>favorables</w:t>
      </w:r>
      <w:r w:rsidRPr="00687258">
        <w:rPr>
          <w:rFonts w:ascii="Arial" w:hAnsi="Arial" w:cs="Arial"/>
          <w:sz w:val="22"/>
          <w:szCs w:val="22"/>
          <w:lang w:val="es-ES_tradnl"/>
        </w:rPr>
        <w:t xml:space="preserve"> que el FOGAPE tradicional.</w:t>
      </w:r>
    </w:p>
    <w:p w:rsidR="00687258" w:rsidRPr="00687258" w:rsidRDefault="00687258" w:rsidP="00687258">
      <w:pPr>
        <w:tabs>
          <w:tab w:val="left" w:pos="1701"/>
        </w:tabs>
        <w:spacing w:line="276" w:lineRule="auto"/>
        <w:ind w:right="-518"/>
        <w:jc w:val="both"/>
        <w:rPr>
          <w:rFonts w:ascii="Arial" w:hAnsi="Arial" w:cs="Arial"/>
          <w:sz w:val="22"/>
          <w:szCs w:val="22"/>
          <w:lang w:val="es-ES_tradnl"/>
        </w:rPr>
      </w:pPr>
    </w:p>
    <w:p w:rsidR="00687258" w:rsidRDefault="00687258" w:rsidP="00687258">
      <w:pPr>
        <w:tabs>
          <w:tab w:val="left" w:pos="1701"/>
        </w:tabs>
        <w:spacing w:line="276" w:lineRule="auto"/>
        <w:ind w:right="-518"/>
        <w:jc w:val="both"/>
        <w:rPr>
          <w:rFonts w:ascii="Arial" w:hAnsi="Arial" w:cs="Arial"/>
          <w:sz w:val="22"/>
          <w:szCs w:val="22"/>
          <w:lang w:val="es-ES_tradnl"/>
        </w:rPr>
      </w:pPr>
      <w:r w:rsidRPr="00687258">
        <w:rPr>
          <w:rFonts w:ascii="Arial" w:hAnsi="Arial" w:cs="Arial"/>
          <w:sz w:val="22"/>
          <w:szCs w:val="22"/>
          <w:lang w:val="es-ES_tradnl"/>
        </w:rPr>
        <w:tab/>
        <w:t>Asimismo, con el objeto de aliviar la carga de deuda tributaria de las MiPymes, el proyecto establece que éstas podrán pactar con los Servicios de Tesorería, excepcionalmente, convenios de pago con condiciones especiales, por impuestos adeudados que hayan vencido hasta el 31 de mayo de 2022.</w:t>
      </w:r>
    </w:p>
    <w:p w:rsidR="00C90CFB" w:rsidRDefault="00C90CFB" w:rsidP="00687258">
      <w:pPr>
        <w:tabs>
          <w:tab w:val="left" w:pos="1701"/>
        </w:tabs>
        <w:spacing w:line="276" w:lineRule="auto"/>
        <w:ind w:right="-518"/>
        <w:jc w:val="both"/>
        <w:rPr>
          <w:rFonts w:ascii="Arial" w:hAnsi="Arial" w:cs="Arial"/>
          <w:sz w:val="22"/>
          <w:szCs w:val="22"/>
          <w:lang w:val="es-ES_tradnl"/>
        </w:rPr>
      </w:pPr>
    </w:p>
    <w:p w:rsidR="00C90CFB" w:rsidRPr="00C90CFB" w:rsidRDefault="00C90CFB" w:rsidP="00C90CFB">
      <w:pPr>
        <w:tabs>
          <w:tab w:val="left" w:pos="1701"/>
        </w:tabs>
        <w:spacing w:line="276" w:lineRule="auto"/>
        <w:ind w:right="-518" w:firstLine="1701"/>
        <w:jc w:val="both"/>
        <w:rPr>
          <w:rFonts w:ascii="Arial" w:hAnsi="Arial" w:cs="Arial"/>
          <w:b/>
          <w:sz w:val="22"/>
          <w:szCs w:val="22"/>
          <w:lang w:val="es-ES_tradnl"/>
        </w:rPr>
      </w:pPr>
      <w:r w:rsidRPr="00C90CFB">
        <w:rPr>
          <w:rFonts w:ascii="Arial" w:hAnsi="Arial" w:cs="Arial"/>
          <w:b/>
          <w:sz w:val="22"/>
          <w:szCs w:val="22"/>
          <w:lang w:val="es-ES_tradnl"/>
        </w:rPr>
        <w:t>FOGAPE CHILE APOYA</w:t>
      </w:r>
    </w:p>
    <w:p w:rsidR="00687258" w:rsidRPr="00687258" w:rsidRDefault="00687258" w:rsidP="00687258">
      <w:pPr>
        <w:tabs>
          <w:tab w:val="left" w:pos="1701"/>
        </w:tabs>
        <w:spacing w:line="276" w:lineRule="auto"/>
        <w:ind w:right="-518"/>
        <w:jc w:val="both"/>
        <w:rPr>
          <w:rFonts w:ascii="Arial" w:hAnsi="Arial" w:cs="Arial"/>
          <w:sz w:val="22"/>
          <w:szCs w:val="22"/>
          <w:lang w:val="es-ES_tradnl"/>
        </w:rPr>
      </w:pPr>
      <w:r w:rsidRPr="00687258">
        <w:rPr>
          <w:rFonts w:ascii="Arial" w:hAnsi="Arial" w:cs="Arial"/>
          <w:sz w:val="22"/>
          <w:szCs w:val="22"/>
          <w:lang w:val="es-ES_tradnl"/>
        </w:rPr>
        <w:tab/>
        <w:t xml:space="preserve">1.- </w:t>
      </w:r>
      <w:r w:rsidR="00C90CFB">
        <w:rPr>
          <w:rFonts w:ascii="Arial" w:hAnsi="Arial" w:cs="Arial"/>
          <w:sz w:val="22"/>
          <w:szCs w:val="22"/>
          <w:lang w:val="es-ES_tradnl"/>
        </w:rPr>
        <w:t>To</w:t>
      </w:r>
      <w:r w:rsidRPr="00687258">
        <w:rPr>
          <w:rFonts w:ascii="Arial" w:hAnsi="Arial" w:cs="Arial"/>
          <w:sz w:val="22"/>
          <w:szCs w:val="22"/>
          <w:lang w:val="es-ES_tradnl"/>
        </w:rPr>
        <w:t>ma en consideración el diagnóstico expuesto y tiene por objeto entregar a las empresas que han tenido más dificultades económicas, créditos para inversión y capital de trabajo, además de refinanciamiento para los créditos adquiridos anteriormente, especialmente durante la pandemia.</w:t>
      </w:r>
    </w:p>
    <w:p w:rsidR="00687258" w:rsidRPr="00687258" w:rsidRDefault="00687258" w:rsidP="00687258">
      <w:pPr>
        <w:tabs>
          <w:tab w:val="left" w:pos="1701"/>
        </w:tabs>
        <w:spacing w:line="276" w:lineRule="auto"/>
        <w:ind w:right="-518"/>
        <w:jc w:val="both"/>
        <w:rPr>
          <w:rFonts w:ascii="Arial" w:hAnsi="Arial" w:cs="Arial"/>
          <w:sz w:val="22"/>
          <w:szCs w:val="22"/>
          <w:lang w:val="es-ES_tradnl"/>
        </w:rPr>
      </w:pPr>
    </w:p>
    <w:p w:rsidR="00687258" w:rsidRPr="00687258" w:rsidRDefault="00687258" w:rsidP="00687258">
      <w:pPr>
        <w:tabs>
          <w:tab w:val="left" w:pos="1701"/>
        </w:tabs>
        <w:spacing w:line="276" w:lineRule="auto"/>
        <w:ind w:right="-518"/>
        <w:jc w:val="both"/>
        <w:rPr>
          <w:rFonts w:ascii="Arial" w:hAnsi="Arial" w:cs="Arial"/>
          <w:sz w:val="22"/>
          <w:szCs w:val="22"/>
          <w:lang w:val="es-ES_tradnl"/>
        </w:rPr>
      </w:pPr>
      <w:r w:rsidRPr="00687258">
        <w:rPr>
          <w:rFonts w:ascii="Arial" w:hAnsi="Arial" w:cs="Arial"/>
          <w:sz w:val="22"/>
          <w:szCs w:val="22"/>
          <w:lang w:val="es-ES_tradnl"/>
        </w:rPr>
        <w:tab/>
      </w:r>
      <w:r w:rsidRPr="00687258">
        <w:rPr>
          <w:rFonts w:ascii="Arial" w:hAnsi="Arial" w:cs="Arial"/>
          <w:b/>
          <w:sz w:val="22"/>
          <w:szCs w:val="22"/>
          <w:lang w:val="es-ES_tradnl"/>
        </w:rPr>
        <w:t>a.</w:t>
      </w:r>
      <w:r w:rsidRPr="00687258">
        <w:rPr>
          <w:rFonts w:ascii="Arial" w:hAnsi="Arial" w:cs="Arial"/>
          <w:b/>
          <w:sz w:val="22"/>
          <w:szCs w:val="22"/>
          <w:lang w:val="es-ES_tradnl"/>
        </w:rPr>
        <w:tab/>
        <w:t>Financiamiento con foco en las empresas de menor tamaño</w:t>
      </w:r>
      <w:r w:rsidRPr="00687258">
        <w:rPr>
          <w:rFonts w:ascii="Arial" w:hAnsi="Arial" w:cs="Arial"/>
          <w:sz w:val="22"/>
          <w:szCs w:val="22"/>
          <w:lang w:val="es-ES_tradnl"/>
        </w:rPr>
        <w:t xml:space="preserve"> FOGAPE Chile Apoya considera un esquema de garantía con porcentajes de cobertura de hasta un 95%, para incentivar el otorgamiento de créditos a las empresas de menor tamaño.</w:t>
      </w:r>
    </w:p>
    <w:p w:rsidR="00687258" w:rsidRPr="00687258" w:rsidRDefault="00687258" w:rsidP="00687258">
      <w:pPr>
        <w:tabs>
          <w:tab w:val="left" w:pos="1701"/>
        </w:tabs>
        <w:spacing w:line="276" w:lineRule="auto"/>
        <w:ind w:right="-518"/>
        <w:jc w:val="both"/>
        <w:rPr>
          <w:rFonts w:ascii="Arial" w:hAnsi="Arial" w:cs="Arial"/>
          <w:sz w:val="22"/>
          <w:szCs w:val="22"/>
          <w:lang w:val="es-ES_tradnl"/>
        </w:rPr>
      </w:pPr>
      <w:r w:rsidRPr="00687258">
        <w:rPr>
          <w:rFonts w:ascii="Arial" w:hAnsi="Arial" w:cs="Arial"/>
          <w:sz w:val="22"/>
          <w:szCs w:val="22"/>
          <w:lang w:val="es-ES_tradnl"/>
        </w:rPr>
        <w:tab/>
        <w:t>Además, se establece un cambio en la licitación de garantías para que al menos el 70% de las garantías licitadas deban ser destinadas a empresas con ventas anuales inferiores a 25.000 UF, con un mínimo de un 30% para empresas con ventas anuales inferiores a 2.400 UF. De esta manera, los recursos llegarán a las empresas más pequeñas, que son aquellas que más lo necesitan.</w:t>
      </w:r>
    </w:p>
    <w:p w:rsidR="00687258" w:rsidRPr="00687258" w:rsidRDefault="00687258" w:rsidP="00687258">
      <w:pPr>
        <w:tabs>
          <w:tab w:val="left" w:pos="1701"/>
        </w:tabs>
        <w:spacing w:line="276" w:lineRule="auto"/>
        <w:ind w:right="-518"/>
        <w:jc w:val="both"/>
        <w:rPr>
          <w:rFonts w:ascii="Arial" w:hAnsi="Arial" w:cs="Arial"/>
          <w:sz w:val="22"/>
          <w:szCs w:val="22"/>
          <w:lang w:val="es-ES_tradnl"/>
        </w:rPr>
      </w:pPr>
    </w:p>
    <w:p w:rsidR="00687258" w:rsidRPr="00687258" w:rsidRDefault="00687258" w:rsidP="00687258">
      <w:pPr>
        <w:tabs>
          <w:tab w:val="left" w:pos="1701"/>
        </w:tabs>
        <w:spacing w:line="276" w:lineRule="auto"/>
        <w:ind w:right="-518"/>
        <w:jc w:val="both"/>
        <w:rPr>
          <w:rFonts w:ascii="Arial" w:hAnsi="Arial" w:cs="Arial"/>
          <w:b/>
          <w:sz w:val="22"/>
          <w:szCs w:val="22"/>
          <w:lang w:val="es-ES_tradnl"/>
        </w:rPr>
      </w:pPr>
      <w:r w:rsidRPr="00687258">
        <w:rPr>
          <w:rFonts w:ascii="Arial" w:hAnsi="Arial" w:cs="Arial"/>
          <w:sz w:val="22"/>
          <w:szCs w:val="22"/>
          <w:lang w:val="es-ES_tradnl"/>
        </w:rPr>
        <w:tab/>
      </w:r>
      <w:r w:rsidRPr="00687258">
        <w:rPr>
          <w:rFonts w:ascii="Arial" w:hAnsi="Arial" w:cs="Arial"/>
          <w:b/>
          <w:sz w:val="22"/>
          <w:szCs w:val="22"/>
          <w:lang w:val="es-ES_tradnl"/>
        </w:rPr>
        <w:t>b.</w:t>
      </w:r>
      <w:r w:rsidRPr="00687258">
        <w:rPr>
          <w:rFonts w:ascii="Arial" w:hAnsi="Arial" w:cs="Arial"/>
          <w:b/>
          <w:sz w:val="22"/>
          <w:szCs w:val="22"/>
          <w:lang w:val="es-ES_tradnl"/>
        </w:rPr>
        <w:tab/>
        <w:t xml:space="preserve">Contención del encarecimiento del crédito </w:t>
      </w:r>
    </w:p>
    <w:p w:rsidR="00687258" w:rsidRPr="00687258" w:rsidRDefault="00687258" w:rsidP="00687258">
      <w:pPr>
        <w:tabs>
          <w:tab w:val="left" w:pos="1701"/>
        </w:tabs>
        <w:spacing w:line="276" w:lineRule="auto"/>
        <w:ind w:right="-518"/>
        <w:jc w:val="both"/>
        <w:rPr>
          <w:rFonts w:ascii="Arial" w:hAnsi="Arial" w:cs="Arial"/>
          <w:sz w:val="22"/>
          <w:szCs w:val="22"/>
          <w:lang w:val="es-ES_tradnl"/>
        </w:rPr>
      </w:pPr>
      <w:r w:rsidRPr="00687258">
        <w:rPr>
          <w:rFonts w:ascii="Arial" w:hAnsi="Arial" w:cs="Arial"/>
          <w:sz w:val="22"/>
          <w:szCs w:val="22"/>
          <w:lang w:val="es-ES_tradnl"/>
        </w:rPr>
        <w:tab/>
        <w:t xml:space="preserve">La situación del sistema financiero es distinta al periodo en que se entregaron créditos de los últimos dos programas especiales de FOGAPE, siendo hoy la Tasa de Política Monetaria, en adelante “TPM”, notablemente superior. Esto repercute en un mayor costo de fondeo de las instituciones financieras y en mayores tasas en los créditos que se otorgan. Por lo anterior, el FOGAPE Chile Apoya considera una tasa máxima de TPM más el equivalente anual de una tasa de 0,6% mensual en esta ley, sin perjuicio de que se espera que éste comience a operar con una tasa menor que equivalga a la TPM con un 5% adicional, definida en el reglamento. </w:t>
      </w:r>
    </w:p>
    <w:p w:rsidR="00687258" w:rsidRPr="00687258" w:rsidRDefault="00687258" w:rsidP="00687258">
      <w:pPr>
        <w:tabs>
          <w:tab w:val="left" w:pos="1701"/>
        </w:tabs>
        <w:spacing w:line="276" w:lineRule="auto"/>
        <w:ind w:right="-518"/>
        <w:jc w:val="both"/>
        <w:rPr>
          <w:rFonts w:ascii="Arial" w:hAnsi="Arial" w:cs="Arial"/>
          <w:sz w:val="22"/>
          <w:szCs w:val="22"/>
          <w:lang w:val="es-ES_tradnl"/>
        </w:rPr>
      </w:pPr>
      <w:r w:rsidRPr="00687258">
        <w:rPr>
          <w:rFonts w:ascii="Arial" w:hAnsi="Arial" w:cs="Arial"/>
          <w:sz w:val="22"/>
          <w:szCs w:val="22"/>
          <w:lang w:val="es-ES_tradnl"/>
        </w:rPr>
        <w:tab/>
      </w:r>
    </w:p>
    <w:p w:rsidR="00687258" w:rsidRPr="00687258" w:rsidRDefault="00687258" w:rsidP="00687258">
      <w:pPr>
        <w:tabs>
          <w:tab w:val="left" w:pos="1701"/>
        </w:tabs>
        <w:spacing w:line="276" w:lineRule="auto"/>
        <w:ind w:right="-518"/>
        <w:jc w:val="both"/>
        <w:rPr>
          <w:rFonts w:ascii="Arial" w:hAnsi="Arial" w:cs="Arial"/>
          <w:b/>
          <w:sz w:val="22"/>
          <w:szCs w:val="22"/>
          <w:lang w:val="es-ES_tradnl"/>
        </w:rPr>
      </w:pPr>
      <w:r w:rsidRPr="00687258">
        <w:rPr>
          <w:rFonts w:ascii="Arial" w:hAnsi="Arial" w:cs="Arial"/>
          <w:sz w:val="22"/>
          <w:szCs w:val="22"/>
          <w:lang w:val="es-ES_tradnl"/>
        </w:rPr>
        <w:tab/>
      </w:r>
      <w:r w:rsidRPr="00687258">
        <w:rPr>
          <w:rFonts w:ascii="Arial" w:hAnsi="Arial" w:cs="Arial"/>
          <w:b/>
          <w:sz w:val="22"/>
          <w:szCs w:val="22"/>
          <w:lang w:val="es-ES_tradnl"/>
        </w:rPr>
        <w:t>c. Flexibilización de requisitos y mayores porcentajes de cobertura</w:t>
      </w:r>
    </w:p>
    <w:p w:rsidR="00687258" w:rsidRPr="00687258" w:rsidRDefault="00687258" w:rsidP="00687258">
      <w:pPr>
        <w:tabs>
          <w:tab w:val="left" w:pos="1701"/>
        </w:tabs>
        <w:spacing w:line="276" w:lineRule="auto"/>
        <w:ind w:right="-518"/>
        <w:jc w:val="both"/>
        <w:rPr>
          <w:rFonts w:ascii="Arial" w:hAnsi="Arial" w:cs="Arial"/>
          <w:sz w:val="22"/>
          <w:szCs w:val="22"/>
          <w:lang w:val="es-ES_tradnl"/>
        </w:rPr>
      </w:pPr>
      <w:r w:rsidRPr="00687258">
        <w:rPr>
          <w:rFonts w:ascii="Arial" w:hAnsi="Arial" w:cs="Arial"/>
          <w:sz w:val="22"/>
          <w:szCs w:val="22"/>
          <w:lang w:val="es-ES_tradnl"/>
        </w:rPr>
        <w:tab/>
        <w:t xml:space="preserve">Para compensar los efectos eventualmente restrictivos de la tasa propuesta y para facilitar el acceso a empresas que fueron rechazadas en los FOGAPE anteriores, FOGAPE Chile Apoya flexibilizará los requisitos de acceso y aumentará los porcentajes de garantía efectiva ofrecidos. </w:t>
      </w:r>
    </w:p>
    <w:p w:rsidR="00687258" w:rsidRPr="00687258" w:rsidRDefault="00687258" w:rsidP="00687258">
      <w:pPr>
        <w:tabs>
          <w:tab w:val="left" w:pos="1701"/>
        </w:tabs>
        <w:spacing w:line="276" w:lineRule="auto"/>
        <w:ind w:right="-518"/>
        <w:jc w:val="both"/>
        <w:rPr>
          <w:rFonts w:ascii="Arial" w:hAnsi="Arial" w:cs="Arial"/>
          <w:sz w:val="22"/>
          <w:szCs w:val="22"/>
          <w:lang w:val="es-ES_tradnl"/>
        </w:rPr>
      </w:pPr>
    </w:p>
    <w:p w:rsidR="00687258" w:rsidRPr="00687258" w:rsidRDefault="00687258" w:rsidP="00687258">
      <w:pPr>
        <w:tabs>
          <w:tab w:val="left" w:pos="1701"/>
        </w:tabs>
        <w:spacing w:line="276" w:lineRule="auto"/>
        <w:ind w:right="-518"/>
        <w:jc w:val="both"/>
        <w:rPr>
          <w:rFonts w:ascii="Arial" w:hAnsi="Arial" w:cs="Arial"/>
          <w:sz w:val="22"/>
          <w:szCs w:val="22"/>
          <w:lang w:val="es-ES_tradnl"/>
        </w:rPr>
      </w:pPr>
      <w:r w:rsidRPr="00687258">
        <w:rPr>
          <w:rFonts w:ascii="Arial" w:hAnsi="Arial" w:cs="Arial"/>
          <w:sz w:val="22"/>
          <w:szCs w:val="22"/>
          <w:lang w:val="es-ES_tradnl"/>
        </w:rPr>
        <w:tab/>
        <w:t xml:space="preserve">Así, se establece una cobertura de 95% para microempresas, 90% para pequeñas empresas y 85% para las empresas medianas. </w:t>
      </w:r>
    </w:p>
    <w:p w:rsidR="00687258" w:rsidRPr="00687258" w:rsidRDefault="00687258" w:rsidP="00687258">
      <w:pPr>
        <w:tabs>
          <w:tab w:val="left" w:pos="1701"/>
        </w:tabs>
        <w:spacing w:line="276" w:lineRule="auto"/>
        <w:ind w:right="-518"/>
        <w:jc w:val="both"/>
        <w:rPr>
          <w:rFonts w:ascii="Arial" w:hAnsi="Arial" w:cs="Arial"/>
          <w:sz w:val="22"/>
          <w:szCs w:val="22"/>
          <w:lang w:val="es-ES_tradnl"/>
        </w:rPr>
      </w:pPr>
    </w:p>
    <w:p w:rsidR="00687258" w:rsidRPr="00687258" w:rsidRDefault="00687258" w:rsidP="00687258">
      <w:pPr>
        <w:tabs>
          <w:tab w:val="left" w:pos="1701"/>
        </w:tabs>
        <w:spacing w:line="276" w:lineRule="auto"/>
        <w:ind w:right="-518"/>
        <w:jc w:val="both"/>
        <w:rPr>
          <w:rFonts w:ascii="Arial" w:hAnsi="Arial" w:cs="Arial"/>
          <w:sz w:val="22"/>
          <w:szCs w:val="22"/>
          <w:lang w:val="es-ES_tradnl"/>
        </w:rPr>
      </w:pPr>
      <w:r w:rsidRPr="00687258">
        <w:rPr>
          <w:rFonts w:ascii="Arial" w:hAnsi="Arial" w:cs="Arial"/>
          <w:sz w:val="22"/>
          <w:szCs w:val="22"/>
          <w:lang w:val="es-ES_tradnl"/>
        </w:rPr>
        <w:tab/>
        <w:t xml:space="preserve">Además, el reglamento respectivo disminuirá los requisitos de mora para el segmento de micro y pequeñas empresas. </w:t>
      </w:r>
    </w:p>
    <w:p w:rsidR="00687258" w:rsidRPr="00687258" w:rsidRDefault="00687258" w:rsidP="00687258">
      <w:pPr>
        <w:tabs>
          <w:tab w:val="left" w:pos="1701"/>
        </w:tabs>
        <w:spacing w:line="276" w:lineRule="auto"/>
        <w:ind w:right="-518"/>
        <w:jc w:val="both"/>
        <w:rPr>
          <w:rFonts w:ascii="Arial" w:hAnsi="Arial" w:cs="Arial"/>
          <w:sz w:val="22"/>
          <w:szCs w:val="22"/>
          <w:lang w:val="es-ES_tradnl"/>
        </w:rPr>
      </w:pPr>
    </w:p>
    <w:p w:rsidR="00687258" w:rsidRPr="00687258" w:rsidRDefault="00687258" w:rsidP="00687258">
      <w:pPr>
        <w:tabs>
          <w:tab w:val="left" w:pos="1701"/>
        </w:tabs>
        <w:spacing w:line="276" w:lineRule="auto"/>
        <w:ind w:right="-518"/>
        <w:jc w:val="both"/>
        <w:rPr>
          <w:rFonts w:ascii="Arial" w:hAnsi="Arial" w:cs="Arial"/>
          <w:sz w:val="22"/>
          <w:szCs w:val="22"/>
          <w:u w:val="single"/>
          <w:lang w:val="es-ES_tradnl"/>
        </w:rPr>
      </w:pPr>
      <w:r w:rsidRPr="00687258">
        <w:rPr>
          <w:rFonts w:ascii="Arial" w:hAnsi="Arial" w:cs="Arial"/>
          <w:sz w:val="22"/>
          <w:szCs w:val="22"/>
          <w:lang w:val="es-ES_tradnl"/>
        </w:rPr>
        <w:tab/>
        <w:t>2.</w:t>
      </w:r>
      <w:r w:rsidRPr="00687258">
        <w:rPr>
          <w:rFonts w:ascii="Arial" w:hAnsi="Arial" w:cs="Arial"/>
          <w:sz w:val="22"/>
          <w:szCs w:val="22"/>
          <w:lang w:val="es-ES_tradnl"/>
        </w:rPr>
        <w:tab/>
      </w:r>
      <w:r w:rsidRPr="00687258">
        <w:rPr>
          <w:rFonts w:ascii="Arial" w:hAnsi="Arial" w:cs="Arial"/>
          <w:sz w:val="22"/>
          <w:szCs w:val="22"/>
          <w:u w:val="single"/>
          <w:lang w:val="es-ES_tradnl"/>
        </w:rPr>
        <w:t>Condonación excepcional de intereses y multas por deudas tributarias y flexibilización de convenios de pago</w:t>
      </w:r>
    </w:p>
    <w:p w:rsidR="00687258" w:rsidRPr="00687258" w:rsidRDefault="00687258" w:rsidP="00687258">
      <w:pPr>
        <w:tabs>
          <w:tab w:val="left" w:pos="1701"/>
        </w:tabs>
        <w:spacing w:line="276" w:lineRule="auto"/>
        <w:ind w:right="-518"/>
        <w:jc w:val="both"/>
        <w:rPr>
          <w:rFonts w:ascii="Arial" w:hAnsi="Arial" w:cs="Arial"/>
          <w:sz w:val="22"/>
          <w:szCs w:val="22"/>
          <w:lang w:val="es-ES_tradnl"/>
        </w:rPr>
      </w:pPr>
    </w:p>
    <w:p w:rsidR="00687258" w:rsidRPr="00687258" w:rsidRDefault="00687258" w:rsidP="00687258">
      <w:pPr>
        <w:tabs>
          <w:tab w:val="left" w:pos="1701"/>
        </w:tabs>
        <w:spacing w:line="276" w:lineRule="auto"/>
        <w:ind w:right="-518"/>
        <w:jc w:val="both"/>
        <w:rPr>
          <w:rFonts w:ascii="Arial" w:hAnsi="Arial" w:cs="Arial"/>
          <w:sz w:val="22"/>
          <w:szCs w:val="22"/>
          <w:lang w:val="es-ES_tradnl"/>
        </w:rPr>
      </w:pPr>
      <w:r w:rsidRPr="00687258">
        <w:rPr>
          <w:rFonts w:ascii="Arial" w:hAnsi="Arial" w:cs="Arial"/>
          <w:sz w:val="22"/>
          <w:szCs w:val="22"/>
          <w:lang w:val="es-ES_tradnl"/>
        </w:rPr>
        <w:tab/>
        <w:t>En segundo lugar, el presente proyecto de ley faculta al Servicio de Tesorería para suscribir, de forma excepcional, hasta el 31 de diciembre de 2022, convenios de pago por impuestos adeudados hasta el 31 de mayo de 2022. Las condiciones especiales de estos convenios son las siguientes:</w:t>
      </w:r>
    </w:p>
    <w:p w:rsidR="00687258" w:rsidRPr="00687258" w:rsidRDefault="00687258" w:rsidP="00687258">
      <w:pPr>
        <w:spacing w:line="276" w:lineRule="auto"/>
        <w:ind w:right="-518"/>
        <w:jc w:val="both"/>
        <w:rPr>
          <w:rFonts w:ascii="Arial" w:hAnsi="Arial" w:cs="Arial"/>
          <w:sz w:val="22"/>
          <w:szCs w:val="22"/>
          <w:lang w:val="es-ES_tradnl"/>
        </w:rPr>
      </w:pPr>
    </w:p>
    <w:p w:rsidR="00687258" w:rsidRPr="00687258" w:rsidRDefault="00687258" w:rsidP="00687258">
      <w:pPr>
        <w:spacing w:line="276" w:lineRule="auto"/>
        <w:ind w:right="-518"/>
        <w:jc w:val="both"/>
        <w:rPr>
          <w:rFonts w:ascii="Arial" w:hAnsi="Arial" w:cs="Arial"/>
          <w:sz w:val="22"/>
          <w:szCs w:val="22"/>
          <w:lang w:val="es-ES_tradnl"/>
        </w:rPr>
      </w:pPr>
      <w:r w:rsidRPr="00687258">
        <w:rPr>
          <w:rFonts w:ascii="Arial" w:hAnsi="Arial" w:cs="Arial"/>
          <w:sz w:val="22"/>
          <w:szCs w:val="22"/>
          <w:lang w:val="es-ES_tradnl"/>
        </w:rPr>
        <w:t>a.</w:t>
      </w:r>
      <w:r w:rsidRPr="00687258">
        <w:rPr>
          <w:rFonts w:ascii="Arial" w:hAnsi="Arial" w:cs="Arial"/>
          <w:sz w:val="22"/>
          <w:szCs w:val="22"/>
          <w:lang w:val="es-ES_tradnl"/>
        </w:rPr>
        <w:tab/>
        <w:t xml:space="preserve">Los convenios podrán celebrarse hasta por 48 cuotas. </w:t>
      </w:r>
    </w:p>
    <w:p w:rsidR="00687258" w:rsidRPr="00687258" w:rsidRDefault="00687258" w:rsidP="00687258">
      <w:pPr>
        <w:spacing w:line="276" w:lineRule="auto"/>
        <w:ind w:right="-518"/>
        <w:jc w:val="both"/>
        <w:rPr>
          <w:rFonts w:ascii="Arial" w:hAnsi="Arial" w:cs="Arial"/>
          <w:sz w:val="22"/>
          <w:szCs w:val="22"/>
          <w:lang w:val="es-ES_tradnl"/>
        </w:rPr>
      </w:pPr>
    </w:p>
    <w:p w:rsidR="00687258" w:rsidRPr="00687258" w:rsidRDefault="00687258" w:rsidP="00687258">
      <w:pPr>
        <w:spacing w:line="276" w:lineRule="auto"/>
        <w:ind w:right="-518"/>
        <w:jc w:val="both"/>
        <w:rPr>
          <w:rFonts w:ascii="Arial" w:hAnsi="Arial" w:cs="Arial"/>
          <w:sz w:val="22"/>
          <w:szCs w:val="22"/>
          <w:lang w:val="es-ES_tradnl"/>
        </w:rPr>
      </w:pPr>
      <w:r w:rsidRPr="00687258">
        <w:rPr>
          <w:rFonts w:ascii="Arial" w:hAnsi="Arial" w:cs="Arial"/>
          <w:sz w:val="22"/>
          <w:szCs w:val="22"/>
          <w:lang w:val="es-ES_tradnl"/>
        </w:rPr>
        <w:t>b.</w:t>
      </w:r>
      <w:r w:rsidRPr="00687258">
        <w:rPr>
          <w:rFonts w:ascii="Arial" w:hAnsi="Arial" w:cs="Arial"/>
          <w:sz w:val="22"/>
          <w:szCs w:val="22"/>
          <w:lang w:val="es-ES_tradnl"/>
        </w:rPr>
        <w:tab/>
        <w:t>Los convenios no exigirán un pago inicial mínimo, cuando contemplen impuestos vencidos entre el 31 de octubre de 2019 y el 31 de mayo de 2022.</w:t>
      </w:r>
    </w:p>
    <w:p w:rsidR="00687258" w:rsidRPr="00687258" w:rsidRDefault="00687258" w:rsidP="00687258">
      <w:pPr>
        <w:spacing w:line="276" w:lineRule="auto"/>
        <w:ind w:right="-518"/>
        <w:jc w:val="both"/>
        <w:rPr>
          <w:rFonts w:ascii="Arial" w:hAnsi="Arial" w:cs="Arial"/>
          <w:sz w:val="22"/>
          <w:szCs w:val="22"/>
          <w:lang w:val="es-ES_tradnl"/>
        </w:rPr>
      </w:pPr>
    </w:p>
    <w:p w:rsidR="00687258" w:rsidRPr="00687258" w:rsidRDefault="00687258" w:rsidP="00687258">
      <w:pPr>
        <w:spacing w:line="276" w:lineRule="auto"/>
        <w:ind w:right="-518"/>
        <w:jc w:val="both"/>
        <w:rPr>
          <w:rFonts w:ascii="Arial" w:hAnsi="Arial" w:cs="Arial"/>
          <w:sz w:val="22"/>
          <w:szCs w:val="22"/>
          <w:lang w:val="es-ES_tradnl"/>
        </w:rPr>
      </w:pPr>
      <w:r w:rsidRPr="00687258">
        <w:rPr>
          <w:rFonts w:ascii="Arial" w:hAnsi="Arial" w:cs="Arial"/>
          <w:sz w:val="22"/>
          <w:szCs w:val="22"/>
          <w:lang w:val="es-ES_tradnl"/>
        </w:rPr>
        <w:t>c.</w:t>
      </w:r>
      <w:r w:rsidRPr="00687258">
        <w:rPr>
          <w:rFonts w:ascii="Arial" w:hAnsi="Arial" w:cs="Arial"/>
          <w:sz w:val="22"/>
          <w:szCs w:val="22"/>
          <w:lang w:val="es-ES_tradnl"/>
        </w:rPr>
        <w:tab/>
        <w:t>La celebración de los convenios implicará la condonación total de los intereses y sanciones por la mora en el pago de los impuestos adeudados.</w:t>
      </w:r>
    </w:p>
    <w:p w:rsidR="00687258" w:rsidRPr="00687258" w:rsidRDefault="00687258" w:rsidP="00687258">
      <w:pPr>
        <w:spacing w:line="276" w:lineRule="auto"/>
        <w:ind w:right="-518"/>
        <w:jc w:val="both"/>
        <w:rPr>
          <w:rFonts w:ascii="Arial" w:hAnsi="Arial" w:cs="Arial"/>
          <w:sz w:val="22"/>
          <w:szCs w:val="22"/>
          <w:lang w:val="es-ES_tradnl"/>
        </w:rPr>
      </w:pPr>
    </w:p>
    <w:p w:rsidR="00687258" w:rsidRPr="00687258" w:rsidRDefault="00687258" w:rsidP="00687258">
      <w:pPr>
        <w:spacing w:line="276" w:lineRule="auto"/>
        <w:ind w:right="-518"/>
        <w:jc w:val="both"/>
        <w:rPr>
          <w:rFonts w:ascii="Arial" w:hAnsi="Arial" w:cs="Arial"/>
          <w:sz w:val="22"/>
          <w:szCs w:val="22"/>
          <w:lang w:val="es-ES_tradnl"/>
        </w:rPr>
      </w:pPr>
      <w:r w:rsidRPr="00687258">
        <w:rPr>
          <w:rFonts w:ascii="Arial" w:hAnsi="Arial" w:cs="Arial"/>
          <w:sz w:val="22"/>
          <w:szCs w:val="22"/>
          <w:lang w:val="es-ES_tradnl"/>
        </w:rPr>
        <w:t>d.</w:t>
      </w:r>
      <w:r w:rsidRPr="00687258">
        <w:rPr>
          <w:rFonts w:ascii="Arial" w:hAnsi="Arial" w:cs="Arial"/>
          <w:sz w:val="22"/>
          <w:szCs w:val="22"/>
          <w:lang w:val="es-ES_tradnl"/>
        </w:rPr>
        <w:tab/>
        <w:t>Los convenios no generarán intereses y sanciones mientras el deudor se encuentre cumpliendo y mantenga vigente su convenio de pago.</w:t>
      </w:r>
    </w:p>
    <w:p w:rsidR="00687258" w:rsidRPr="00687258" w:rsidRDefault="00687258" w:rsidP="00687258">
      <w:pPr>
        <w:spacing w:line="276" w:lineRule="auto"/>
        <w:ind w:right="-518"/>
        <w:jc w:val="both"/>
        <w:rPr>
          <w:rFonts w:ascii="Arial" w:hAnsi="Arial" w:cs="Arial"/>
          <w:sz w:val="22"/>
          <w:szCs w:val="22"/>
          <w:lang w:val="es-ES_tradnl"/>
        </w:rPr>
      </w:pPr>
    </w:p>
    <w:p w:rsidR="00687258" w:rsidRPr="00687258" w:rsidRDefault="00687258" w:rsidP="00687258">
      <w:pPr>
        <w:spacing w:line="276" w:lineRule="auto"/>
        <w:ind w:right="-518"/>
        <w:jc w:val="both"/>
        <w:rPr>
          <w:rFonts w:ascii="Arial" w:hAnsi="Arial" w:cs="Arial"/>
          <w:b/>
          <w:sz w:val="22"/>
          <w:szCs w:val="22"/>
          <w:lang w:val="es-ES_tradnl"/>
        </w:rPr>
      </w:pPr>
      <w:r w:rsidRPr="00687258">
        <w:rPr>
          <w:rFonts w:ascii="Arial" w:hAnsi="Arial" w:cs="Arial"/>
          <w:b/>
          <w:sz w:val="22"/>
          <w:szCs w:val="22"/>
          <w:lang w:val="es-ES_tradnl"/>
        </w:rPr>
        <w:t>III.-MODIFICACIONES EFECTUADAS AL TEXTO PROPUESTO POR EL EJECUTIVO EN LA COMISIÓN TÉCNICA</w:t>
      </w:r>
    </w:p>
    <w:p w:rsidR="00687258" w:rsidRPr="00687258" w:rsidRDefault="00687258" w:rsidP="00687258">
      <w:pPr>
        <w:spacing w:line="276" w:lineRule="auto"/>
        <w:ind w:right="-518" w:firstLine="1701"/>
        <w:jc w:val="both"/>
        <w:rPr>
          <w:rFonts w:ascii="Arial" w:hAnsi="Arial" w:cs="Arial"/>
          <w:b/>
          <w:sz w:val="22"/>
          <w:szCs w:val="22"/>
          <w:lang w:val="es-ES_tradnl"/>
        </w:rPr>
      </w:pPr>
      <w:r w:rsidRPr="00687258">
        <w:rPr>
          <w:rFonts w:ascii="Arial" w:hAnsi="Arial" w:cs="Arial"/>
          <w:b/>
          <w:sz w:val="22"/>
          <w:szCs w:val="22"/>
          <w:lang w:val="es-ES_tradnl"/>
        </w:rPr>
        <w:tab/>
      </w:r>
    </w:p>
    <w:p w:rsidR="00687258" w:rsidRPr="00687258" w:rsidRDefault="00687258" w:rsidP="00687258">
      <w:pPr>
        <w:spacing w:line="276" w:lineRule="auto"/>
        <w:ind w:right="-518" w:firstLine="1701"/>
        <w:jc w:val="both"/>
        <w:rPr>
          <w:rFonts w:ascii="Arial" w:hAnsi="Arial" w:cs="Arial"/>
          <w:b/>
          <w:sz w:val="22"/>
          <w:szCs w:val="22"/>
          <w:lang w:val="es-ES_tradnl"/>
        </w:rPr>
      </w:pPr>
      <w:r w:rsidRPr="00687258">
        <w:rPr>
          <w:rFonts w:ascii="Arial" w:hAnsi="Arial" w:cs="Arial"/>
          <w:b/>
          <w:sz w:val="22"/>
          <w:szCs w:val="22"/>
          <w:lang w:val="es-ES_tradnl"/>
        </w:rPr>
        <w:t>1.- En el numeral 5 del artículo primero, que agrega un artículo noveno transitorio</w:t>
      </w:r>
      <w:r w:rsidRPr="00687258">
        <w:rPr>
          <w:rFonts w:ascii="Arial" w:hAnsi="Arial" w:cs="Arial"/>
          <w:sz w:val="22"/>
          <w:szCs w:val="22"/>
          <w:lang w:val="es-ES_tradnl"/>
        </w:rPr>
        <w:t xml:space="preserve"> en el decreto ley Nº 3.472, de 1980, que crea el Fondo de Garantía para Pequeños Empresarios, a objeto de crear  FOGAPE Chile Apoya, mediante una indicación parlamentaria, se agregaron los siguientes incisos:</w:t>
      </w:r>
    </w:p>
    <w:p w:rsidR="00687258" w:rsidRPr="00687258" w:rsidRDefault="00687258" w:rsidP="00687258">
      <w:pPr>
        <w:spacing w:line="276" w:lineRule="auto"/>
        <w:ind w:right="-518" w:firstLine="1701"/>
        <w:jc w:val="both"/>
        <w:rPr>
          <w:rFonts w:ascii="Arial" w:hAnsi="Arial" w:cs="Arial"/>
          <w:sz w:val="22"/>
          <w:szCs w:val="22"/>
          <w:lang w:val="es-MX"/>
        </w:rPr>
      </w:pPr>
    </w:p>
    <w:p w:rsidR="00687258" w:rsidRPr="00687258" w:rsidRDefault="00687258" w:rsidP="00687258">
      <w:pPr>
        <w:spacing w:line="276" w:lineRule="auto"/>
        <w:ind w:right="-518" w:firstLine="1701"/>
        <w:jc w:val="both"/>
        <w:rPr>
          <w:rFonts w:ascii="Arial" w:hAnsi="Arial" w:cs="Arial"/>
          <w:sz w:val="22"/>
          <w:szCs w:val="22"/>
          <w:lang w:val="es-MX"/>
        </w:rPr>
      </w:pPr>
      <w:r w:rsidRPr="00687258">
        <w:rPr>
          <w:rFonts w:ascii="Arial" w:hAnsi="Arial" w:cs="Arial"/>
          <w:sz w:val="22"/>
          <w:szCs w:val="22"/>
          <w:lang w:val="es-MX"/>
        </w:rPr>
        <w:t>“Una vez entrada en vigencia la presente ley, el Ministerio de Hacienda entregará a la Comisión de Hacienda de la Cámara de Diputados y a la Comisión de Hacienda del Senado, mensualmente, junto a la Comisión para el Mercado Financiero, la información que reciba de parte del Fondo de Garantía para Pequeños y Medianos Empresarios, respecto de su ejecución. Del mismo modo, mensualmente, elaborará un reporte con la información consolidada del período, la que será enviada a las mismas comisiones.</w:t>
      </w:r>
    </w:p>
    <w:p w:rsidR="00687258" w:rsidRPr="00687258" w:rsidRDefault="00687258" w:rsidP="00687258">
      <w:pPr>
        <w:spacing w:line="276" w:lineRule="auto"/>
        <w:ind w:right="-518"/>
        <w:jc w:val="both"/>
        <w:rPr>
          <w:rFonts w:ascii="Arial" w:hAnsi="Arial" w:cs="Arial"/>
          <w:sz w:val="22"/>
          <w:szCs w:val="22"/>
          <w:lang w:val="es-MX"/>
        </w:rPr>
      </w:pPr>
    </w:p>
    <w:p w:rsidR="00687258" w:rsidRPr="00687258" w:rsidRDefault="00687258" w:rsidP="00687258">
      <w:pPr>
        <w:spacing w:line="276" w:lineRule="auto"/>
        <w:ind w:right="-518" w:firstLine="1701"/>
        <w:jc w:val="both"/>
        <w:rPr>
          <w:rFonts w:ascii="Arial" w:hAnsi="Arial" w:cs="Arial"/>
          <w:sz w:val="22"/>
          <w:szCs w:val="22"/>
          <w:lang w:val="es-MX"/>
        </w:rPr>
      </w:pPr>
      <w:r w:rsidRPr="00687258">
        <w:rPr>
          <w:rFonts w:ascii="Arial" w:hAnsi="Arial" w:cs="Arial"/>
          <w:sz w:val="22"/>
          <w:szCs w:val="22"/>
          <w:lang w:val="es-MX"/>
        </w:rPr>
        <w:t>Durante la vigencia del FOGAPE Chile Apoya, el Ministerio de Hacienda y el administrador del FOGAPE expondrán, mensualmente, ante las comisiones de Hacienda de cada Cámara, un informe acerca del funcionamiento del Fondo, el que contendrá, al menos, los datos sobre el destino de los recursos y los criterios de asignación a las empresas clasificadas por tamaño y diferenciadas por ventas anuales en unidades de fomento, así como los montos, plazos y tasas promedio de los créditos garantizados.</w:t>
      </w:r>
    </w:p>
    <w:p w:rsidR="00687258" w:rsidRPr="00687258" w:rsidRDefault="00687258" w:rsidP="00687258">
      <w:pPr>
        <w:spacing w:line="276" w:lineRule="auto"/>
        <w:ind w:right="-518" w:firstLine="1701"/>
        <w:jc w:val="both"/>
        <w:rPr>
          <w:rFonts w:ascii="Arial" w:hAnsi="Arial" w:cs="Arial"/>
          <w:sz w:val="22"/>
          <w:szCs w:val="22"/>
          <w:lang w:val="es-MX"/>
        </w:rPr>
      </w:pPr>
    </w:p>
    <w:p w:rsidR="00687258" w:rsidRPr="00687258" w:rsidRDefault="00687258" w:rsidP="00687258">
      <w:pPr>
        <w:spacing w:line="276" w:lineRule="auto"/>
        <w:ind w:right="-518" w:firstLine="1701"/>
        <w:jc w:val="both"/>
        <w:rPr>
          <w:rFonts w:ascii="Arial" w:hAnsi="Arial" w:cs="Arial"/>
          <w:sz w:val="22"/>
          <w:szCs w:val="22"/>
          <w:lang w:val="es-MX"/>
        </w:rPr>
      </w:pPr>
      <w:r w:rsidRPr="00687258">
        <w:rPr>
          <w:rFonts w:ascii="Arial" w:hAnsi="Arial" w:cs="Arial"/>
          <w:sz w:val="22"/>
          <w:szCs w:val="22"/>
          <w:lang w:val="es-MX"/>
        </w:rPr>
        <w:t>La información a la que se refiere el inciso anterior deberá ser remitida, además, a la Comisión de Economía de la Cámara de Diputados y a la Comisión de Economía del Senado, mensualmente.</w:t>
      </w:r>
    </w:p>
    <w:p w:rsidR="00687258" w:rsidRPr="00687258" w:rsidRDefault="00687258" w:rsidP="00687258">
      <w:pPr>
        <w:spacing w:line="276" w:lineRule="auto"/>
        <w:ind w:right="-518" w:firstLine="1701"/>
        <w:jc w:val="both"/>
        <w:rPr>
          <w:rFonts w:ascii="Arial" w:hAnsi="Arial" w:cs="Arial"/>
          <w:sz w:val="22"/>
          <w:szCs w:val="22"/>
          <w:lang w:val="es-MX"/>
        </w:rPr>
      </w:pPr>
    </w:p>
    <w:p w:rsidR="00687258" w:rsidRPr="00687258" w:rsidRDefault="00687258" w:rsidP="00687258">
      <w:pPr>
        <w:spacing w:line="276" w:lineRule="auto"/>
        <w:ind w:right="-518" w:firstLine="1701"/>
        <w:jc w:val="both"/>
        <w:rPr>
          <w:rFonts w:ascii="Arial" w:hAnsi="Arial" w:cs="Arial"/>
          <w:sz w:val="22"/>
          <w:szCs w:val="22"/>
          <w:lang w:val="es-MX"/>
        </w:rPr>
      </w:pPr>
      <w:r w:rsidRPr="00687258">
        <w:rPr>
          <w:rFonts w:ascii="Arial" w:hAnsi="Arial" w:cs="Arial"/>
          <w:sz w:val="22"/>
          <w:szCs w:val="22"/>
          <w:lang w:val="es-MX"/>
        </w:rPr>
        <w:t>Una vez dictado el reglamento FOGAPE Chile Apoya a que se refiere este artículo, el Ministerio de Hacienda expondrá ante las comisiones de Hacienda y Economía de la Cámara de Diputados y el Senado acerca de su contenido.".</w:t>
      </w:r>
    </w:p>
    <w:p w:rsidR="00687258" w:rsidRPr="00687258" w:rsidRDefault="00687258" w:rsidP="00687258">
      <w:pPr>
        <w:spacing w:line="276" w:lineRule="auto"/>
        <w:ind w:right="-518"/>
        <w:jc w:val="both"/>
        <w:rPr>
          <w:rFonts w:ascii="Arial" w:hAnsi="Arial" w:cs="Arial"/>
          <w:sz w:val="22"/>
          <w:szCs w:val="22"/>
          <w:lang w:val="es-MX"/>
        </w:rPr>
      </w:pPr>
    </w:p>
    <w:p w:rsidR="00687258" w:rsidRPr="00687258" w:rsidRDefault="00687258" w:rsidP="00687258">
      <w:pPr>
        <w:spacing w:line="276" w:lineRule="auto"/>
        <w:ind w:right="-518" w:firstLine="1701"/>
        <w:jc w:val="both"/>
        <w:rPr>
          <w:rFonts w:ascii="Arial" w:hAnsi="Arial" w:cs="Arial"/>
          <w:sz w:val="22"/>
          <w:szCs w:val="22"/>
          <w:lang w:val="es-ES_tradnl"/>
        </w:rPr>
      </w:pPr>
      <w:r w:rsidRPr="00687258">
        <w:rPr>
          <w:rFonts w:ascii="Arial" w:hAnsi="Arial" w:cs="Arial"/>
          <w:b/>
          <w:sz w:val="22"/>
          <w:szCs w:val="22"/>
          <w:lang w:val="es-MX"/>
        </w:rPr>
        <w:t>2.-</w:t>
      </w:r>
      <w:r w:rsidRPr="00687258">
        <w:rPr>
          <w:rFonts w:ascii="Arial" w:hAnsi="Arial" w:cs="Arial"/>
          <w:b/>
          <w:sz w:val="22"/>
          <w:szCs w:val="22"/>
          <w:lang w:val="es-ES_tradnl"/>
        </w:rPr>
        <w:t xml:space="preserve"> En el inciso cuarto del artículo sexto, se eliminó  la frase “dentro de las cuales se contemplará el incumplimiento de convenios de pago anteriormente celebrados”, </w:t>
      </w:r>
      <w:r w:rsidRPr="00687258">
        <w:rPr>
          <w:rFonts w:ascii="Arial" w:hAnsi="Arial" w:cs="Arial"/>
          <w:sz w:val="22"/>
          <w:szCs w:val="22"/>
          <w:lang w:val="es-ES_tradnl"/>
        </w:rPr>
        <w:t>mediante una indicación parlamentaria, referida al procedimiento que deberá adoptar d</w:t>
      </w:r>
      <w:r w:rsidRPr="00687258">
        <w:rPr>
          <w:rFonts w:ascii="Arial" w:hAnsi="Arial" w:cs="Arial"/>
          <w:sz w:val="22"/>
          <w:szCs w:val="22"/>
        </w:rPr>
        <w:t>esde la fecha de publicación de esta ley en el Diario Oficial y hasta el 31 de diciembre de 2022, el Servicio de Tesorerías respecto de las  facilidades de hasta cuarenta y ocho meses, para el pago en cuotas periódicas, mensuales y sucesivas, de los impuestos adeudados.</w:t>
      </w:r>
    </w:p>
    <w:p w:rsidR="00687258" w:rsidRPr="00687258" w:rsidRDefault="00687258" w:rsidP="00687258">
      <w:pPr>
        <w:spacing w:line="276" w:lineRule="auto"/>
        <w:ind w:right="-518" w:firstLine="1701"/>
        <w:jc w:val="both"/>
        <w:rPr>
          <w:rFonts w:ascii="Arial" w:hAnsi="Arial" w:cs="Arial"/>
          <w:sz w:val="22"/>
          <w:szCs w:val="22"/>
          <w:lang w:val="es-ES_tradnl"/>
        </w:rPr>
      </w:pPr>
      <w:r w:rsidRPr="00687258">
        <w:rPr>
          <w:rFonts w:ascii="Arial" w:hAnsi="Arial" w:cs="Arial"/>
          <w:sz w:val="22"/>
          <w:szCs w:val="22"/>
          <w:lang w:val="es-ES_tradnl"/>
        </w:rPr>
        <w:t xml:space="preserve">“El Servicio de Tesorerías regulará, mediante instrucciones internas, las reglas generales y uniformes para la aplicación de los beneficios establecidos en este artículo, y las situaciones excepcionales en que éstas no procederán por razones fundadas, </w:t>
      </w:r>
      <w:r w:rsidRPr="00687258">
        <w:rPr>
          <w:rFonts w:ascii="Arial" w:hAnsi="Arial" w:cs="Arial"/>
          <w:b/>
          <w:sz w:val="22"/>
          <w:szCs w:val="22"/>
          <w:lang w:val="es-ES_tradnl"/>
        </w:rPr>
        <w:t>dentro de las cuales se contemplará el incumplimiento de convenios de pago anteriormente celebrados.</w:t>
      </w:r>
    </w:p>
    <w:p w:rsidR="00687258" w:rsidRPr="00687258" w:rsidRDefault="00687258" w:rsidP="00687258">
      <w:pPr>
        <w:spacing w:line="276" w:lineRule="auto"/>
        <w:ind w:right="-518"/>
        <w:jc w:val="both"/>
        <w:rPr>
          <w:rFonts w:ascii="Arial" w:hAnsi="Arial" w:cs="Arial"/>
          <w:sz w:val="22"/>
          <w:szCs w:val="22"/>
          <w:lang w:val="es-MX"/>
        </w:rPr>
      </w:pPr>
    </w:p>
    <w:p w:rsidR="00687258" w:rsidRPr="00687258" w:rsidRDefault="00687258" w:rsidP="00687258">
      <w:pPr>
        <w:pStyle w:val="Sinespaciado"/>
        <w:spacing w:line="276" w:lineRule="auto"/>
        <w:ind w:right="-518" w:firstLine="1701"/>
        <w:jc w:val="both"/>
        <w:rPr>
          <w:rFonts w:ascii="Arial" w:hAnsi="Arial" w:cs="Arial"/>
          <w:bCs/>
        </w:rPr>
      </w:pPr>
    </w:p>
    <w:p w:rsidR="00687258" w:rsidRPr="00687258" w:rsidRDefault="00687258" w:rsidP="00687258">
      <w:pPr>
        <w:pStyle w:val="Sinespaciado"/>
        <w:spacing w:line="276" w:lineRule="auto"/>
        <w:ind w:right="-518"/>
        <w:jc w:val="both"/>
        <w:rPr>
          <w:rFonts w:ascii="Arial" w:hAnsi="Arial" w:cs="Arial"/>
          <w:b/>
          <w:bCs/>
        </w:rPr>
      </w:pPr>
      <w:r w:rsidRPr="00687258">
        <w:rPr>
          <w:rFonts w:ascii="Arial" w:hAnsi="Arial" w:cs="Arial"/>
          <w:b/>
          <w:bCs/>
        </w:rPr>
        <w:t>IV.-INCIDENCIA FINANCIERA O PRESUPUESTARIA DEL ESTADO</w:t>
      </w:r>
    </w:p>
    <w:p w:rsidR="00687258" w:rsidRDefault="00687258" w:rsidP="00687258">
      <w:pPr>
        <w:pStyle w:val="Sinespaciado"/>
        <w:spacing w:line="276" w:lineRule="auto"/>
        <w:ind w:right="-518" w:firstLine="1701"/>
        <w:rPr>
          <w:rFonts w:ascii="Arial" w:hAnsi="Arial" w:cs="Arial"/>
          <w:bCs/>
        </w:rPr>
      </w:pPr>
    </w:p>
    <w:p w:rsidR="00603226" w:rsidRPr="00603226" w:rsidRDefault="00603226" w:rsidP="00687258">
      <w:pPr>
        <w:pStyle w:val="Sinespaciado"/>
        <w:spacing w:line="276" w:lineRule="auto"/>
        <w:ind w:right="-518" w:firstLine="1701"/>
        <w:rPr>
          <w:rFonts w:ascii="Arial" w:hAnsi="Arial" w:cs="Arial"/>
          <w:b/>
          <w:bCs/>
        </w:rPr>
      </w:pPr>
      <w:r w:rsidRPr="00603226">
        <w:rPr>
          <w:rFonts w:ascii="Arial" w:hAnsi="Arial" w:cs="Arial"/>
          <w:b/>
          <w:bCs/>
        </w:rPr>
        <w:t>Primer informe financiero</w:t>
      </w:r>
    </w:p>
    <w:p w:rsidR="00687258" w:rsidRPr="00687258" w:rsidRDefault="00687258" w:rsidP="00687258">
      <w:pPr>
        <w:pStyle w:val="Sinespaciado"/>
        <w:spacing w:line="276" w:lineRule="auto"/>
        <w:ind w:right="-518" w:firstLine="1701"/>
        <w:jc w:val="both"/>
        <w:rPr>
          <w:rFonts w:ascii="Arial" w:hAnsi="Arial" w:cs="Arial"/>
          <w:lang w:val="es-ES"/>
        </w:rPr>
      </w:pPr>
      <w:r w:rsidRPr="00687258">
        <w:rPr>
          <w:rFonts w:ascii="Arial" w:hAnsi="Arial" w:cs="Arial"/>
          <w:bCs/>
        </w:rPr>
        <w:t xml:space="preserve">El informe Financiero N°125 de 8 de agosto del año en curso, ingresado con el Mensaje concluye que el proyecto de ley </w:t>
      </w:r>
      <w:r w:rsidRPr="00687258">
        <w:rPr>
          <w:rFonts w:ascii="Arial" w:hAnsi="Arial" w:cs="Arial"/>
          <w:lang w:val="es-ES"/>
        </w:rPr>
        <w:t>propone las siguientes medidas de apoyo a las MiPymes:</w:t>
      </w:r>
    </w:p>
    <w:p w:rsidR="00687258" w:rsidRPr="00687258" w:rsidRDefault="00687258" w:rsidP="00687258">
      <w:pPr>
        <w:pStyle w:val="Textoindependiente"/>
        <w:tabs>
          <w:tab w:val="left" w:pos="567"/>
        </w:tabs>
        <w:spacing w:after="120" w:line="276" w:lineRule="auto"/>
        <w:ind w:right="-518" w:firstLine="1701"/>
        <w:jc w:val="both"/>
        <w:rPr>
          <w:rFonts w:eastAsia="Calibri"/>
          <w:bCs/>
          <w:szCs w:val="22"/>
          <w:lang w:val="es-CL" w:eastAsia="en-US"/>
        </w:rPr>
      </w:pPr>
      <w:r w:rsidRPr="00687258">
        <w:rPr>
          <w:rFonts w:eastAsia="Calibri"/>
          <w:bCs/>
          <w:szCs w:val="22"/>
          <w:lang w:val="es-CL" w:eastAsia="en-US"/>
        </w:rPr>
        <w:t>-Se crea el FOGAPE Chile Apoya, el cual permitirá otorgar créditos con garantía FOGAPE bajo condiciones y requisitos más ventajosos que el FOGAPE tradicional. En particular, se incrementa el porcentaje garantizado para empresas de menor tamaño, se reduce la tasa máxima, y se flexibilizan los requisitos de acceso, entre otras materias. Adicionalmente, se extiende el plazo para enterar el aporte al Fondo, dispuesto en la ley N°21.229.</w:t>
      </w:r>
    </w:p>
    <w:p w:rsidR="00687258" w:rsidRPr="00687258" w:rsidRDefault="00687258" w:rsidP="00687258">
      <w:pPr>
        <w:pStyle w:val="Textoindependiente"/>
        <w:tabs>
          <w:tab w:val="left" w:pos="567"/>
        </w:tabs>
        <w:spacing w:after="120" w:line="276" w:lineRule="auto"/>
        <w:ind w:right="-518" w:firstLine="1701"/>
        <w:jc w:val="both"/>
        <w:rPr>
          <w:rFonts w:eastAsia="Calibri"/>
          <w:bCs/>
          <w:szCs w:val="22"/>
          <w:lang w:val="es-CL" w:eastAsia="en-US"/>
        </w:rPr>
      </w:pPr>
      <w:r w:rsidRPr="00687258">
        <w:rPr>
          <w:rFonts w:eastAsia="Calibri"/>
          <w:bCs/>
          <w:szCs w:val="22"/>
          <w:lang w:val="es-CL" w:eastAsia="en-US"/>
        </w:rPr>
        <w:t xml:space="preserve">-Se establece que las MiPymes podrán pactar con el Servicio de Tesorerías convenios de pago respecto de sus deudas tributarias, por impuestos que hayan vencido entre el 31 de octubre de 2019 y el 30 de junio de 2022. Estos convenios podrán celebrarse hasta por 48 cuotas, no se exige un pago inicial mínimo, y se condonan los intereses y sanciones por mora en el pago de los impuestos adeudados. </w:t>
      </w:r>
    </w:p>
    <w:p w:rsidR="00687258" w:rsidRPr="00687258" w:rsidRDefault="00687258" w:rsidP="00687258">
      <w:pPr>
        <w:pStyle w:val="Prrafodelista"/>
        <w:widowControl w:val="0"/>
        <w:autoSpaceDE w:val="0"/>
        <w:autoSpaceDN w:val="0"/>
        <w:adjustRightInd w:val="0"/>
        <w:spacing w:after="240" w:line="276" w:lineRule="auto"/>
        <w:ind w:left="0" w:right="-518" w:firstLine="1701"/>
        <w:jc w:val="both"/>
        <w:rPr>
          <w:rFonts w:ascii="Arial" w:hAnsi="Arial" w:cs="Arial"/>
          <w:bCs/>
        </w:rPr>
      </w:pPr>
      <w:r w:rsidRPr="00687258">
        <w:rPr>
          <w:rFonts w:ascii="Arial" w:hAnsi="Arial" w:cs="Arial"/>
          <w:bCs/>
        </w:rPr>
        <w:t>-Se faculta a ampliar el plazo de los financiamientos vigentes que hayan sido garantizados por los denominados FOGAPE Covid y FOGAPE Reactiva, establecidos en el artículo 14 del decreto exento N° 130, de 2020, del Ministerio de Hacienda, en el artículo 2 de la ley N° 21.307, y en el artículo 15 del decreto exento N° 32, de 2021, del Ministerio de Hacienda; hasta en un plazo de diez años contado desde su otorgamiento inicial.</w:t>
      </w:r>
    </w:p>
    <w:p w:rsidR="00687258" w:rsidRPr="00687258" w:rsidRDefault="00687258" w:rsidP="00687258">
      <w:pPr>
        <w:pStyle w:val="Textoindependiente"/>
        <w:tabs>
          <w:tab w:val="left" w:pos="567"/>
        </w:tabs>
        <w:spacing w:line="276" w:lineRule="auto"/>
        <w:ind w:right="-518" w:firstLine="1701"/>
        <w:rPr>
          <w:b/>
          <w:szCs w:val="22"/>
        </w:rPr>
      </w:pPr>
      <w:r w:rsidRPr="00687258">
        <w:rPr>
          <w:b/>
          <w:szCs w:val="22"/>
        </w:rPr>
        <w:t>Efecto del proyecto de ley sobre el Presupuesto Fiscal</w:t>
      </w:r>
      <w:r w:rsidRPr="00687258">
        <w:rPr>
          <w:rStyle w:val="Refdenotaalpie"/>
          <w:b/>
          <w:szCs w:val="22"/>
        </w:rPr>
        <w:footnoteReference w:id="1"/>
      </w:r>
    </w:p>
    <w:p w:rsidR="00687258" w:rsidRPr="00C90CFB" w:rsidRDefault="00687258" w:rsidP="00687258">
      <w:pPr>
        <w:pStyle w:val="Sangradetextonormal"/>
        <w:tabs>
          <w:tab w:val="left" w:pos="709"/>
        </w:tabs>
        <w:spacing w:line="276" w:lineRule="auto"/>
        <w:ind w:right="-518" w:firstLine="1701"/>
        <w:rPr>
          <w:rFonts w:cs="Arial"/>
          <w:szCs w:val="22"/>
          <w:u w:val="single"/>
        </w:rPr>
      </w:pPr>
      <w:r w:rsidRPr="00C90CFB">
        <w:rPr>
          <w:rFonts w:cs="Arial"/>
          <w:szCs w:val="22"/>
          <w:u w:val="single"/>
        </w:rPr>
        <w:t>En relación al efecto fiscal del proyecto de ley, se debe mencionar lo siguiente:</w:t>
      </w:r>
    </w:p>
    <w:p w:rsidR="00687258" w:rsidRPr="00687258" w:rsidRDefault="00687258" w:rsidP="00BD0997">
      <w:pPr>
        <w:pStyle w:val="Sangradetextonormal"/>
        <w:numPr>
          <w:ilvl w:val="0"/>
          <w:numId w:val="1"/>
        </w:numPr>
        <w:tabs>
          <w:tab w:val="left" w:pos="709"/>
        </w:tabs>
        <w:spacing w:before="0" w:after="0" w:line="276" w:lineRule="auto"/>
        <w:ind w:left="0" w:right="-518" w:firstLine="1701"/>
        <w:rPr>
          <w:rFonts w:cs="Arial"/>
          <w:szCs w:val="22"/>
        </w:rPr>
      </w:pPr>
      <w:r w:rsidRPr="00687258">
        <w:rPr>
          <w:rFonts w:cs="Arial"/>
          <w:szCs w:val="22"/>
        </w:rPr>
        <w:t>En base a la razón de apalancamiento del FOGAPE observada hasta la fecha, se estima que no se requerirán aportes adicionales a los establecidos en la Ley N°21.229, producto de la aplicación de</w:t>
      </w:r>
      <w:r w:rsidR="00DB45F3">
        <w:rPr>
          <w:rFonts w:cs="Arial"/>
          <w:szCs w:val="22"/>
        </w:rPr>
        <w:t>l</w:t>
      </w:r>
      <w:r w:rsidRPr="00687258">
        <w:rPr>
          <w:rFonts w:cs="Arial"/>
          <w:szCs w:val="22"/>
        </w:rPr>
        <w:t xml:space="preserve"> proyecto de ley</w:t>
      </w:r>
      <w:r w:rsidR="00DB45F3">
        <w:rPr>
          <w:rFonts w:cs="Arial"/>
          <w:szCs w:val="22"/>
        </w:rPr>
        <w:t xml:space="preserve"> en informe</w:t>
      </w:r>
      <w:r w:rsidRPr="00687258">
        <w:rPr>
          <w:rFonts w:cs="Arial"/>
          <w:szCs w:val="22"/>
        </w:rPr>
        <w:t xml:space="preserve">. </w:t>
      </w:r>
    </w:p>
    <w:p w:rsidR="00687258" w:rsidRPr="00687258" w:rsidRDefault="00687258" w:rsidP="00687258">
      <w:pPr>
        <w:pStyle w:val="Sangradetextonormal"/>
        <w:tabs>
          <w:tab w:val="left" w:pos="709"/>
        </w:tabs>
        <w:spacing w:after="240" w:line="276" w:lineRule="auto"/>
        <w:ind w:right="-518" w:firstLine="1701"/>
        <w:rPr>
          <w:rFonts w:cs="Arial"/>
          <w:szCs w:val="22"/>
        </w:rPr>
      </w:pPr>
      <w:r w:rsidRPr="00687258">
        <w:rPr>
          <w:rFonts w:cs="Arial"/>
          <w:szCs w:val="22"/>
        </w:rPr>
        <w:t xml:space="preserve">Cabe mencionar que el proyecto de ley extiende el plazo para efectuar dicho aporte, a 48 meses contados desde la publicación de la ley. Estos aportes se registran como “Compra de Acciones y Participaciones de Capital”, razón por la que no se consideran como gasto público. </w:t>
      </w:r>
    </w:p>
    <w:p w:rsidR="00687258" w:rsidRPr="00687258" w:rsidRDefault="00687258" w:rsidP="00687258">
      <w:pPr>
        <w:pStyle w:val="Sangradetextonormal"/>
        <w:tabs>
          <w:tab w:val="left" w:pos="709"/>
        </w:tabs>
        <w:spacing w:line="276" w:lineRule="auto"/>
        <w:ind w:right="-518" w:firstLine="1701"/>
        <w:rPr>
          <w:rFonts w:cs="Arial"/>
          <w:szCs w:val="22"/>
        </w:rPr>
      </w:pPr>
      <w:r w:rsidRPr="00687258">
        <w:rPr>
          <w:rFonts w:cs="Arial"/>
          <w:szCs w:val="22"/>
        </w:rPr>
        <w:t xml:space="preserve">b. La condonación de los intereses y multas por mora en el pago de impuestos implicará menores ingresos fiscales, en la magnitud en que estos intereses hubiesen sido pagados sin la aplicación del proyecto de ley. </w:t>
      </w:r>
    </w:p>
    <w:p w:rsidR="00687258" w:rsidRPr="00687258" w:rsidRDefault="00687258" w:rsidP="00687258">
      <w:pPr>
        <w:pStyle w:val="Sangradetextonormal"/>
        <w:tabs>
          <w:tab w:val="left" w:pos="709"/>
        </w:tabs>
        <w:spacing w:line="276" w:lineRule="auto"/>
        <w:ind w:right="-518" w:firstLine="1701"/>
        <w:rPr>
          <w:rFonts w:cs="Arial"/>
          <w:szCs w:val="22"/>
        </w:rPr>
      </w:pPr>
      <w:r w:rsidRPr="00687258">
        <w:rPr>
          <w:rFonts w:cs="Arial"/>
          <w:szCs w:val="22"/>
        </w:rPr>
        <w:t xml:space="preserve">Según la información reportada por la Tesorería General de la República, existe un universo de 157.168 potenciales beneficiarios de esta medida, los que mantienen intereses y multas adeudadas por $1.377.734 millones. </w:t>
      </w:r>
    </w:p>
    <w:p w:rsidR="00687258" w:rsidRPr="00687258" w:rsidRDefault="00687258" w:rsidP="00687258">
      <w:pPr>
        <w:pStyle w:val="Sangradetextonormal"/>
        <w:tabs>
          <w:tab w:val="left" w:pos="709"/>
        </w:tabs>
        <w:spacing w:line="276" w:lineRule="auto"/>
        <w:ind w:right="-518" w:firstLine="1701"/>
        <w:rPr>
          <w:rFonts w:cs="Arial"/>
          <w:szCs w:val="22"/>
        </w:rPr>
      </w:pPr>
      <w:r w:rsidRPr="00687258">
        <w:rPr>
          <w:rFonts w:cs="Arial"/>
          <w:szCs w:val="22"/>
        </w:rPr>
        <w:t xml:space="preserve">Asumiendo una tasa de uso de 20% (similar a la observada producto de la aplicación del artículo 4 de la Ley N°21.353) y una tasa de condonación regular de 17% para el escenario base, </w:t>
      </w:r>
      <w:r w:rsidRPr="00687258">
        <w:rPr>
          <w:rFonts w:cs="Arial"/>
          <w:b/>
          <w:bCs/>
          <w:szCs w:val="22"/>
        </w:rPr>
        <w:t>se estima que la aplicación de la medida implicará menores ingresos fiscales por $228.704 millones</w:t>
      </w:r>
      <w:r w:rsidRPr="00687258">
        <w:rPr>
          <w:rFonts w:cs="Arial"/>
          <w:szCs w:val="22"/>
        </w:rPr>
        <w:t>,</w:t>
      </w:r>
      <w:r w:rsidRPr="00687258">
        <w:rPr>
          <w:rFonts w:cs="Arial"/>
          <w:b/>
          <w:bCs/>
          <w:szCs w:val="22"/>
        </w:rPr>
        <w:t xml:space="preserve"> </w:t>
      </w:r>
      <w:r w:rsidRPr="00687258">
        <w:rPr>
          <w:rFonts w:cs="Arial"/>
          <w:szCs w:val="22"/>
        </w:rPr>
        <w:t xml:space="preserve">por una sola vez, durante el período en que dichos intereses y multas hubiesen sido pagados sin la aplicación del proyecto de ley. </w:t>
      </w:r>
    </w:p>
    <w:p w:rsidR="00603226" w:rsidRDefault="00687258" w:rsidP="00687258">
      <w:pPr>
        <w:pStyle w:val="Sangradetextonormal"/>
        <w:tabs>
          <w:tab w:val="left" w:pos="709"/>
        </w:tabs>
        <w:spacing w:after="240" w:line="276" w:lineRule="auto"/>
        <w:ind w:right="-518" w:firstLine="1701"/>
        <w:rPr>
          <w:rFonts w:cs="Arial"/>
          <w:szCs w:val="22"/>
        </w:rPr>
      </w:pPr>
      <w:r w:rsidRPr="00687258">
        <w:rPr>
          <w:rFonts w:cs="Arial"/>
          <w:szCs w:val="22"/>
        </w:rPr>
        <w:t>Cabe mencionar que el ejercicio descrito anteriormente no considera que la posibilidad de suscribir dichos convenios incentivará la regularización en el pago de impuestos para las MiPymes, lo que tendrá un efecto positivo en recaudación fiscal. A modo de ejemplo, la recaudación tributaria se incrementó en un 13,9% durante los meses de aplicación del artículo 4 de la Ley N°21.353, en relación a los mismos meses del año anterior.</w:t>
      </w:r>
    </w:p>
    <w:p w:rsidR="00603226" w:rsidRDefault="00603226" w:rsidP="00603226">
      <w:pPr>
        <w:pStyle w:val="Sangradetextonormal"/>
        <w:tabs>
          <w:tab w:val="left" w:pos="709"/>
        </w:tabs>
        <w:spacing w:after="0" w:line="276" w:lineRule="auto"/>
        <w:ind w:right="-518" w:firstLine="1701"/>
        <w:rPr>
          <w:rFonts w:cs="Arial"/>
          <w:b/>
          <w:szCs w:val="22"/>
        </w:rPr>
      </w:pPr>
      <w:r w:rsidRPr="00603226">
        <w:rPr>
          <w:rFonts w:cs="Arial"/>
          <w:b/>
          <w:szCs w:val="22"/>
        </w:rPr>
        <w:t>Segundo informe financiero</w:t>
      </w:r>
    </w:p>
    <w:p w:rsidR="00603226" w:rsidRDefault="00603226" w:rsidP="00603226">
      <w:pPr>
        <w:pStyle w:val="Sangradetextonormal"/>
        <w:tabs>
          <w:tab w:val="left" w:pos="709"/>
        </w:tabs>
        <w:spacing w:after="0" w:line="276" w:lineRule="auto"/>
        <w:ind w:right="-518" w:firstLine="1701"/>
        <w:rPr>
          <w:rFonts w:cs="Arial"/>
          <w:szCs w:val="22"/>
        </w:rPr>
      </w:pPr>
      <w:r w:rsidRPr="00603226">
        <w:rPr>
          <w:rFonts w:cs="Arial"/>
          <w:szCs w:val="22"/>
        </w:rPr>
        <w:t>Con motivo</w:t>
      </w:r>
      <w:r>
        <w:rPr>
          <w:rFonts w:cs="Arial"/>
          <w:szCs w:val="22"/>
        </w:rPr>
        <w:t xml:space="preserve"> de la presentación por el Ejecutivo de indicaciones, durante la tramitación del proyecto en esta Comisión de Hacienda, acompañó el informe financiero N°140, en el día de hoy, que señala lo siguiente:</w:t>
      </w:r>
    </w:p>
    <w:p w:rsidR="00603226" w:rsidRPr="00603226" w:rsidRDefault="00603226" w:rsidP="00603226">
      <w:pPr>
        <w:pStyle w:val="Sangradetextonormal"/>
        <w:tabs>
          <w:tab w:val="left" w:pos="709"/>
        </w:tabs>
        <w:spacing w:line="276" w:lineRule="auto"/>
        <w:ind w:right="-518" w:firstLine="1701"/>
        <w:rPr>
          <w:rFonts w:cs="Arial"/>
          <w:szCs w:val="22"/>
        </w:rPr>
      </w:pPr>
      <w:r w:rsidRPr="00603226">
        <w:rPr>
          <w:rFonts w:cs="Arial"/>
          <w:szCs w:val="22"/>
        </w:rPr>
        <w:t>a.</w:t>
      </w:r>
      <w:r w:rsidRPr="00603226">
        <w:rPr>
          <w:rFonts w:cs="Arial"/>
          <w:szCs w:val="22"/>
        </w:rPr>
        <w:tab/>
        <w:t>Se extiende el plazo para otorgar créditos FOGAPE Chile Apoya, hasta el 31 de diciembre de 2023.</w:t>
      </w:r>
    </w:p>
    <w:p w:rsidR="00603226" w:rsidRPr="00603226" w:rsidRDefault="00603226" w:rsidP="00603226">
      <w:pPr>
        <w:pStyle w:val="Sangradetextonormal"/>
        <w:tabs>
          <w:tab w:val="left" w:pos="709"/>
        </w:tabs>
        <w:spacing w:line="276" w:lineRule="auto"/>
        <w:ind w:right="-518" w:firstLine="1701"/>
        <w:rPr>
          <w:rFonts w:cs="Arial"/>
          <w:szCs w:val="22"/>
        </w:rPr>
      </w:pPr>
      <w:r w:rsidRPr="00603226">
        <w:rPr>
          <w:rFonts w:cs="Arial"/>
          <w:szCs w:val="22"/>
        </w:rPr>
        <w:t>b.</w:t>
      </w:r>
      <w:r w:rsidRPr="00603226">
        <w:rPr>
          <w:rFonts w:cs="Arial"/>
          <w:szCs w:val="22"/>
        </w:rPr>
        <w:tab/>
        <w:t>Se dispone que el Ministerio del Interior y Seguridad Pública entregará al Administrador información de personas afectadas por violencia rural, a fin de integrarlos como beneficiarios del instrumento.</w:t>
      </w:r>
    </w:p>
    <w:p w:rsidR="00603226" w:rsidRPr="00603226" w:rsidRDefault="00603226" w:rsidP="00603226">
      <w:pPr>
        <w:pStyle w:val="Sangradetextonormal"/>
        <w:tabs>
          <w:tab w:val="left" w:pos="709"/>
        </w:tabs>
        <w:spacing w:line="276" w:lineRule="auto"/>
        <w:ind w:right="-518" w:firstLine="1701"/>
        <w:rPr>
          <w:rFonts w:cs="Arial"/>
          <w:szCs w:val="22"/>
        </w:rPr>
      </w:pPr>
      <w:r w:rsidRPr="00603226">
        <w:rPr>
          <w:rFonts w:cs="Arial"/>
          <w:szCs w:val="22"/>
        </w:rPr>
        <w:t>c.</w:t>
      </w:r>
      <w:r w:rsidRPr="00603226">
        <w:rPr>
          <w:rFonts w:cs="Arial"/>
          <w:szCs w:val="22"/>
        </w:rPr>
        <w:tab/>
        <w:t>Se establece una limitación respecto de la información que se entregará para efectos de determinar la elegibilidad, con objeto de resguardar la vida privada de los beneficiarios.</w:t>
      </w:r>
    </w:p>
    <w:p w:rsidR="00603226" w:rsidRPr="00603226" w:rsidRDefault="00603226" w:rsidP="00603226">
      <w:pPr>
        <w:pStyle w:val="Sangradetextonormal"/>
        <w:tabs>
          <w:tab w:val="left" w:pos="709"/>
        </w:tabs>
        <w:spacing w:line="276" w:lineRule="auto"/>
        <w:ind w:right="-518" w:firstLine="1701"/>
        <w:rPr>
          <w:rFonts w:cs="Arial"/>
          <w:szCs w:val="22"/>
        </w:rPr>
      </w:pPr>
      <w:r w:rsidRPr="00603226">
        <w:rPr>
          <w:rFonts w:cs="Arial"/>
          <w:szCs w:val="22"/>
        </w:rPr>
        <w:t>d.</w:t>
      </w:r>
      <w:r w:rsidRPr="00603226">
        <w:rPr>
          <w:rFonts w:cs="Arial"/>
          <w:szCs w:val="22"/>
        </w:rPr>
        <w:tab/>
        <w:t>Se extiende el máximo del plazo para ampliar los financiamientos Covid y Reactiva, de 10 a 12 años.</w:t>
      </w:r>
    </w:p>
    <w:p w:rsidR="00603226" w:rsidRPr="00603226" w:rsidRDefault="00603226" w:rsidP="00603226">
      <w:pPr>
        <w:pStyle w:val="Sangradetextonormal"/>
        <w:tabs>
          <w:tab w:val="left" w:pos="709"/>
        </w:tabs>
        <w:spacing w:line="276" w:lineRule="auto"/>
        <w:ind w:right="-518" w:firstLine="1701"/>
        <w:rPr>
          <w:rFonts w:cs="Arial"/>
          <w:szCs w:val="22"/>
        </w:rPr>
      </w:pPr>
      <w:r w:rsidRPr="00603226">
        <w:rPr>
          <w:rFonts w:cs="Arial"/>
          <w:szCs w:val="22"/>
        </w:rPr>
        <w:t>e.</w:t>
      </w:r>
      <w:r w:rsidRPr="00603226">
        <w:rPr>
          <w:rFonts w:cs="Arial"/>
          <w:szCs w:val="22"/>
        </w:rPr>
        <w:tab/>
        <w:t>En relación al beneficio de convenio de pago y condonación de intereses de impuestos adeudados, se extiende la fecha límite para hacer uso del beneficio, del 31 de diciembre de 2022 hasta el 30 de abril de 2023. Asimismo, se extiende la fecha límite de vencimiento de los impuestos que son objeto del beneficio, del 31 de mayo al 30 de junio de 2022.</w:t>
      </w:r>
    </w:p>
    <w:p w:rsidR="00603226" w:rsidRPr="00603226" w:rsidRDefault="00603226" w:rsidP="00603226">
      <w:pPr>
        <w:pStyle w:val="Sangradetextonormal"/>
        <w:tabs>
          <w:tab w:val="left" w:pos="709"/>
        </w:tabs>
        <w:spacing w:line="276" w:lineRule="auto"/>
        <w:ind w:right="-518" w:firstLine="1701"/>
        <w:rPr>
          <w:rFonts w:cs="Arial"/>
          <w:szCs w:val="22"/>
        </w:rPr>
      </w:pPr>
      <w:r w:rsidRPr="00B9238C">
        <w:rPr>
          <w:rFonts w:cs="Arial"/>
          <w:b/>
          <w:szCs w:val="22"/>
        </w:rPr>
        <w:t>Efecto de las indicaciones sobre el Presupuesto Fiscal</w:t>
      </w:r>
      <w:r w:rsidR="00B9238C">
        <w:rPr>
          <w:rStyle w:val="Refdenotaalpie"/>
          <w:rFonts w:cs="Arial"/>
          <w:szCs w:val="22"/>
        </w:rPr>
        <w:footnoteReference w:id="2"/>
      </w:r>
    </w:p>
    <w:p w:rsidR="00603226" w:rsidRPr="00603226" w:rsidRDefault="00603226" w:rsidP="00603226">
      <w:pPr>
        <w:pStyle w:val="Sangradetextonormal"/>
        <w:tabs>
          <w:tab w:val="left" w:pos="709"/>
        </w:tabs>
        <w:spacing w:line="276" w:lineRule="auto"/>
        <w:ind w:right="-518" w:firstLine="1701"/>
        <w:rPr>
          <w:rFonts w:cs="Arial"/>
          <w:szCs w:val="22"/>
        </w:rPr>
      </w:pPr>
      <w:r w:rsidRPr="00603226">
        <w:rPr>
          <w:rFonts w:cs="Arial"/>
          <w:szCs w:val="22"/>
        </w:rPr>
        <w:t>En relación al efecto fiscal de las indicaciones, se debe mencionar lo siguiente:</w:t>
      </w:r>
    </w:p>
    <w:p w:rsidR="00603226" w:rsidRDefault="00603226" w:rsidP="00603226">
      <w:pPr>
        <w:pStyle w:val="Sangradetextonormal"/>
        <w:tabs>
          <w:tab w:val="left" w:pos="709"/>
        </w:tabs>
        <w:spacing w:line="276" w:lineRule="auto"/>
        <w:ind w:right="-518" w:firstLine="1701"/>
        <w:rPr>
          <w:rFonts w:cs="Arial"/>
          <w:szCs w:val="22"/>
        </w:rPr>
      </w:pPr>
      <w:r w:rsidRPr="00603226">
        <w:rPr>
          <w:rFonts w:cs="Arial"/>
          <w:szCs w:val="22"/>
        </w:rPr>
        <w:t>a.</w:t>
      </w:r>
      <w:r w:rsidRPr="00603226">
        <w:rPr>
          <w:rFonts w:cs="Arial"/>
          <w:szCs w:val="22"/>
        </w:rPr>
        <w:tab/>
        <w:t>Se estima que las modificaciones en las condiciones de los financiamientos con garantía FOGAPE no inducirán la necesidad de aportes adicionales al Fondo, de acuerdo con lo detallado en el informe financiero Nº125 de 2022.</w:t>
      </w:r>
    </w:p>
    <w:p w:rsidR="00603226" w:rsidRPr="00603226" w:rsidRDefault="00603226" w:rsidP="00603226">
      <w:pPr>
        <w:pStyle w:val="Sangradetextonormal"/>
        <w:tabs>
          <w:tab w:val="left" w:pos="709"/>
        </w:tabs>
        <w:spacing w:line="276" w:lineRule="auto"/>
        <w:ind w:right="-518" w:firstLine="1701"/>
        <w:rPr>
          <w:rFonts w:cs="Arial"/>
          <w:szCs w:val="22"/>
        </w:rPr>
      </w:pPr>
      <w:r w:rsidRPr="00603226">
        <w:rPr>
          <w:rFonts w:cs="Arial"/>
          <w:szCs w:val="22"/>
        </w:rPr>
        <w:t>b.</w:t>
      </w:r>
      <w:r w:rsidRPr="00603226">
        <w:rPr>
          <w:rFonts w:cs="Arial"/>
          <w:szCs w:val="22"/>
        </w:rPr>
        <w:tab/>
        <w:t>La extensión de la fecha límite de vencimiento de los impuestos que son objeto del beneficio implicará menores ingresos fiscales, los que dependerán del número de deudas vencidas en la nueva fecha límite, y en la magnitud en que estos intereses hubiesen sido pagados sin la aplicación del proyecto de ley, como se detalla en el Informe Financiero Nº125 de 2022.</w:t>
      </w:r>
    </w:p>
    <w:p w:rsidR="00603226" w:rsidRPr="00603226" w:rsidRDefault="00603226" w:rsidP="00603226">
      <w:pPr>
        <w:pStyle w:val="Sangradetextonormal"/>
        <w:tabs>
          <w:tab w:val="left" w:pos="709"/>
        </w:tabs>
        <w:spacing w:line="276" w:lineRule="auto"/>
        <w:ind w:right="-518" w:firstLine="1701"/>
        <w:rPr>
          <w:rFonts w:cs="Arial"/>
          <w:szCs w:val="22"/>
        </w:rPr>
      </w:pPr>
      <w:r w:rsidRPr="00603226">
        <w:rPr>
          <w:rFonts w:cs="Arial"/>
          <w:szCs w:val="22"/>
        </w:rPr>
        <w:t>Según la información reportada por la Tesorería General de la República, existe un universo de 24.337 potenciales beneficiarios adicionales producto de la extensión, los que mantienen intereses y multas adeudadas por $42.602 millones.</w:t>
      </w:r>
    </w:p>
    <w:p w:rsidR="00603226" w:rsidRPr="00603226" w:rsidRDefault="00603226" w:rsidP="00603226">
      <w:pPr>
        <w:pStyle w:val="Sangradetextonormal"/>
        <w:tabs>
          <w:tab w:val="left" w:pos="709"/>
        </w:tabs>
        <w:spacing w:line="276" w:lineRule="auto"/>
        <w:ind w:right="-518" w:firstLine="1701"/>
        <w:rPr>
          <w:rFonts w:cs="Arial"/>
          <w:szCs w:val="22"/>
        </w:rPr>
      </w:pPr>
      <w:r w:rsidRPr="00603226">
        <w:rPr>
          <w:rFonts w:cs="Arial"/>
          <w:szCs w:val="22"/>
        </w:rPr>
        <w:t>Asumiendo una tasa de uso de 20% y una tasa de condonación regular de 17% para el escenario base, se estima que la aplicación de la extensión implicará menores ingresos fiscales por $7.072 millones, por una sola vez, durante el período en que dichos intereses y multas hubiesen sido pagados sin la aplicación del proyecto de ley.</w:t>
      </w:r>
    </w:p>
    <w:p w:rsidR="00840AF5" w:rsidRPr="00687258" w:rsidRDefault="009E2236" w:rsidP="00687258">
      <w:pPr>
        <w:pStyle w:val="Ttulo1"/>
        <w:tabs>
          <w:tab w:val="left" w:pos="709"/>
        </w:tabs>
        <w:spacing w:before="480" w:line="276" w:lineRule="auto"/>
        <w:ind w:right="-518"/>
        <w:jc w:val="both"/>
        <w:rPr>
          <w:bCs w:val="0"/>
          <w:sz w:val="22"/>
          <w:szCs w:val="22"/>
        </w:rPr>
      </w:pPr>
      <w:r w:rsidRPr="00687258">
        <w:rPr>
          <w:bCs w:val="0"/>
          <w:sz w:val="22"/>
          <w:szCs w:val="22"/>
        </w:rPr>
        <w:t>V</w:t>
      </w:r>
      <w:bookmarkStart w:id="18" w:name="_Toc408309939"/>
      <w:bookmarkStart w:id="19" w:name="_Toc409556941"/>
      <w:bookmarkStart w:id="20" w:name="_Toc499712194"/>
      <w:bookmarkEnd w:id="15"/>
      <w:bookmarkEnd w:id="16"/>
      <w:bookmarkEnd w:id="17"/>
      <w:r w:rsidR="00840AF5" w:rsidRPr="00687258">
        <w:rPr>
          <w:sz w:val="22"/>
          <w:szCs w:val="22"/>
        </w:rPr>
        <w:t xml:space="preserve">.- </w:t>
      </w:r>
      <w:r w:rsidR="00840AF5" w:rsidRPr="00687258">
        <w:rPr>
          <w:spacing w:val="-3"/>
          <w:sz w:val="22"/>
          <w:szCs w:val="22"/>
        </w:rPr>
        <w:t>SÍNTESIS DE LA DISCUSIÓN EN LA COMISIÓN Y ACUERDOS ADOPTADOS</w:t>
      </w:r>
      <w:r w:rsidR="00840AF5" w:rsidRPr="00687258">
        <w:rPr>
          <w:bCs w:val="0"/>
          <w:sz w:val="22"/>
          <w:szCs w:val="22"/>
        </w:rPr>
        <w:t xml:space="preserve"> </w:t>
      </w:r>
    </w:p>
    <w:p w:rsidR="00840AF5" w:rsidRPr="00687258" w:rsidRDefault="00840AF5" w:rsidP="00944E51">
      <w:pPr>
        <w:spacing w:line="276" w:lineRule="auto"/>
        <w:ind w:right="-234" w:firstLine="1701"/>
        <w:jc w:val="both"/>
        <w:rPr>
          <w:rFonts w:ascii="Arial" w:eastAsia="Calibri" w:hAnsi="Arial" w:cs="Arial"/>
          <w:sz w:val="22"/>
          <w:szCs w:val="22"/>
          <w:lang w:val="es-CL" w:eastAsia="en-US"/>
        </w:rPr>
      </w:pPr>
    </w:p>
    <w:p w:rsidR="00944E51" w:rsidRPr="00944E51" w:rsidRDefault="00944E51" w:rsidP="00944E51">
      <w:pPr>
        <w:spacing w:line="276" w:lineRule="auto"/>
        <w:ind w:right="-234" w:firstLine="1701"/>
        <w:jc w:val="both"/>
        <w:rPr>
          <w:rFonts w:ascii="Arial" w:hAnsi="Arial" w:cs="Arial"/>
          <w:sz w:val="22"/>
          <w:szCs w:val="22"/>
        </w:rPr>
      </w:pPr>
      <w:r w:rsidRPr="00827DE9">
        <w:rPr>
          <w:rFonts w:ascii="Arial" w:hAnsi="Arial" w:cs="Arial"/>
          <w:b/>
          <w:sz w:val="22"/>
          <w:szCs w:val="22"/>
        </w:rPr>
        <w:t>El ministro de Economía, señor Nicolás Grau</w:t>
      </w:r>
      <w:r w:rsidRPr="00944E51">
        <w:rPr>
          <w:rFonts w:ascii="Arial" w:hAnsi="Arial" w:cs="Arial"/>
          <w:sz w:val="22"/>
          <w:szCs w:val="22"/>
        </w:rPr>
        <w:t>, expuso sobre el proyecto en tabla. Se trata del producto de un trabajo de codiseño con los gremios mipymes, convocados transversalmente en el contexto del Consejo Consultivo de las Pymes. El proyecto consta de dos medidas exclusivamente enfocadas en mipymes: FOGAPE Chile Apoya y alivio a deuda tributaria. Es necesario avanzar con rapidez en este proyecto para apoyar el acceso a financiamiento de las mipymes y aliviar su endeudamiento.</w:t>
      </w:r>
    </w:p>
    <w:p w:rsidR="00944E51" w:rsidRPr="00827DE9" w:rsidRDefault="00944E51" w:rsidP="00944E51">
      <w:pPr>
        <w:spacing w:line="276" w:lineRule="auto"/>
        <w:ind w:right="-234" w:firstLine="1701"/>
        <w:jc w:val="both"/>
        <w:rPr>
          <w:rFonts w:ascii="Arial" w:hAnsi="Arial" w:cs="Arial"/>
          <w:b/>
          <w:sz w:val="22"/>
          <w:szCs w:val="22"/>
        </w:rPr>
      </w:pPr>
      <w:r w:rsidRPr="00827DE9">
        <w:rPr>
          <w:rFonts w:ascii="Arial" w:hAnsi="Arial" w:cs="Arial"/>
          <w:b/>
          <w:sz w:val="22"/>
          <w:szCs w:val="22"/>
        </w:rPr>
        <w:t>Describió el contenido del proyecto:</w:t>
      </w:r>
    </w:p>
    <w:p w:rsidR="00944E51" w:rsidRPr="00944E51" w:rsidRDefault="00944E51" w:rsidP="00827DE9">
      <w:pPr>
        <w:spacing w:line="276" w:lineRule="auto"/>
        <w:ind w:right="-234" w:firstLine="1701"/>
        <w:jc w:val="both"/>
        <w:rPr>
          <w:rFonts w:ascii="Arial" w:hAnsi="Arial" w:cs="Arial"/>
          <w:sz w:val="22"/>
          <w:szCs w:val="22"/>
        </w:rPr>
      </w:pPr>
      <w:r w:rsidRPr="00944E51">
        <w:rPr>
          <w:rFonts w:ascii="Arial" w:hAnsi="Arial" w:cs="Arial"/>
          <w:sz w:val="22"/>
          <w:szCs w:val="22"/>
        </w:rPr>
        <w:t>a. Se crea el Programa FOGAPE Chile Apoya, que durante doce meses permitirá otorgar créditos con garantía FOGAPE, focalizado exclusivamente en medianas, pequeñas y micro empresas, bajo condiciones y requisitos más ventajosas que el FOGAPE tradicional.</w:t>
      </w:r>
    </w:p>
    <w:p w:rsidR="00944E51" w:rsidRPr="00944E51" w:rsidRDefault="00944E51" w:rsidP="00827DE9">
      <w:pPr>
        <w:spacing w:line="276" w:lineRule="auto"/>
        <w:ind w:right="-234" w:firstLine="1701"/>
        <w:jc w:val="both"/>
        <w:rPr>
          <w:rFonts w:ascii="Arial" w:hAnsi="Arial" w:cs="Arial"/>
          <w:sz w:val="22"/>
          <w:szCs w:val="22"/>
        </w:rPr>
      </w:pPr>
      <w:r w:rsidRPr="00944E51">
        <w:rPr>
          <w:rFonts w:ascii="Arial" w:hAnsi="Arial" w:cs="Arial"/>
          <w:sz w:val="22"/>
          <w:szCs w:val="22"/>
        </w:rPr>
        <w:t>b. La Tesorería pactará convenios con mipymes para el pago de impuestos adeudados, vencidos hasta el 31 de mayo de 2022, condonando el 100% de los intereses y multas asociadas.</w:t>
      </w:r>
    </w:p>
    <w:p w:rsidR="00944E51" w:rsidRPr="00944E51" w:rsidRDefault="00944E51" w:rsidP="00827DE9">
      <w:pPr>
        <w:spacing w:line="276" w:lineRule="auto"/>
        <w:ind w:right="-234" w:firstLine="1701"/>
        <w:jc w:val="both"/>
        <w:rPr>
          <w:rFonts w:ascii="Arial" w:hAnsi="Arial" w:cs="Arial"/>
          <w:sz w:val="22"/>
          <w:szCs w:val="22"/>
        </w:rPr>
      </w:pPr>
      <w:r w:rsidRPr="00944E51">
        <w:rPr>
          <w:rFonts w:ascii="Arial" w:hAnsi="Arial" w:cs="Arial"/>
          <w:sz w:val="22"/>
          <w:szCs w:val="22"/>
        </w:rPr>
        <w:t>Indicó que los efectos económicos de la pandemia fueron muy relevantes, y siguen siéndolo respecto a ciertos sectores que se encuentran rezagados. La situación económica actual presenta una fuerte inflación y perspectivas de bajo crecimiento. A su vez, la iniciativa toma en consideración las dificultades que tuvieron mipymes para acceder a programas FOGAPE creados en años anteriores.</w:t>
      </w:r>
    </w:p>
    <w:p w:rsidR="00944E51" w:rsidRPr="00944E51" w:rsidRDefault="00944E51" w:rsidP="00827DE9">
      <w:pPr>
        <w:spacing w:line="276" w:lineRule="auto"/>
        <w:ind w:right="-234" w:firstLine="1701"/>
        <w:jc w:val="both"/>
        <w:rPr>
          <w:rFonts w:ascii="Arial" w:hAnsi="Arial" w:cs="Arial"/>
          <w:sz w:val="22"/>
          <w:szCs w:val="22"/>
        </w:rPr>
      </w:pPr>
      <w:r w:rsidRPr="00944E51">
        <w:rPr>
          <w:rFonts w:ascii="Arial" w:hAnsi="Arial" w:cs="Arial"/>
          <w:sz w:val="22"/>
          <w:szCs w:val="22"/>
        </w:rPr>
        <w:t>Respecto a FOGAPE COVID y Reactiva, expresó que una parte importante de los recursos se destinó a financiar a grandes empresas:</w:t>
      </w:r>
    </w:p>
    <w:p w:rsidR="00944E51" w:rsidRPr="00EF4CF8" w:rsidRDefault="00944E51" w:rsidP="00944E51">
      <w:pPr>
        <w:jc w:val="both"/>
        <w:rPr>
          <w:rFonts w:ascii="Arial" w:hAnsi="Arial" w:cs="Arial"/>
        </w:rPr>
      </w:pPr>
      <w:r w:rsidRPr="00EF4CF8">
        <w:rPr>
          <w:rFonts w:ascii="Arial" w:hAnsi="Arial" w:cs="Arial"/>
          <w:noProof/>
          <w:lang w:eastAsia="es-CL"/>
        </w:rPr>
        <w:drawing>
          <wp:inline distT="0" distB="0" distL="0" distR="0" wp14:anchorId="6A65016E" wp14:editId="3FF4CB87">
            <wp:extent cx="5612130" cy="2714625"/>
            <wp:effectExtent l="0" t="0" r="0" b="0"/>
            <wp:docPr id="6" name="Imagen 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BDC1F48-800E-D2C0-61E0-3849E4CDDB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BDC1F48-800E-D2C0-61E0-3849E4CDDB02}"/>
                        </a:ext>
                      </a:extLst>
                    </pic:cNvPr>
                    <pic:cNvPicPr>
                      <a:picLocks noChangeAspect="1"/>
                    </pic:cNvPicPr>
                  </pic:nvPicPr>
                  <pic:blipFill>
                    <a:blip r:embed="rId11"/>
                    <a:stretch>
                      <a:fillRect/>
                    </a:stretch>
                  </pic:blipFill>
                  <pic:spPr>
                    <a:xfrm>
                      <a:off x="0" y="0"/>
                      <a:ext cx="5612130" cy="2714625"/>
                    </a:xfrm>
                    <a:prstGeom prst="rect">
                      <a:avLst/>
                    </a:prstGeom>
                  </pic:spPr>
                </pic:pic>
              </a:graphicData>
            </a:graphic>
          </wp:inline>
        </w:drawing>
      </w:r>
    </w:p>
    <w:p w:rsidR="00827DE9" w:rsidRDefault="00827DE9" w:rsidP="00944E51">
      <w:pPr>
        <w:ind w:right="-518" w:firstLine="1701"/>
        <w:jc w:val="both"/>
        <w:rPr>
          <w:rFonts w:ascii="Arial" w:hAnsi="Arial" w:cs="Arial"/>
          <w:sz w:val="22"/>
          <w:szCs w:val="22"/>
        </w:rPr>
      </w:pPr>
    </w:p>
    <w:p w:rsidR="00944E51" w:rsidRPr="00944E51" w:rsidRDefault="00944E51" w:rsidP="00944E51">
      <w:pPr>
        <w:ind w:right="-518" w:firstLine="1701"/>
        <w:jc w:val="both"/>
        <w:rPr>
          <w:rFonts w:ascii="Arial" w:hAnsi="Arial" w:cs="Arial"/>
          <w:sz w:val="22"/>
          <w:szCs w:val="22"/>
        </w:rPr>
      </w:pPr>
      <w:r w:rsidRPr="00944E51">
        <w:rPr>
          <w:rFonts w:ascii="Arial" w:hAnsi="Arial" w:cs="Arial"/>
          <w:sz w:val="22"/>
          <w:szCs w:val="22"/>
        </w:rPr>
        <w:t>506,116 operaciones, 22,511 millones de dólares financiados  y 344,840 empresas (252 mil fogape-covid y 191 mil fogape-reactiva).</w:t>
      </w:r>
    </w:p>
    <w:p w:rsidR="00827DE9" w:rsidRDefault="00827DE9" w:rsidP="00944E51">
      <w:pPr>
        <w:ind w:right="-518" w:firstLine="1701"/>
        <w:jc w:val="both"/>
        <w:rPr>
          <w:rFonts w:ascii="Arial" w:hAnsi="Arial" w:cs="Arial"/>
          <w:sz w:val="22"/>
          <w:szCs w:val="22"/>
        </w:rPr>
      </w:pPr>
    </w:p>
    <w:p w:rsidR="00944E51" w:rsidRDefault="00944E51" w:rsidP="00944E51">
      <w:pPr>
        <w:ind w:right="-518" w:firstLine="1701"/>
        <w:jc w:val="both"/>
        <w:rPr>
          <w:rFonts w:ascii="Arial" w:hAnsi="Arial" w:cs="Arial"/>
          <w:sz w:val="22"/>
          <w:szCs w:val="22"/>
        </w:rPr>
      </w:pPr>
      <w:r w:rsidRPr="00944E51">
        <w:rPr>
          <w:rFonts w:ascii="Arial" w:hAnsi="Arial" w:cs="Arial"/>
          <w:sz w:val="22"/>
          <w:szCs w:val="22"/>
        </w:rPr>
        <w:t xml:space="preserve">Por otra parte, las mayores tasas de rechazo se encuentran en las Mipe. </w:t>
      </w:r>
    </w:p>
    <w:p w:rsidR="00827DE9" w:rsidRPr="00944E51" w:rsidRDefault="00827DE9" w:rsidP="00944E51">
      <w:pPr>
        <w:ind w:right="-518" w:firstLine="1701"/>
        <w:jc w:val="both"/>
        <w:rPr>
          <w:rFonts w:ascii="Arial" w:hAnsi="Arial" w:cs="Arial"/>
          <w:sz w:val="22"/>
          <w:szCs w:val="22"/>
        </w:rPr>
      </w:pPr>
    </w:p>
    <w:p w:rsidR="00944E51" w:rsidRPr="00EF4CF8" w:rsidRDefault="00944E51" w:rsidP="00944E51">
      <w:pPr>
        <w:jc w:val="center"/>
        <w:rPr>
          <w:rFonts w:ascii="Arial" w:hAnsi="Arial" w:cs="Arial"/>
        </w:rPr>
      </w:pPr>
      <w:r w:rsidRPr="00EF4CF8">
        <w:rPr>
          <w:rFonts w:ascii="Arial" w:hAnsi="Arial" w:cs="Arial"/>
          <w:noProof/>
          <w:lang w:eastAsia="es-CL"/>
        </w:rPr>
        <w:drawing>
          <wp:inline distT="0" distB="0" distL="0" distR="0" wp14:anchorId="2D30C978" wp14:editId="43ADC8C0">
            <wp:extent cx="5612130" cy="2996565"/>
            <wp:effectExtent l="0" t="0" r="0" b="0"/>
            <wp:docPr id="7" name="Imagen 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C60C59D-DF73-854D-C162-D0A3AA4C62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C60C59D-DF73-854D-C162-D0A3AA4C62BA}"/>
                        </a:ext>
                      </a:extLst>
                    </pic:cNvPr>
                    <pic:cNvPicPr>
                      <a:picLocks noChangeAspect="1"/>
                    </pic:cNvPicPr>
                  </pic:nvPicPr>
                  <pic:blipFill>
                    <a:blip r:embed="rId12"/>
                    <a:stretch>
                      <a:fillRect/>
                    </a:stretch>
                  </pic:blipFill>
                  <pic:spPr>
                    <a:xfrm>
                      <a:off x="0" y="0"/>
                      <a:ext cx="5612130" cy="2996565"/>
                    </a:xfrm>
                    <a:prstGeom prst="rect">
                      <a:avLst/>
                    </a:prstGeom>
                  </pic:spPr>
                </pic:pic>
              </a:graphicData>
            </a:graphic>
          </wp:inline>
        </w:drawing>
      </w:r>
    </w:p>
    <w:p w:rsidR="00944E51" w:rsidRPr="00EF4CF8" w:rsidRDefault="00944E51" w:rsidP="00944E51">
      <w:pPr>
        <w:ind w:firstLine="1701"/>
        <w:jc w:val="both"/>
        <w:rPr>
          <w:rFonts w:ascii="Arial" w:hAnsi="Arial" w:cs="Arial"/>
        </w:rPr>
      </w:pPr>
    </w:p>
    <w:p w:rsidR="00944E51" w:rsidRPr="00944E51" w:rsidRDefault="00944E51" w:rsidP="00944E51">
      <w:pPr>
        <w:ind w:right="-518" w:firstLine="1701"/>
        <w:jc w:val="both"/>
        <w:rPr>
          <w:rFonts w:ascii="Arial" w:hAnsi="Arial" w:cs="Arial"/>
          <w:sz w:val="22"/>
          <w:szCs w:val="22"/>
        </w:rPr>
      </w:pPr>
      <w:r w:rsidRPr="00944E51">
        <w:rPr>
          <w:rFonts w:ascii="Arial" w:hAnsi="Arial" w:cs="Arial"/>
          <w:sz w:val="22"/>
          <w:szCs w:val="22"/>
        </w:rPr>
        <w:t>Los índices de cuotas impagas son heterogéneos en la economía:</w:t>
      </w:r>
    </w:p>
    <w:p w:rsidR="00944E51" w:rsidRPr="00EF4CF8" w:rsidRDefault="00944E51" w:rsidP="00944E51">
      <w:pPr>
        <w:jc w:val="center"/>
        <w:rPr>
          <w:rFonts w:ascii="Arial" w:hAnsi="Arial" w:cs="Arial"/>
        </w:rPr>
      </w:pPr>
      <w:r w:rsidRPr="00EF4CF8">
        <w:rPr>
          <w:rFonts w:ascii="Arial" w:hAnsi="Arial" w:cs="Arial"/>
          <w:noProof/>
          <w:lang w:eastAsia="es-CL"/>
        </w:rPr>
        <w:drawing>
          <wp:inline distT="0" distB="0" distL="0" distR="0" wp14:anchorId="7CFB4483" wp14:editId="4E8062D4">
            <wp:extent cx="5612130" cy="2736215"/>
            <wp:effectExtent l="0" t="0" r="0" b="0"/>
            <wp:docPr id="2" name="Picture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CB9433D-D5CD-B5D9-C0BE-2A72B0CB02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CB9433D-D5CD-B5D9-C0BE-2A72B0CB029D}"/>
                        </a:ext>
                      </a:extLst>
                    </pic:cNvPr>
                    <pic:cNvPicPr>
                      <a:picLocks noChangeAspect="1"/>
                    </pic:cNvPicPr>
                  </pic:nvPicPr>
                  <pic:blipFill>
                    <a:blip r:embed="rId13"/>
                    <a:stretch>
                      <a:fillRect/>
                    </a:stretch>
                  </pic:blipFill>
                  <pic:spPr>
                    <a:xfrm>
                      <a:off x="0" y="0"/>
                      <a:ext cx="5612130" cy="2736215"/>
                    </a:xfrm>
                    <a:prstGeom prst="rect">
                      <a:avLst/>
                    </a:prstGeom>
                  </pic:spPr>
                </pic:pic>
              </a:graphicData>
            </a:graphic>
          </wp:inline>
        </w:drawing>
      </w:r>
    </w:p>
    <w:p w:rsidR="00944E51" w:rsidRPr="00EF4CF8" w:rsidRDefault="00944E51" w:rsidP="00944E51">
      <w:pPr>
        <w:ind w:firstLine="1701"/>
        <w:jc w:val="both"/>
        <w:rPr>
          <w:rFonts w:ascii="Arial" w:hAnsi="Arial" w:cs="Arial"/>
        </w:rPr>
      </w:pPr>
    </w:p>
    <w:p w:rsidR="00944E51" w:rsidRPr="00944E51" w:rsidRDefault="00944E51" w:rsidP="00944E51">
      <w:pPr>
        <w:spacing w:line="276" w:lineRule="auto"/>
        <w:ind w:right="-518" w:firstLine="1701"/>
        <w:jc w:val="both"/>
        <w:rPr>
          <w:rFonts w:ascii="Arial" w:hAnsi="Arial" w:cs="Arial"/>
          <w:sz w:val="22"/>
          <w:szCs w:val="22"/>
        </w:rPr>
      </w:pPr>
      <w:r w:rsidRPr="00944E51">
        <w:rPr>
          <w:rFonts w:ascii="Arial" w:hAnsi="Arial" w:cs="Arial"/>
          <w:sz w:val="22"/>
          <w:szCs w:val="22"/>
        </w:rPr>
        <w:t>En base a lo ya expuesto, se ha diseñado un nuevo FOGAPE Chile Apoya, que está destinado a apoyar a mipymes que más lo necesitan. FOGAPE Chile Apoya entregará créditos para inversión y capital de trabajo para impulsar recuperación, además de créditos para refinanciar las deudas adquiridas en la pandemia a las empresas que tienen más problemas para cumplir con sus obligaciones financieras.</w:t>
      </w:r>
    </w:p>
    <w:p w:rsidR="00944E51" w:rsidRPr="00EF4CF8" w:rsidRDefault="00944E51" w:rsidP="00944E51">
      <w:pPr>
        <w:spacing w:line="276" w:lineRule="auto"/>
        <w:ind w:right="-518" w:firstLine="1701"/>
        <w:jc w:val="both"/>
        <w:rPr>
          <w:rFonts w:ascii="Arial" w:hAnsi="Arial" w:cs="Arial"/>
        </w:rPr>
      </w:pPr>
      <w:r w:rsidRPr="00944E51">
        <w:rPr>
          <w:rFonts w:ascii="Arial" w:hAnsi="Arial" w:cs="Arial"/>
          <w:sz w:val="22"/>
          <w:szCs w:val="22"/>
        </w:rPr>
        <w:t>Serán beneficiarias del nuevo programa las empresas con ventas hasta 100.000 UF que cumplan al menos con uno de los siguientes criterios:</w:t>
      </w:r>
      <w:r w:rsidRPr="00944E51">
        <w:rPr>
          <w:rFonts w:ascii="Arial" w:hAnsi="Arial" w:cs="Arial"/>
          <w:sz w:val="22"/>
          <w:szCs w:val="22"/>
        </w:rPr>
        <w:br/>
      </w:r>
    </w:p>
    <w:p w:rsidR="00944E51" w:rsidRPr="00EF4CF8" w:rsidRDefault="00944E51" w:rsidP="00944E51">
      <w:pPr>
        <w:ind w:firstLine="1701"/>
        <w:jc w:val="both"/>
        <w:rPr>
          <w:rFonts w:ascii="Arial" w:hAnsi="Arial" w:cs="Arial"/>
        </w:rPr>
      </w:pPr>
    </w:p>
    <w:p w:rsidR="00944E51" w:rsidRPr="00EF4CF8" w:rsidRDefault="00944E51" w:rsidP="00944E51">
      <w:pPr>
        <w:ind w:firstLine="1701"/>
        <w:jc w:val="both"/>
        <w:rPr>
          <w:rFonts w:ascii="Arial" w:hAnsi="Arial" w:cs="Arial"/>
        </w:rPr>
      </w:pPr>
    </w:p>
    <w:p w:rsidR="00944E51" w:rsidRPr="00EF4CF8" w:rsidRDefault="00944E51" w:rsidP="00944E51">
      <w:pPr>
        <w:jc w:val="both"/>
        <w:rPr>
          <w:rFonts w:ascii="Arial" w:hAnsi="Arial" w:cs="Arial"/>
        </w:rPr>
      </w:pPr>
      <w:r w:rsidRPr="00EF4CF8">
        <w:rPr>
          <w:rFonts w:ascii="Arial" w:hAnsi="Arial" w:cs="Arial"/>
          <w:noProof/>
          <w:lang w:eastAsia="es-CL"/>
        </w:rPr>
        <w:drawing>
          <wp:inline distT="0" distB="0" distL="0" distR="0" wp14:anchorId="2E5C47FE" wp14:editId="2542A11C">
            <wp:extent cx="5107305" cy="188686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25300" cy="1893514"/>
                    </a:xfrm>
                    <a:prstGeom prst="rect">
                      <a:avLst/>
                    </a:prstGeom>
                    <a:noFill/>
                  </pic:spPr>
                </pic:pic>
              </a:graphicData>
            </a:graphic>
          </wp:inline>
        </w:drawing>
      </w:r>
      <w:r w:rsidRPr="00EF4CF8">
        <w:rPr>
          <w:rFonts w:ascii="Arial" w:hAnsi="Arial" w:cs="Arial"/>
        </w:rPr>
        <w:br/>
      </w:r>
    </w:p>
    <w:p w:rsidR="00944E51" w:rsidRPr="00944E51" w:rsidRDefault="00944E51" w:rsidP="00944E51">
      <w:pPr>
        <w:tabs>
          <w:tab w:val="left" w:pos="0"/>
        </w:tabs>
        <w:spacing w:line="276" w:lineRule="auto"/>
        <w:ind w:right="-518" w:firstLine="1701"/>
        <w:jc w:val="both"/>
        <w:rPr>
          <w:rFonts w:ascii="Arial" w:hAnsi="Arial" w:cs="Arial"/>
          <w:sz w:val="22"/>
          <w:szCs w:val="22"/>
        </w:rPr>
      </w:pPr>
      <w:r w:rsidRPr="00944E51">
        <w:rPr>
          <w:rFonts w:ascii="Arial" w:hAnsi="Arial" w:cs="Arial"/>
          <w:sz w:val="22"/>
          <w:szCs w:val="22"/>
        </w:rPr>
        <w:t>El diseño de FOGAPE Chile Apoya considera un esquema de garantía con mayores porcentajes de coberturas para las empresas más pequeñas:</w:t>
      </w:r>
    </w:p>
    <w:p w:rsidR="00944E51" w:rsidRPr="00944E51" w:rsidRDefault="00944E51" w:rsidP="00944E51">
      <w:pPr>
        <w:tabs>
          <w:tab w:val="left" w:pos="0"/>
        </w:tabs>
        <w:spacing w:line="276" w:lineRule="auto"/>
        <w:ind w:right="-518" w:firstLine="1701"/>
        <w:jc w:val="both"/>
        <w:rPr>
          <w:rFonts w:ascii="Arial" w:hAnsi="Arial" w:cs="Arial"/>
          <w:sz w:val="22"/>
          <w:szCs w:val="22"/>
        </w:rPr>
      </w:pPr>
      <w:r w:rsidRPr="00944E51">
        <w:rPr>
          <w:rFonts w:ascii="Arial" w:hAnsi="Arial" w:cs="Arial"/>
          <w:sz w:val="22"/>
          <w:szCs w:val="22"/>
        </w:rPr>
        <w:t>-Hasta 95% para microempresas (ventas hasta 2.400 UF)</w:t>
      </w:r>
    </w:p>
    <w:p w:rsidR="00944E51" w:rsidRPr="00944E51" w:rsidRDefault="00944E51" w:rsidP="00944E51">
      <w:pPr>
        <w:tabs>
          <w:tab w:val="left" w:pos="0"/>
        </w:tabs>
        <w:spacing w:line="276" w:lineRule="auto"/>
        <w:ind w:right="-518" w:firstLine="1701"/>
        <w:jc w:val="both"/>
        <w:rPr>
          <w:rFonts w:ascii="Arial" w:hAnsi="Arial" w:cs="Arial"/>
          <w:sz w:val="22"/>
          <w:szCs w:val="22"/>
        </w:rPr>
      </w:pPr>
      <w:r w:rsidRPr="00944E51">
        <w:rPr>
          <w:rFonts w:ascii="Arial" w:hAnsi="Arial" w:cs="Arial"/>
          <w:sz w:val="22"/>
          <w:szCs w:val="22"/>
        </w:rPr>
        <w:t>-Hasta 90% para pequeñas empresas (ventas entre 2.400 y 25.000 UF)</w:t>
      </w:r>
    </w:p>
    <w:p w:rsidR="00944E51" w:rsidRPr="00944E51" w:rsidRDefault="00944E51" w:rsidP="00944E51">
      <w:pPr>
        <w:tabs>
          <w:tab w:val="left" w:pos="0"/>
        </w:tabs>
        <w:spacing w:line="276" w:lineRule="auto"/>
        <w:ind w:right="-518" w:firstLine="1701"/>
        <w:jc w:val="both"/>
        <w:rPr>
          <w:rFonts w:ascii="Arial" w:hAnsi="Arial" w:cs="Arial"/>
          <w:sz w:val="22"/>
          <w:szCs w:val="22"/>
        </w:rPr>
      </w:pPr>
      <w:r w:rsidRPr="00944E51">
        <w:rPr>
          <w:rFonts w:ascii="Arial" w:hAnsi="Arial" w:cs="Arial"/>
          <w:sz w:val="22"/>
          <w:szCs w:val="22"/>
        </w:rPr>
        <w:t>-Hasta 85% para medianas empresas (ventas entre 25.000 y 100.000 UF)</w:t>
      </w:r>
    </w:p>
    <w:p w:rsidR="00944E51" w:rsidRPr="00944E51" w:rsidRDefault="00944E51" w:rsidP="00944E51">
      <w:pPr>
        <w:tabs>
          <w:tab w:val="left" w:pos="0"/>
        </w:tabs>
        <w:spacing w:line="276" w:lineRule="auto"/>
        <w:ind w:right="-518" w:firstLine="1701"/>
        <w:jc w:val="both"/>
        <w:rPr>
          <w:rFonts w:ascii="Arial" w:hAnsi="Arial" w:cs="Arial"/>
          <w:sz w:val="22"/>
          <w:szCs w:val="22"/>
        </w:rPr>
      </w:pPr>
      <w:r w:rsidRPr="00944E51">
        <w:rPr>
          <w:rFonts w:ascii="Arial" w:hAnsi="Arial" w:cs="Arial"/>
          <w:sz w:val="22"/>
          <w:szCs w:val="22"/>
        </w:rPr>
        <w:t>Además, se establece un nuevo esquema en la licitación de garantías para que:</w:t>
      </w:r>
    </w:p>
    <w:p w:rsidR="00944E51" w:rsidRPr="00944E51" w:rsidRDefault="00944E51" w:rsidP="00944E51">
      <w:pPr>
        <w:tabs>
          <w:tab w:val="left" w:pos="0"/>
        </w:tabs>
        <w:spacing w:line="276" w:lineRule="auto"/>
        <w:ind w:right="-518" w:firstLine="1701"/>
        <w:jc w:val="both"/>
        <w:rPr>
          <w:rFonts w:ascii="Arial" w:hAnsi="Arial" w:cs="Arial"/>
          <w:sz w:val="22"/>
          <w:szCs w:val="22"/>
        </w:rPr>
      </w:pPr>
      <w:r w:rsidRPr="00944E51">
        <w:rPr>
          <w:rFonts w:ascii="Arial" w:hAnsi="Arial" w:cs="Arial"/>
          <w:sz w:val="22"/>
          <w:szCs w:val="22"/>
        </w:rPr>
        <w:t>-Al menos el 70% de las garantías deban ser destinadas a pequeñas empresas (mipes)</w:t>
      </w:r>
    </w:p>
    <w:p w:rsidR="00944E51" w:rsidRPr="00944E51" w:rsidRDefault="00944E51" w:rsidP="00944E51">
      <w:pPr>
        <w:tabs>
          <w:tab w:val="left" w:pos="0"/>
        </w:tabs>
        <w:spacing w:line="276" w:lineRule="auto"/>
        <w:ind w:right="-518" w:firstLine="1701"/>
        <w:jc w:val="both"/>
        <w:rPr>
          <w:rFonts w:ascii="Arial" w:hAnsi="Arial" w:cs="Arial"/>
          <w:sz w:val="22"/>
          <w:szCs w:val="22"/>
        </w:rPr>
      </w:pPr>
      <w:r w:rsidRPr="00944E51">
        <w:rPr>
          <w:rFonts w:ascii="Arial" w:hAnsi="Arial" w:cs="Arial"/>
          <w:sz w:val="22"/>
          <w:szCs w:val="22"/>
        </w:rPr>
        <w:t>-Al menos el 30% de las garantías deban ser destinadas a microempresas</w:t>
      </w:r>
    </w:p>
    <w:p w:rsidR="00944E51" w:rsidRPr="00944E51" w:rsidRDefault="00944E51" w:rsidP="00944E51">
      <w:pPr>
        <w:tabs>
          <w:tab w:val="left" w:pos="0"/>
        </w:tabs>
        <w:spacing w:line="276" w:lineRule="auto"/>
        <w:ind w:right="-518" w:firstLine="1701"/>
        <w:jc w:val="both"/>
        <w:rPr>
          <w:rFonts w:ascii="Arial" w:hAnsi="Arial" w:cs="Arial"/>
          <w:sz w:val="22"/>
          <w:szCs w:val="22"/>
        </w:rPr>
      </w:pPr>
      <w:r w:rsidRPr="00944E51">
        <w:rPr>
          <w:rFonts w:ascii="Arial" w:hAnsi="Arial" w:cs="Arial"/>
          <w:sz w:val="22"/>
          <w:szCs w:val="22"/>
        </w:rPr>
        <w:t xml:space="preserve">La situación del sistema financiero es distinta al periodo en que se entregaron créditos de los últimos dos FOGAPE. En este momento, la Tasa de Política Monetaria (“TPM”) es del 9,75%, lo que repercute un mayor costo de fondeo para estos y en mayores tasas en los créditos que otorgan. </w:t>
      </w:r>
    </w:p>
    <w:p w:rsidR="00944E51" w:rsidRPr="00944E51" w:rsidRDefault="00944E51" w:rsidP="00944E51">
      <w:pPr>
        <w:tabs>
          <w:tab w:val="left" w:pos="0"/>
        </w:tabs>
        <w:spacing w:line="276" w:lineRule="auto"/>
        <w:ind w:right="-518" w:firstLine="1701"/>
        <w:jc w:val="both"/>
        <w:rPr>
          <w:rFonts w:ascii="Arial" w:hAnsi="Arial" w:cs="Arial"/>
          <w:sz w:val="22"/>
          <w:szCs w:val="22"/>
        </w:rPr>
      </w:pPr>
      <w:r w:rsidRPr="00944E51">
        <w:rPr>
          <w:rFonts w:ascii="Arial" w:hAnsi="Arial" w:cs="Arial"/>
          <w:sz w:val="22"/>
          <w:szCs w:val="22"/>
        </w:rPr>
        <w:t>Por lo anterior, resulta conveniente establecer una tasa máxima, la que debe equilibrar eventuales efectos restrictivos y evitar tasas excesivas.</w:t>
      </w:r>
    </w:p>
    <w:p w:rsidR="00944E51" w:rsidRPr="00944E51" w:rsidRDefault="00944E51" w:rsidP="00944E51">
      <w:pPr>
        <w:tabs>
          <w:tab w:val="left" w:pos="0"/>
        </w:tabs>
        <w:spacing w:line="276" w:lineRule="auto"/>
        <w:ind w:right="-518" w:firstLine="1701"/>
        <w:jc w:val="both"/>
        <w:rPr>
          <w:rFonts w:ascii="Arial" w:hAnsi="Arial" w:cs="Arial"/>
          <w:sz w:val="22"/>
          <w:szCs w:val="22"/>
        </w:rPr>
      </w:pPr>
      <w:r w:rsidRPr="00944E51">
        <w:rPr>
          <w:rFonts w:ascii="Arial" w:hAnsi="Arial" w:cs="Arial"/>
          <w:sz w:val="22"/>
          <w:szCs w:val="22"/>
        </w:rPr>
        <w:t>La tasa propuesta para este FOGAPE es de TPM+5%, sin perjuicio de que en la ley se regula en una tasa máxima TPM+7,2%, para poder flexibilizar las condiciones si la demanda del beneficio así lo requiere.</w:t>
      </w:r>
    </w:p>
    <w:p w:rsidR="00944E51" w:rsidRPr="00944E51" w:rsidRDefault="00944E51" w:rsidP="00944E51">
      <w:pPr>
        <w:tabs>
          <w:tab w:val="left" w:pos="0"/>
        </w:tabs>
        <w:spacing w:line="276" w:lineRule="auto"/>
        <w:ind w:right="-518" w:firstLine="1701"/>
        <w:jc w:val="both"/>
        <w:rPr>
          <w:rFonts w:ascii="Arial" w:hAnsi="Arial" w:cs="Arial"/>
          <w:sz w:val="22"/>
          <w:szCs w:val="22"/>
        </w:rPr>
      </w:pPr>
    </w:p>
    <w:p w:rsidR="00944E51" w:rsidRPr="00944E51" w:rsidRDefault="00944E51" w:rsidP="00944E51">
      <w:pPr>
        <w:tabs>
          <w:tab w:val="left" w:pos="0"/>
        </w:tabs>
        <w:spacing w:line="276" w:lineRule="auto"/>
        <w:ind w:right="-518" w:firstLine="1701"/>
        <w:jc w:val="both"/>
        <w:rPr>
          <w:rFonts w:ascii="Arial" w:hAnsi="Arial" w:cs="Arial"/>
          <w:sz w:val="22"/>
          <w:szCs w:val="22"/>
        </w:rPr>
      </w:pPr>
      <w:r w:rsidRPr="00827DE9">
        <w:rPr>
          <w:rFonts w:ascii="Arial" w:hAnsi="Arial" w:cs="Arial"/>
          <w:b/>
          <w:sz w:val="22"/>
          <w:szCs w:val="22"/>
        </w:rPr>
        <w:t>La subsecretaria de Hacienda, señora Claudia Sanhueza</w:t>
      </w:r>
      <w:r w:rsidRPr="00944E51">
        <w:rPr>
          <w:rFonts w:ascii="Arial" w:hAnsi="Arial" w:cs="Arial"/>
          <w:sz w:val="22"/>
          <w:szCs w:val="22"/>
        </w:rPr>
        <w:t>, se refirió a la propuesta de alivio de deudas tributarias para Mipymes. Señaló que la pandemia tuvo un particular impacto negativo en las micro, pequeñas y medianas empresas. Según cifras del Ministerio de Economía, las ventas de las micro</w:t>
      </w:r>
      <w:r w:rsidR="00C1286F">
        <w:rPr>
          <w:rFonts w:ascii="Arial" w:hAnsi="Arial" w:cs="Arial"/>
          <w:sz w:val="22"/>
          <w:szCs w:val="22"/>
        </w:rPr>
        <w:t>s</w:t>
      </w:r>
      <w:r w:rsidRPr="00944E51">
        <w:rPr>
          <w:rFonts w:ascii="Arial" w:hAnsi="Arial" w:cs="Arial"/>
          <w:sz w:val="22"/>
          <w:szCs w:val="22"/>
        </w:rPr>
        <w:t>, pequeñas y medianas empresas cayeron 37,5% 10,4% y 4,3% respectivamente entre 2019 y 2020. Esto implicó que muchas Mipymes entraran en situación de no pago con el fisco, acumulando deudas tributarias. Si bien la TGR está facultada para aplicar convenios de pagos, éstos requieren del pago de un pie, lo que dificulta la normalización tributaria de aquellas Mipymes con estrechez de liquidez.</w:t>
      </w:r>
    </w:p>
    <w:p w:rsidR="00944E51" w:rsidRPr="00827DE9" w:rsidRDefault="00944E51" w:rsidP="00944E51">
      <w:pPr>
        <w:tabs>
          <w:tab w:val="left" w:pos="0"/>
        </w:tabs>
        <w:spacing w:line="276" w:lineRule="auto"/>
        <w:ind w:right="-518" w:firstLine="1701"/>
        <w:jc w:val="both"/>
        <w:rPr>
          <w:rFonts w:ascii="Arial" w:hAnsi="Arial" w:cs="Arial"/>
          <w:sz w:val="22"/>
          <w:szCs w:val="22"/>
          <w:u w:val="single"/>
        </w:rPr>
      </w:pPr>
      <w:r w:rsidRPr="00827DE9">
        <w:rPr>
          <w:rFonts w:ascii="Arial" w:hAnsi="Arial" w:cs="Arial"/>
          <w:sz w:val="22"/>
          <w:szCs w:val="22"/>
          <w:u w:val="single"/>
        </w:rPr>
        <w:t>Con el programa de flexibilización de deudas tributarias se busca</w:t>
      </w:r>
    </w:p>
    <w:p w:rsidR="00944E51" w:rsidRPr="00944E51" w:rsidRDefault="00944E51" w:rsidP="00944E51">
      <w:pPr>
        <w:tabs>
          <w:tab w:val="left" w:pos="0"/>
        </w:tabs>
        <w:spacing w:line="276" w:lineRule="auto"/>
        <w:ind w:right="-518" w:firstLine="1701"/>
        <w:jc w:val="both"/>
        <w:rPr>
          <w:rFonts w:ascii="Arial" w:hAnsi="Arial" w:cs="Arial"/>
          <w:sz w:val="22"/>
          <w:szCs w:val="22"/>
        </w:rPr>
      </w:pPr>
      <w:r w:rsidRPr="00944E51">
        <w:rPr>
          <w:rFonts w:ascii="Arial" w:hAnsi="Arial" w:cs="Arial"/>
          <w:sz w:val="22"/>
          <w:szCs w:val="22"/>
        </w:rPr>
        <w:t>1. Fomentar regularización de deudas tributarias de Mipymes a través de convenios de pago aplicados por la TGR más flexibles y de manera excepcional Esto es, mayores plazos de pago, condonación de multas e intereses y posibilidad de iniciar convenio sin pie</w:t>
      </w:r>
    </w:p>
    <w:p w:rsidR="00944E51" w:rsidRPr="00944E51" w:rsidRDefault="00944E51" w:rsidP="00944E51">
      <w:pPr>
        <w:tabs>
          <w:tab w:val="left" w:pos="0"/>
        </w:tabs>
        <w:spacing w:line="276" w:lineRule="auto"/>
        <w:ind w:right="-518" w:firstLine="1701"/>
        <w:jc w:val="both"/>
        <w:rPr>
          <w:rFonts w:ascii="Arial" w:hAnsi="Arial" w:cs="Arial"/>
          <w:sz w:val="22"/>
          <w:szCs w:val="22"/>
        </w:rPr>
      </w:pPr>
      <w:r w:rsidRPr="00944E51">
        <w:rPr>
          <w:rFonts w:ascii="Arial" w:hAnsi="Arial" w:cs="Arial"/>
          <w:sz w:val="22"/>
          <w:szCs w:val="22"/>
        </w:rPr>
        <w:t>2. Evitar que Mipymes entren en cobranza judicial por deudas tributarias</w:t>
      </w:r>
    </w:p>
    <w:p w:rsidR="00944E51" w:rsidRPr="00944E51" w:rsidRDefault="00944E51" w:rsidP="00944E51">
      <w:pPr>
        <w:tabs>
          <w:tab w:val="left" w:pos="0"/>
        </w:tabs>
        <w:spacing w:line="276" w:lineRule="auto"/>
        <w:ind w:right="-518" w:firstLine="1701"/>
        <w:jc w:val="both"/>
        <w:rPr>
          <w:rFonts w:ascii="Arial" w:hAnsi="Arial" w:cs="Arial"/>
          <w:sz w:val="22"/>
          <w:szCs w:val="22"/>
        </w:rPr>
      </w:pPr>
      <w:r w:rsidRPr="00944E51">
        <w:rPr>
          <w:rFonts w:ascii="Arial" w:hAnsi="Arial" w:cs="Arial"/>
          <w:sz w:val="22"/>
          <w:szCs w:val="22"/>
        </w:rPr>
        <w:t>3. Permitir a Mipymes que ya están en un proceso de cobranza judicial salgan de estos con la suscripción de los convenios</w:t>
      </w:r>
    </w:p>
    <w:p w:rsidR="00944E51" w:rsidRPr="00944E51" w:rsidRDefault="00944E51" w:rsidP="00944E51">
      <w:pPr>
        <w:tabs>
          <w:tab w:val="left" w:pos="0"/>
        </w:tabs>
        <w:spacing w:line="276" w:lineRule="auto"/>
        <w:ind w:right="-518" w:firstLine="1701"/>
        <w:jc w:val="both"/>
        <w:rPr>
          <w:rFonts w:ascii="Arial" w:hAnsi="Arial" w:cs="Arial"/>
          <w:sz w:val="22"/>
          <w:szCs w:val="22"/>
        </w:rPr>
      </w:pPr>
      <w:r w:rsidRPr="00944E51">
        <w:rPr>
          <w:rFonts w:ascii="Arial" w:hAnsi="Arial" w:cs="Arial"/>
          <w:sz w:val="22"/>
          <w:szCs w:val="22"/>
        </w:rPr>
        <w:t>4. Liberar liquidez en el corto plazo, al no necesitar pie y al ampliar plazo de cuotas, a aquellas Mipymes que deseen regularizar su situación tributaria, para que puedan responder a otras obligaciones</w:t>
      </w:r>
    </w:p>
    <w:p w:rsidR="00944E51" w:rsidRPr="00944E51" w:rsidRDefault="00944E51" w:rsidP="00944E51">
      <w:pPr>
        <w:tabs>
          <w:tab w:val="left" w:pos="0"/>
        </w:tabs>
        <w:spacing w:line="276" w:lineRule="auto"/>
        <w:ind w:right="-518" w:firstLine="1701"/>
        <w:jc w:val="both"/>
        <w:rPr>
          <w:rFonts w:ascii="Arial" w:hAnsi="Arial" w:cs="Arial"/>
          <w:sz w:val="22"/>
          <w:szCs w:val="22"/>
        </w:rPr>
      </w:pPr>
      <w:r w:rsidRPr="00944E51">
        <w:rPr>
          <w:rFonts w:ascii="Arial" w:hAnsi="Arial" w:cs="Arial"/>
          <w:sz w:val="22"/>
          <w:szCs w:val="22"/>
        </w:rPr>
        <w:t>El proyecto establece que la Tesorería suscribirá convenios de pago por impuestos adeudados, vencidos hasta el 31 de mayo de 2022 Esta medida también se encuentra exclusivamente orientada a Mipymes. El proyecto establece varios beneficios especiales respecto de estos convenios</w:t>
      </w:r>
    </w:p>
    <w:p w:rsidR="00944E51" w:rsidRPr="00944E51" w:rsidRDefault="00944E51" w:rsidP="00944E51">
      <w:pPr>
        <w:tabs>
          <w:tab w:val="left" w:pos="0"/>
        </w:tabs>
        <w:spacing w:line="276" w:lineRule="auto"/>
        <w:ind w:right="-518" w:firstLine="1701"/>
        <w:jc w:val="both"/>
        <w:rPr>
          <w:rFonts w:ascii="Arial" w:hAnsi="Arial" w:cs="Arial"/>
          <w:sz w:val="22"/>
          <w:szCs w:val="22"/>
        </w:rPr>
      </w:pPr>
      <w:r w:rsidRPr="00944E51">
        <w:rPr>
          <w:rFonts w:ascii="Arial" w:hAnsi="Arial" w:cs="Arial"/>
          <w:sz w:val="22"/>
          <w:szCs w:val="22"/>
        </w:rPr>
        <w:t>- Los convenios de pago podrán pactarse hasta en 48 cuotas mensuales</w:t>
      </w:r>
    </w:p>
    <w:p w:rsidR="00944E51" w:rsidRPr="00944E51" w:rsidRDefault="00944E51" w:rsidP="00944E51">
      <w:pPr>
        <w:tabs>
          <w:tab w:val="left" w:pos="0"/>
        </w:tabs>
        <w:spacing w:line="276" w:lineRule="auto"/>
        <w:ind w:right="-518" w:firstLine="1701"/>
        <w:jc w:val="both"/>
        <w:rPr>
          <w:rFonts w:ascii="Arial" w:hAnsi="Arial" w:cs="Arial"/>
          <w:sz w:val="22"/>
          <w:szCs w:val="22"/>
        </w:rPr>
      </w:pPr>
      <w:r w:rsidRPr="00944E51">
        <w:rPr>
          <w:rFonts w:ascii="Arial" w:hAnsi="Arial" w:cs="Arial"/>
          <w:sz w:val="22"/>
          <w:szCs w:val="22"/>
        </w:rPr>
        <w:t>- No se exigirán un pago inicial (pie) a contribuyentes que tengan impuestos que hayan vencido entre el 31 de octubre de 2019 y el 31 de mayo de 2022</w:t>
      </w:r>
    </w:p>
    <w:p w:rsidR="00944E51" w:rsidRPr="00944E51" w:rsidRDefault="00944E51" w:rsidP="00944E51">
      <w:pPr>
        <w:tabs>
          <w:tab w:val="left" w:pos="0"/>
        </w:tabs>
        <w:spacing w:line="276" w:lineRule="auto"/>
        <w:ind w:right="-518" w:firstLine="1701"/>
        <w:jc w:val="both"/>
        <w:rPr>
          <w:rFonts w:ascii="Arial" w:hAnsi="Arial" w:cs="Arial"/>
          <w:sz w:val="22"/>
          <w:szCs w:val="22"/>
        </w:rPr>
      </w:pPr>
      <w:r w:rsidRPr="00944E51">
        <w:rPr>
          <w:rFonts w:ascii="Arial" w:hAnsi="Arial" w:cs="Arial"/>
          <w:sz w:val="22"/>
          <w:szCs w:val="22"/>
        </w:rPr>
        <w:t>- La firma del convenio implicará la condonación del 100 de los intereses y multas derivados de la deuda</w:t>
      </w:r>
    </w:p>
    <w:p w:rsidR="00944E51" w:rsidRPr="00944E51" w:rsidRDefault="00944E51" w:rsidP="00944E51">
      <w:pPr>
        <w:tabs>
          <w:tab w:val="left" w:pos="0"/>
        </w:tabs>
        <w:spacing w:line="276" w:lineRule="auto"/>
        <w:ind w:right="-518" w:firstLine="1701"/>
        <w:jc w:val="both"/>
        <w:rPr>
          <w:rFonts w:ascii="Arial" w:hAnsi="Arial" w:cs="Arial"/>
          <w:sz w:val="22"/>
          <w:szCs w:val="22"/>
        </w:rPr>
      </w:pPr>
      <w:r w:rsidRPr="00944E51">
        <w:rPr>
          <w:rFonts w:ascii="Arial" w:hAnsi="Arial" w:cs="Arial"/>
          <w:sz w:val="22"/>
          <w:szCs w:val="22"/>
        </w:rPr>
        <w:t>- Se podrá acceder a este tipo de convenios hasta el 31 de diciembre de 2022</w:t>
      </w:r>
    </w:p>
    <w:p w:rsidR="00944E51" w:rsidRPr="00944E51" w:rsidRDefault="00944E51" w:rsidP="00944E51">
      <w:pPr>
        <w:tabs>
          <w:tab w:val="left" w:pos="0"/>
        </w:tabs>
        <w:spacing w:line="276" w:lineRule="auto"/>
        <w:ind w:right="-518" w:firstLine="1701"/>
        <w:jc w:val="both"/>
        <w:rPr>
          <w:rFonts w:ascii="Arial" w:hAnsi="Arial" w:cs="Arial"/>
          <w:sz w:val="22"/>
          <w:szCs w:val="22"/>
        </w:rPr>
      </w:pPr>
      <w:r w:rsidRPr="00944E51">
        <w:rPr>
          <w:rFonts w:ascii="Arial" w:hAnsi="Arial" w:cs="Arial"/>
          <w:sz w:val="22"/>
          <w:szCs w:val="22"/>
        </w:rPr>
        <w:t>Podrán acceder a este beneficio las Mipymes que cumplan con los requisitos para acogerse al régimen de tributación Pro Pyme de la Ley de la Renta. El listado de potenciales beneficiarios será construido por el Servicio de Impuestos Internos. Es importante señalar que NO es requisito que la Mipyme esté efectivamente acogida a este sistema de tributación, sino solamente cumplir con los requisitos. El régimen Pro Pyme se encuentra establecido en el artículo 14 D del Decreto Ley N 824 Ley de la Renta, y los requisitos para acogerse a dicho régimen pueden resumirse de la siguiente forma</w:t>
      </w:r>
    </w:p>
    <w:p w:rsidR="00944E51" w:rsidRPr="00944E51" w:rsidRDefault="00944E51" w:rsidP="00944E51">
      <w:pPr>
        <w:tabs>
          <w:tab w:val="left" w:pos="0"/>
        </w:tabs>
        <w:spacing w:line="276" w:lineRule="auto"/>
        <w:ind w:right="-518" w:firstLine="1701"/>
        <w:jc w:val="both"/>
        <w:rPr>
          <w:rFonts w:ascii="Arial" w:hAnsi="Arial" w:cs="Arial"/>
          <w:sz w:val="22"/>
          <w:szCs w:val="22"/>
        </w:rPr>
      </w:pPr>
      <w:r w:rsidRPr="00944E51">
        <w:rPr>
          <w:rFonts w:ascii="Arial" w:hAnsi="Arial" w:cs="Arial"/>
          <w:sz w:val="22"/>
          <w:szCs w:val="22"/>
        </w:rPr>
        <w:t>1. Que el capital efectivo al inicio de actividades no exceda las 85 000 UF</w:t>
      </w:r>
    </w:p>
    <w:p w:rsidR="00944E51" w:rsidRPr="00944E51" w:rsidRDefault="00944E51" w:rsidP="00944E51">
      <w:pPr>
        <w:tabs>
          <w:tab w:val="left" w:pos="0"/>
        </w:tabs>
        <w:spacing w:line="276" w:lineRule="auto"/>
        <w:ind w:right="-518" w:firstLine="1701"/>
        <w:jc w:val="both"/>
        <w:rPr>
          <w:rFonts w:ascii="Arial" w:hAnsi="Arial" w:cs="Arial"/>
          <w:sz w:val="22"/>
          <w:szCs w:val="22"/>
        </w:rPr>
      </w:pPr>
      <w:r w:rsidRPr="00944E51">
        <w:rPr>
          <w:rFonts w:ascii="Arial" w:hAnsi="Arial" w:cs="Arial"/>
          <w:sz w:val="22"/>
          <w:szCs w:val="22"/>
        </w:rPr>
        <w:t>2. Que el promedio anual de ingresos brutos, considerando los tres ejercicios anteriores, no exceda las 75 000 UF</w:t>
      </w:r>
    </w:p>
    <w:p w:rsidR="00944E51" w:rsidRPr="00944E51" w:rsidRDefault="00944E51" w:rsidP="00944E51">
      <w:pPr>
        <w:tabs>
          <w:tab w:val="left" w:pos="0"/>
        </w:tabs>
        <w:spacing w:line="276" w:lineRule="auto"/>
        <w:ind w:right="-518" w:firstLine="1701"/>
        <w:jc w:val="both"/>
        <w:rPr>
          <w:rFonts w:ascii="Arial" w:hAnsi="Arial" w:cs="Arial"/>
          <w:sz w:val="22"/>
          <w:szCs w:val="22"/>
        </w:rPr>
      </w:pPr>
      <w:r w:rsidRPr="00944E51">
        <w:rPr>
          <w:rFonts w:ascii="Arial" w:hAnsi="Arial" w:cs="Arial"/>
          <w:sz w:val="22"/>
          <w:szCs w:val="22"/>
        </w:rPr>
        <w:t>3. Que el conjunto de ingresos de las siguientes actividades no exceda el 35 de sus ingresos brutos del giro i) rentas de bienes raíces ii rentas de capitales mobiliarios y iii participaciones en contratos de asociación o cuentas en participación</w:t>
      </w:r>
    </w:p>
    <w:p w:rsidR="00944E51" w:rsidRPr="00944E51" w:rsidRDefault="00944E51" w:rsidP="00944E51">
      <w:pPr>
        <w:tabs>
          <w:tab w:val="left" w:pos="0"/>
        </w:tabs>
        <w:spacing w:line="276" w:lineRule="auto"/>
        <w:ind w:right="-518" w:firstLine="1701"/>
        <w:jc w:val="both"/>
        <w:rPr>
          <w:rFonts w:ascii="Arial" w:hAnsi="Arial" w:cs="Arial"/>
          <w:sz w:val="22"/>
          <w:szCs w:val="22"/>
        </w:rPr>
      </w:pPr>
      <w:r w:rsidRPr="00944E51">
        <w:rPr>
          <w:rFonts w:ascii="Arial" w:hAnsi="Arial" w:cs="Arial"/>
          <w:sz w:val="22"/>
          <w:szCs w:val="22"/>
        </w:rPr>
        <w:t>La TGR estima en 157 168 los contribuyentes que podrían acogerse a este beneficio</w:t>
      </w:r>
    </w:p>
    <w:p w:rsidR="00944E51" w:rsidRPr="00944E51" w:rsidRDefault="00944E51" w:rsidP="00944E51">
      <w:pPr>
        <w:tabs>
          <w:tab w:val="left" w:pos="0"/>
        </w:tabs>
        <w:spacing w:line="276" w:lineRule="auto"/>
        <w:ind w:right="-518" w:firstLine="1701"/>
        <w:jc w:val="both"/>
        <w:rPr>
          <w:rFonts w:ascii="Arial" w:hAnsi="Arial" w:cs="Arial"/>
          <w:sz w:val="22"/>
          <w:szCs w:val="22"/>
        </w:rPr>
      </w:pPr>
      <w:r w:rsidRPr="00944E51">
        <w:rPr>
          <w:rFonts w:ascii="Arial" w:hAnsi="Arial" w:cs="Arial"/>
          <w:sz w:val="22"/>
          <w:szCs w:val="22"/>
        </w:rPr>
        <w:t>Comparación con convenios actuales:</w:t>
      </w:r>
    </w:p>
    <w:p w:rsidR="00944E51" w:rsidRPr="00944E51" w:rsidRDefault="00944E51" w:rsidP="00944E51">
      <w:pPr>
        <w:tabs>
          <w:tab w:val="left" w:pos="0"/>
        </w:tabs>
        <w:spacing w:line="276" w:lineRule="auto"/>
        <w:ind w:right="-518" w:firstLine="1701"/>
        <w:jc w:val="both"/>
        <w:rPr>
          <w:rFonts w:ascii="Arial" w:hAnsi="Arial" w:cs="Arial"/>
          <w:sz w:val="22"/>
          <w:szCs w:val="22"/>
        </w:rPr>
      </w:pPr>
    </w:p>
    <w:p w:rsidR="00944E51" w:rsidRPr="00EF4CF8" w:rsidRDefault="00944E51" w:rsidP="00944E51">
      <w:pPr>
        <w:tabs>
          <w:tab w:val="left" w:pos="0"/>
        </w:tabs>
        <w:jc w:val="both"/>
        <w:rPr>
          <w:rFonts w:ascii="Arial" w:hAnsi="Arial" w:cs="Arial"/>
        </w:rPr>
      </w:pPr>
      <w:r w:rsidRPr="00EF4CF8">
        <w:rPr>
          <w:rFonts w:ascii="Arial" w:hAnsi="Arial" w:cs="Arial"/>
          <w:noProof/>
          <w:lang w:eastAsia="es-CL"/>
        </w:rPr>
        <w:drawing>
          <wp:inline distT="0" distB="0" distL="0" distR="0" wp14:anchorId="082B6DBE" wp14:editId="051DB8D7">
            <wp:extent cx="5612130" cy="22415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2241550"/>
                    </a:xfrm>
                    <a:prstGeom prst="rect">
                      <a:avLst/>
                    </a:prstGeom>
                    <a:noFill/>
                    <a:ln>
                      <a:noFill/>
                    </a:ln>
                  </pic:spPr>
                </pic:pic>
              </a:graphicData>
            </a:graphic>
          </wp:inline>
        </w:drawing>
      </w:r>
    </w:p>
    <w:p w:rsidR="00944E51" w:rsidRPr="00EF4CF8" w:rsidRDefault="00944E51" w:rsidP="00944E51">
      <w:pPr>
        <w:tabs>
          <w:tab w:val="left" w:pos="0"/>
        </w:tabs>
        <w:ind w:firstLine="1701"/>
        <w:jc w:val="both"/>
        <w:rPr>
          <w:rFonts w:ascii="Arial" w:hAnsi="Arial" w:cs="Arial"/>
        </w:rPr>
      </w:pPr>
    </w:p>
    <w:p w:rsidR="00944E51" w:rsidRPr="00944E51" w:rsidRDefault="00944E51" w:rsidP="00944E51">
      <w:pPr>
        <w:tabs>
          <w:tab w:val="left" w:pos="0"/>
        </w:tabs>
        <w:spacing w:line="276" w:lineRule="auto"/>
        <w:ind w:right="-518" w:firstLine="1701"/>
        <w:jc w:val="both"/>
        <w:rPr>
          <w:rFonts w:ascii="Arial" w:hAnsi="Arial" w:cs="Arial"/>
          <w:sz w:val="22"/>
          <w:szCs w:val="22"/>
        </w:rPr>
      </w:pPr>
      <w:r w:rsidRPr="00944E51">
        <w:rPr>
          <w:rFonts w:ascii="Arial" w:hAnsi="Arial" w:cs="Arial"/>
          <w:sz w:val="22"/>
          <w:szCs w:val="22"/>
        </w:rPr>
        <w:t>Según datos de la TGR, el universo de potenciales beneficiarios se estima en 157.168. La tasa de uso del beneficio se estima en 20 considerando un comportamiento similar al último programa de flexibilización. Existe un potencial costo fiscal máximo por menor recaudación de multas e intereses de 228.704 millones de pesos Esto asume que los deudores eventualmente sí pagan sus deudas bajo parámetros de convenios actuales. Sin embargo, el costo fiscal neto puede ser significativamente menor o incluso positivo, ya que este tipo de convenios incentiva el pago de impuestos que, en ausencia de convenio, no serían pagados. Así lo muestran los últimos programas de flexibilización de convenios.</w:t>
      </w:r>
    </w:p>
    <w:p w:rsidR="00944E51" w:rsidRPr="00944E51" w:rsidRDefault="00944E51" w:rsidP="00944E51">
      <w:pPr>
        <w:tabs>
          <w:tab w:val="left" w:pos="0"/>
        </w:tabs>
        <w:spacing w:line="276" w:lineRule="auto"/>
        <w:ind w:right="-518" w:firstLine="1701"/>
        <w:jc w:val="both"/>
        <w:rPr>
          <w:rFonts w:ascii="Arial" w:hAnsi="Arial" w:cs="Arial"/>
          <w:sz w:val="22"/>
          <w:szCs w:val="22"/>
        </w:rPr>
      </w:pPr>
    </w:p>
    <w:p w:rsidR="00827DE9" w:rsidRPr="00827DE9" w:rsidRDefault="00827DE9" w:rsidP="00944E51">
      <w:pPr>
        <w:tabs>
          <w:tab w:val="left" w:pos="0"/>
        </w:tabs>
        <w:spacing w:line="276" w:lineRule="auto"/>
        <w:ind w:right="-518" w:firstLine="1701"/>
        <w:jc w:val="both"/>
        <w:rPr>
          <w:rFonts w:ascii="Arial" w:hAnsi="Arial" w:cs="Arial"/>
          <w:sz w:val="22"/>
          <w:szCs w:val="22"/>
          <w:u w:val="single"/>
        </w:rPr>
      </w:pPr>
      <w:r w:rsidRPr="00827DE9">
        <w:rPr>
          <w:rFonts w:ascii="Arial" w:hAnsi="Arial" w:cs="Arial"/>
          <w:sz w:val="22"/>
          <w:szCs w:val="22"/>
          <w:u w:val="single"/>
        </w:rPr>
        <w:t>Discusión</w:t>
      </w:r>
    </w:p>
    <w:p w:rsidR="00944E51" w:rsidRPr="00944E51" w:rsidRDefault="00944E51" w:rsidP="00944E51">
      <w:pPr>
        <w:tabs>
          <w:tab w:val="left" w:pos="0"/>
        </w:tabs>
        <w:spacing w:line="276" w:lineRule="auto"/>
        <w:ind w:right="-518" w:firstLine="1701"/>
        <w:jc w:val="both"/>
        <w:rPr>
          <w:rFonts w:ascii="Arial" w:hAnsi="Arial" w:cs="Arial"/>
          <w:sz w:val="22"/>
          <w:szCs w:val="22"/>
        </w:rPr>
      </w:pPr>
      <w:r w:rsidRPr="008B444F">
        <w:rPr>
          <w:rFonts w:ascii="Arial" w:hAnsi="Arial" w:cs="Arial"/>
          <w:b/>
          <w:sz w:val="22"/>
          <w:szCs w:val="22"/>
        </w:rPr>
        <w:t>El diputado Sepúlveda</w:t>
      </w:r>
      <w:r w:rsidRPr="00944E51">
        <w:rPr>
          <w:rFonts w:ascii="Arial" w:hAnsi="Arial" w:cs="Arial"/>
          <w:sz w:val="22"/>
          <w:szCs w:val="22"/>
        </w:rPr>
        <w:t xml:space="preserve"> valoró la presentación de un proyecto de suma importancia para la actividad económica del país, y en especial para las Mipymes. Expresó que es importante tomar en consideración las garantías adicionales que los bancos piden para asegurar aquella parte del crédito que no está cubierta por el Estado. </w:t>
      </w:r>
    </w:p>
    <w:p w:rsidR="00944E51" w:rsidRPr="00944E51" w:rsidRDefault="00944E51" w:rsidP="00944E51">
      <w:pPr>
        <w:tabs>
          <w:tab w:val="left" w:pos="0"/>
        </w:tabs>
        <w:spacing w:line="276" w:lineRule="auto"/>
        <w:ind w:right="-518" w:firstLine="1701"/>
        <w:jc w:val="both"/>
        <w:rPr>
          <w:rFonts w:ascii="Arial" w:hAnsi="Arial" w:cs="Arial"/>
          <w:sz w:val="22"/>
          <w:szCs w:val="22"/>
        </w:rPr>
      </w:pPr>
      <w:r w:rsidRPr="008B444F">
        <w:rPr>
          <w:rFonts w:ascii="Arial" w:hAnsi="Arial" w:cs="Arial"/>
          <w:b/>
          <w:sz w:val="22"/>
          <w:szCs w:val="22"/>
        </w:rPr>
        <w:t>El diputado Romero</w:t>
      </w:r>
      <w:r w:rsidRPr="00944E51">
        <w:rPr>
          <w:rFonts w:ascii="Arial" w:hAnsi="Arial" w:cs="Arial"/>
          <w:sz w:val="22"/>
          <w:szCs w:val="22"/>
        </w:rPr>
        <w:t xml:space="preserve"> consultó si existe la posibilidad de limitar la cláusula de aceleración, de manera que el deudor no se vea obligado a pagar la totalidad de su obligación. </w:t>
      </w:r>
    </w:p>
    <w:p w:rsidR="00944E51" w:rsidRDefault="00944E51" w:rsidP="00944E51">
      <w:pPr>
        <w:tabs>
          <w:tab w:val="left" w:pos="0"/>
        </w:tabs>
        <w:spacing w:line="276" w:lineRule="auto"/>
        <w:ind w:right="-518" w:firstLine="1701"/>
        <w:jc w:val="both"/>
        <w:rPr>
          <w:rFonts w:ascii="Arial" w:hAnsi="Arial" w:cs="Arial"/>
          <w:sz w:val="22"/>
          <w:szCs w:val="22"/>
        </w:rPr>
      </w:pPr>
      <w:r w:rsidRPr="008B444F">
        <w:rPr>
          <w:rFonts w:ascii="Arial" w:hAnsi="Arial" w:cs="Arial"/>
          <w:b/>
          <w:sz w:val="22"/>
          <w:szCs w:val="22"/>
        </w:rPr>
        <w:t>El diputado Mella</w:t>
      </w:r>
      <w:r w:rsidRPr="00944E51">
        <w:rPr>
          <w:rFonts w:ascii="Arial" w:hAnsi="Arial" w:cs="Arial"/>
          <w:sz w:val="22"/>
          <w:szCs w:val="22"/>
        </w:rPr>
        <w:t xml:space="preserve">do preguntó qué ocurre si se agotan los recursos disponibles en el fondo y si es posible aumentarlos, en esta situación. </w:t>
      </w:r>
    </w:p>
    <w:p w:rsidR="00827DE9" w:rsidRPr="00827DE9" w:rsidRDefault="00827DE9" w:rsidP="00827DE9">
      <w:pPr>
        <w:tabs>
          <w:tab w:val="left" w:pos="0"/>
        </w:tabs>
        <w:spacing w:line="276" w:lineRule="auto"/>
        <w:ind w:right="-518" w:firstLine="1701"/>
        <w:jc w:val="both"/>
        <w:rPr>
          <w:rFonts w:ascii="Arial" w:hAnsi="Arial" w:cs="Arial"/>
          <w:sz w:val="22"/>
          <w:szCs w:val="22"/>
        </w:rPr>
      </w:pPr>
      <w:r w:rsidRPr="00827DE9">
        <w:rPr>
          <w:rFonts w:ascii="Arial" w:hAnsi="Arial" w:cs="Arial"/>
          <w:sz w:val="22"/>
          <w:szCs w:val="22"/>
        </w:rPr>
        <w:t xml:space="preserve">Continuando con las consultas sobre el proyecto en tabla, el diputado Sauerbaum planteó la importancia de resguardar la información sensible, contable, de las empresas. Por otra parte, respecto al aumento de los plazos, propuso homologar todos aquellos que afecten la garantía estatal a créditos, independientemente de la naturaleza de la obligación que caucionen. </w:t>
      </w:r>
    </w:p>
    <w:p w:rsidR="00827DE9" w:rsidRPr="00827DE9" w:rsidRDefault="00827DE9" w:rsidP="00827DE9">
      <w:pPr>
        <w:tabs>
          <w:tab w:val="left" w:pos="0"/>
        </w:tabs>
        <w:spacing w:line="276" w:lineRule="auto"/>
        <w:ind w:right="-518" w:firstLine="1701"/>
        <w:jc w:val="both"/>
        <w:rPr>
          <w:rFonts w:ascii="Arial" w:hAnsi="Arial" w:cs="Arial"/>
          <w:sz w:val="22"/>
          <w:szCs w:val="22"/>
        </w:rPr>
      </w:pPr>
      <w:r w:rsidRPr="008B444F">
        <w:rPr>
          <w:rFonts w:ascii="Arial" w:hAnsi="Arial" w:cs="Arial"/>
          <w:b/>
          <w:sz w:val="22"/>
          <w:szCs w:val="22"/>
        </w:rPr>
        <w:t>El diputado Bianchi</w:t>
      </w:r>
      <w:r w:rsidRPr="00827DE9">
        <w:rPr>
          <w:rFonts w:ascii="Arial" w:hAnsi="Arial" w:cs="Arial"/>
          <w:sz w:val="22"/>
          <w:szCs w:val="22"/>
        </w:rPr>
        <w:t xml:space="preserve"> valoró la presentación de una iniciativa legal que apunta en la dirección correcta para favorecer la reactivación económica. Asimismo, destacó la voluntad del Ejecutivo en orden a recoger planteamientos de los parlamentarios de esta Comisión. Sin perjuicio de ello, enfatizó en que es en definitiva la banca la gran beneficiaria de la garantía estatal. </w:t>
      </w:r>
    </w:p>
    <w:p w:rsidR="00827DE9" w:rsidRPr="00827DE9" w:rsidRDefault="00827DE9" w:rsidP="00827DE9">
      <w:pPr>
        <w:tabs>
          <w:tab w:val="left" w:pos="0"/>
        </w:tabs>
        <w:spacing w:line="276" w:lineRule="auto"/>
        <w:ind w:right="-518" w:firstLine="1701"/>
        <w:jc w:val="both"/>
        <w:rPr>
          <w:rFonts w:ascii="Arial" w:hAnsi="Arial" w:cs="Arial"/>
          <w:sz w:val="22"/>
          <w:szCs w:val="22"/>
        </w:rPr>
      </w:pPr>
      <w:r w:rsidRPr="008B444F">
        <w:rPr>
          <w:rFonts w:ascii="Arial" w:hAnsi="Arial" w:cs="Arial"/>
          <w:b/>
          <w:sz w:val="22"/>
          <w:szCs w:val="22"/>
        </w:rPr>
        <w:t>El ministro de Economía, señor Nicolás Grau</w:t>
      </w:r>
      <w:r w:rsidRPr="00827DE9">
        <w:rPr>
          <w:rFonts w:ascii="Arial" w:hAnsi="Arial" w:cs="Arial"/>
          <w:sz w:val="22"/>
          <w:szCs w:val="22"/>
        </w:rPr>
        <w:t xml:space="preserve">, abordó las consultas formuladas en esta sesión y en la de ayer. Expresó que la voluntad del Ejecutivo es que la mayor cantidad de empresas de menor tamaño sean capaces de acceder a vías de financiamiento. Señaló que esta Fogape será especialmente relevante para el sector agroalimentario. Respecto a las garantías adicionales, indicó que el Ejecutivo ha preferido no innovar, en tanto intentar regular las tratativas internas de cada acuerdo crediticio resulta complejo y podría restringir operaciones. Sobre las cláusulas de aceleración, estimó que debe haber una discusión más general sobre la naturaleza de las cláusulas que pueden existir en la relación entre acreedor y deudor, no siendo esta sede la idónea para zanjar el tema. Tratándose del resguardo de la información sensible, señaló que a través de una indicación el Ejecutivo busca incorporar herramientas más sólidas. Sobre la homologación de los plazos, compartió la idea y anunció que se recogerá en una indicación del Ejecutivo. Agregó que a través de las indicaciones también se incluye como criterio de elegibilidad el ser afectado por violencia rural y se extiende la vigencia del Fogape hasta el 2023. Expresó que estas indicaciones responden a los requerimientos formulados por todos los parlamentarios integrantes de la Comisión de Hacienda. Asimismo, valoró las propuestas planteadas por los miembros de la Comisión de Economía. </w:t>
      </w:r>
    </w:p>
    <w:p w:rsidR="00827DE9" w:rsidRPr="00827DE9" w:rsidRDefault="00827DE9" w:rsidP="00827DE9">
      <w:pPr>
        <w:tabs>
          <w:tab w:val="left" w:pos="0"/>
        </w:tabs>
        <w:spacing w:line="276" w:lineRule="auto"/>
        <w:ind w:right="-518" w:firstLine="1701"/>
        <w:jc w:val="both"/>
        <w:rPr>
          <w:rFonts w:ascii="Arial" w:hAnsi="Arial" w:cs="Arial"/>
          <w:sz w:val="22"/>
          <w:szCs w:val="22"/>
        </w:rPr>
      </w:pPr>
      <w:r w:rsidRPr="00827DE9">
        <w:rPr>
          <w:rFonts w:ascii="Arial" w:hAnsi="Arial" w:cs="Arial"/>
          <w:sz w:val="22"/>
          <w:szCs w:val="22"/>
        </w:rPr>
        <w:t xml:space="preserve">La subsecretaria de Hacienda, señora Claudia Sanhueza, recordó que este alivio amplía las cuotas para ponerse al día en el pago de impuestos, disminuye los requisitos para celebrar el convenio de pago, al no exigirse un pago inicial, y se libera del registro de deudores tributarios a quienes los suscriban. Indicó que se ha recogido el planteamiento de los parlamentarios en orden a ampliar el plazo para suscribir el convenio hasta abril de 2023. También se amplía el plazo para considerar las deudas hasta el 30 de junio de 2022. Estas dos propuestas involucran un gasto fiscal, razón por la cual se ha acompañado el respectivo informe financiero. Estas disposiciones aumentan en 24.337 el universo de potenciales beneficiarios. </w:t>
      </w:r>
    </w:p>
    <w:p w:rsidR="00827DE9" w:rsidRPr="00827DE9" w:rsidRDefault="00827DE9" w:rsidP="00827DE9">
      <w:pPr>
        <w:tabs>
          <w:tab w:val="left" w:pos="0"/>
        </w:tabs>
        <w:spacing w:line="276" w:lineRule="auto"/>
        <w:ind w:right="-518" w:firstLine="1701"/>
        <w:jc w:val="both"/>
        <w:rPr>
          <w:rFonts w:ascii="Arial" w:hAnsi="Arial" w:cs="Arial"/>
          <w:sz w:val="22"/>
          <w:szCs w:val="22"/>
        </w:rPr>
      </w:pPr>
    </w:p>
    <w:p w:rsidR="00827DE9" w:rsidRPr="008B444F" w:rsidRDefault="00827DE9" w:rsidP="00827DE9">
      <w:pPr>
        <w:tabs>
          <w:tab w:val="left" w:pos="0"/>
        </w:tabs>
        <w:spacing w:line="276" w:lineRule="auto"/>
        <w:ind w:right="-518" w:firstLine="1701"/>
        <w:jc w:val="both"/>
        <w:rPr>
          <w:rFonts w:ascii="Arial" w:hAnsi="Arial" w:cs="Arial"/>
          <w:b/>
          <w:sz w:val="22"/>
          <w:szCs w:val="22"/>
        </w:rPr>
      </w:pPr>
      <w:r w:rsidRPr="008B444F">
        <w:rPr>
          <w:rFonts w:ascii="Arial" w:hAnsi="Arial" w:cs="Arial"/>
          <w:b/>
          <w:sz w:val="22"/>
          <w:szCs w:val="22"/>
        </w:rPr>
        <w:t>A continuación, se procedió a la votación de las disposiciones sometidas al conocimiento de la Comisión de Hacienda:</w:t>
      </w:r>
    </w:p>
    <w:p w:rsidR="00827DE9" w:rsidRPr="00827DE9" w:rsidRDefault="00827DE9" w:rsidP="00827DE9">
      <w:pPr>
        <w:tabs>
          <w:tab w:val="left" w:pos="0"/>
        </w:tabs>
        <w:spacing w:line="276" w:lineRule="auto"/>
        <w:ind w:right="-518" w:firstLine="1701"/>
        <w:jc w:val="both"/>
        <w:rPr>
          <w:rFonts w:ascii="Arial" w:hAnsi="Arial" w:cs="Arial"/>
          <w:sz w:val="22"/>
          <w:szCs w:val="22"/>
        </w:rPr>
      </w:pPr>
    </w:p>
    <w:p w:rsidR="00827DE9" w:rsidRPr="00827DE9" w:rsidRDefault="00827DE9" w:rsidP="00827DE9">
      <w:pPr>
        <w:tabs>
          <w:tab w:val="left" w:pos="0"/>
        </w:tabs>
        <w:spacing w:line="276" w:lineRule="auto"/>
        <w:ind w:right="-518" w:firstLine="1701"/>
        <w:jc w:val="both"/>
        <w:rPr>
          <w:rFonts w:ascii="Arial" w:hAnsi="Arial" w:cs="Arial"/>
          <w:sz w:val="22"/>
          <w:szCs w:val="22"/>
        </w:rPr>
      </w:pPr>
      <w:r w:rsidRPr="008B444F">
        <w:rPr>
          <w:rFonts w:ascii="Arial" w:hAnsi="Arial" w:cs="Arial"/>
          <w:b/>
          <w:sz w:val="22"/>
          <w:szCs w:val="22"/>
        </w:rPr>
        <w:t>Artículo primero</w:t>
      </w:r>
      <w:r w:rsidRPr="00827DE9">
        <w:rPr>
          <w:rFonts w:ascii="Arial" w:hAnsi="Arial" w:cs="Arial"/>
          <w:sz w:val="22"/>
          <w:szCs w:val="22"/>
        </w:rPr>
        <w:t>.-</w:t>
      </w:r>
      <w:r w:rsidRPr="00827DE9">
        <w:rPr>
          <w:rFonts w:ascii="Arial" w:hAnsi="Arial" w:cs="Arial"/>
          <w:sz w:val="22"/>
          <w:szCs w:val="22"/>
        </w:rPr>
        <w:tab/>
        <w:t>Modifícase el decreto ley N° 3.472, de 1980, que crea el Fondo de Garantía para Pequeños Empresarios, en el siguiente sentido:</w:t>
      </w:r>
    </w:p>
    <w:p w:rsidR="00827DE9" w:rsidRPr="00827DE9" w:rsidRDefault="00827DE9" w:rsidP="00827DE9">
      <w:pPr>
        <w:tabs>
          <w:tab w:val="left" w:pos="0"/>
        </w:tabs>
        <w:spacing w:line="276" w:lineRule="auto"/>
        <w:ind w:right="-518" w:firstLine="1701"/>
        <w:jc w:val="both"/>
        <w:rPr>
          <w:rFonts w:ascii="Arial" w:hAnsi="Arial" w:cs="Arial"/>
          <w:sz w:val="22"/>
          <w:szCs w:val="22"/>
        </w:rPr>
      </w:pPr>
    </w:p>
    <w:p w:rsidR="00827DE9" w:rsidRPr="00827DE9" w:rsidRDefault="00827DE9" w:rsidP="00827DE9">
      <w:pPr>
        <w:tabs>
          <w:tab w:val="left" w:pos="0"/>
        </w:tabs>
        <w:spacing w:line="276" w:lineRule="auto"/>
        <w:ind w:right="-518" w:firstLine="1701"/>
        <w:jc w:val="both"/>
        <w:rPr>
          <w:rFonts w:ascii="Arial" w:hAnsi="Arial" w:cs="Arial"/>
          <w:sz w:val="22"/>
          <w:szCs w:val="22"/>
        </w:rPr>
      </w:pPr>
      <w:r w:rsidRPr="00827DE9">
        <w:rPr>
          <w:rFonts w:ascii="Arial" w:hAnsi="Arial" w:cs="Arial"/>
          <w:sz w:val="22"/>
          <w:szCs w:val="22"/>
        </w:rPr>
        <w:t>1)</w:t>
      </w:r>
      <w:r w:rsidRPr="00827DE9">
        <w:rPr>
          <w:rFonts w:ascii="Arial" w:hAnsi="Arial" w:cs="Arial"/>
          <w:sz w:val="22"/>
          <w:szCs w:val="22"/>
        </w:rPr>
        <w:tab/>
        <w:t>Intercálase en el inciso primero del artículo 1, entre las palabras “a los” y “pequeños y medianos” la expresión “micro,”.</w:t>
      </w:r>
    </w:p>
    <w:p w:rsidR="00827DE9" w:rsidRPr="00827DE9" w:rsidRDefault="00827DE9" w:rsidP="00827DE9">
      <w:pPr>
        <w:tabs>
          <w:tab w:val="left" w:pos="0"/>
        </w:tabs>
        <w:spacing w:line="276" w:lineRule="auto"/>
        <w:ind w:right="-518" w:firstLine="1701"/>
        <w:jc w:val="both"/>
        <w:rPr>
          <w:rFonts w:ascii="Arial" w:hAnsi="Arial" w:cs="Arial"/>
          <w:sz w:val="22"/>
          <w:szCs w:val="22"/>
        </w:rPr>
      </w:pPr>
    </w:p>
    <w:p w:rsidR="00827DE9" w:rsidRPr="00827DE9" w:rsidRDefault="00827DE9" w:rsidP="00827DE9">
      <w:pPr>
        <w:tabs>
          <w:tab w:val="left" w:pos="0"/>
        </w:tabs>
        <w:spacing w:line="276" w:lineRule="auto"/>
        <w:ind w:right="-518" w:firstLine="1701"/>
        <w:jc w:val="both"/>
        <w:rPr>
          <w:rFonts w:ascii="Arial" w:hAnsi="Arial" w:cs="Arial"/>
          <w:sz w:val="22"/>
          <w:szCs w:val="22"/>
        </w:rPr>
      </w:pPr>
      <w:r w:rsidRPr="00827DE9">
        <w:rPr>
          <w:rFonts w:ascii="Arial" w:hAnsi="Arial" w:cs="Arial"/>
          <w:sz w:val="22"/>
          <w:szCs w:val="22"/>
        </w:rPr>
        <w:t>2)</w:t>
      </w:r>
      <w:r w:rsidRPr="00827DE9">
        <w:rPr>
          <w:rFonts w:ascii="Arial" w:hAnsi="Arial" w:cs="Arial"/>
          <w:sz w:val="22"/>
          <w:szCs w:val="22"/>
        </w:rPr>
        <w:tab/>
        <w:t>Intercálase en el inciso primero del artículo 3, entre las palabras “del Fondo los” y “pequeños y medianos” la expresión “micro,”.</w:t>
      </w:r>
    </w:p>
    <w:p w:rsidR="00827DE9" w:rsidRPr="00827DE9" w:rsidRDefault="00827DE9" w:rsidP="00827DE9">
      <w:pPr>
        <w:tabs>
          <w:tab w:val="left" w:pos="0"/>
        </w:tabs>
        <w:spacing w:line="276" w:lineRule="auto"/>
        <w:ind w:right="-518" w:firstLine="1701"/>
        <w:jc w:val="both"/>
        <w:rPr>
          <w:rFonts w:ascii="Arial" w:hAnsi="Arial" w:cs="Arial"/>
          <w:sz w:val="22"/>
          <w:szCs w:val="22"/>
        </w:rPr>
      </w:pPr>
    </w:p>
    <w:p w:rsidR="00827DE9" w:rsidRPr="00827DE9" w:rsidRDefault="00827DE9" w:rsidP="00827DE9">
      <w:pPr>
        <w:tabs>
          <w:tab w:val="left" w:pos="0"/>
        </w:tabs>
        <w:spacing w:line="276" w:lineRule="auto"/>
        <w:ind w:right="-518" w:firstLine="1701"/>
        <w:jc w:val="both"/>
        <w:rPr>
          <w:rFonts w:ascii="Arial" w:hAnsi="Arial" w:cs="Arial"/>
          <w:sz w:val="22"/>
          <w:szCs w:val="22"/>
        </w:rPr>
      </w:pPr>
      <w:r w:rsidRPr="00827DE9">
        <w:rPr>
          <w:rFonts w:ascii="Arial" w:hAnsi="Arial" w:cs="Arial"/>
          <w:sz w:val="22"/>
          <w:szCs w:val="22"/>
        </w:rPr>
        <w:t>3)</w:t>
      </w:r>
      <w:r w:rsidRPr="00827DE9">
        <w:rPr>
          <w:rFonts w:ascii="Arial" w:hAnsi="Arial" w:cs="Arial"/>
          <w:sz w:val="22"/>
          <w:szCs w:val="22"/>
        </w:rPr>
        <w:tab/>
        <w:t>Intercálase en el inciso primero del artículo 4, entre las palabras “destinados a” y “pequeños y medianos” la expresión “micro,”.</w:t>
      </w:r>
    </w:p>
    <w:p w:rsidR="00827DE9" w:rsidRPr="00827DE9" w:rsidRDefault="00827DE9" w:rsidP="00827DE9">
      <w:pPr>
        <w:tabs>
          <w:tab w:val="left" w:pos="0"/>
        </w:tabs>
        <w:spacing w:line="276" w:lineRule="auto"/>
        <w:ind w:right="-518" w:firstLine="1701"/>
        <w:jc w:val="both"/>
        <w:rPr>
          <w:rFonts w:ascii="Arial" w:hAnsi="Arial" w:cs="Arial"/>
          <w:sz w:val="22"/>
          <w:szCs w:val="22"/>
        </w:rPr>
      </w:pPr>
    </w:p>
    <w:p w:rsidR="00827DE9" w:rsidRPr="00827DE9" w:rsidRDefault="00827DE9" w:rsidP="00827DE9">
      <w:pPr>
        <w:tabs>
          <w:tab w:val="left" w:pos="0"/>
        </w:tabs>
        <w:spacing w:line="276" w:lineRule="auto"/>
        <w:ind w:right="-518" w:firstLine="1701"/>
        <w:jc w:val="both"/>
        <w:rPr>
          <w:rFonts w:ascii="Arial" w:hAnsi="Arial" w:cs="Arial"/>
          <w:sz w:val="22"/>
          <w:szCs w:val="22"/>
        </w:rPr>
      </w:pPr>
      <w:r w:rsidRPr="00827DE9">
        <w:rPr>
          <w:rFonts w:ascii="Arial" w:hAnsi="Arial" w:cs="Arial"/>
          <w:sz w:val="22"/>
          <w:szCs w:val="22"/>
        </w:rPr>
        <w:t>4)</w:t>
      </w:r>
      <w:r w:rsidRPr="00827DE9">
        <w:rPr>
          <w:rFonts w:ascii="Arial" w:hAnsi="Arial" w:cs="Arial"/>
          <w:sz w:val="22"/>
          <w:szCs w:val="22"/>
        </w:rPr>
        <w:tab/>
        <w:t>Reemplázase en el inciso tercero del artículo 8º la expresión “artículo 22  de la ley General de Bancos, ante la Corte de Apelaciones correspondiente al domicilio del afectado” por “artículo 70  del decreto ley Nº 3.538, de 1980, del Ministerio de Hacienda, ante la Corte de Apelaciones de Santiago”.</w:t>
      </w:r>
    </w:p>
    <w:p w:rsidR="00827DE9" w:rsidRPr="00827DE9" w:rsidRDefault="00827DE9" w:rsidP="00827DE9">
      <w:pPr>
        <w:tabs>
          <w:tab w:val="left" w:pos="0"/>
        </w:tabs>
        <w:spacing w:line="276" w:lineRule="auto"/>
        <w:ind w:right="-518" w:firstLine="1701"/>
        <w:jc w:val="both"/>
        <w:rPr>
          <w:rFonts w:ascii="Arial" w:hAnsi="Arial" w:cs="Arial"/>
          <w:sz w:val="22"/>
          <w:szCs w:val="22"/>
        </w:rPr>
      </w:pPr>
    </w:p>
    <w:p w:rsidR="00827DE9" w:rsidRPr="00827DE9" w:rsidRDefault="00827DE9" w:rsidP="00827DE9">
      <w:pPr>
        <w:tabs>
          <w:tab w:val="left" w:pos="0"/>
        </w:tabs>
        <w:spacing w:line="276" w:lineRule="auto"/>
        <w:ind w:right="-518" w:firstLine="1701"/>
        <w:jc w:val="both"/>
        <w:rPr>
          <w:rFonts w:ascii="Arial" w:hAnsi="Arial" w:cs="Arial"/>
          <w:sz w:val="22"/>
          <w:szCs w:val="22"/>
        </w:rPr>
      </w:pPr>
      <w:r w:rsidRPr="00827DE9">
        <w:rPr>
          <w:rFonts w:ascii="Arial" w:hAnsi="Arial" w:cs="Arial"/>
          <w:sz w:val="22"/>
          <w:szCs w:val="22"/>
        </w:rPr>
        <w:t>5)</w:t>
      </w:r>
      <w:r w:rsidRPr="00827DE9">
        <w:rPr>
          <w:rFonts w:ascii="Arial" w:hAnsi="Arial" w:cs="Arial"/>
          <w:sz w:val="22"/>
          <w:szCs w:val="22"/>
        </w:rPr>
        <w:tab/>
        <w:t>Agrégase un nuevo artículo noveno transitorio del siguiente tenor:</w:t>
      </w:r>
    </w:p>
    <w:p w:rsidR="00827DE9" w:rsidRPr="00827DE9" w:rsidRDefault="00827DE9" w:rsidP="00827DE9">
      <w:pPr>
        <w:tabs>
          <w:tab w:val="left" w:pos="0"/>
        </w:tabs>
        <w:spacing w:line="276" w:lineRule="auto"/>
        <w:ind w:right="-518" w:firstLine="1701"/>
        <w:jc w:val="both"/>
        <w:rPr>
          <w:rFonts w:ascii="Arial" w:hAnsi="Arial" w:cs="Arial"/>
          <w:sz w:val="22"/>
          <w:szCs w:val="22"/>
        </w:rPr>
      </w:pPr>
    </w:p>
    <w:p w:rsidR="00827DE9" w:rsidRPr="00827DE9" w:rsidRDefault="00827DE9" w:rsidP="00827DE9">
      <w:pPr>
        <w:tabs>
          <w:tab w:val="left" w:pos="0"/>
        </w:tabs>
        <w:spacing w:line="276" w:lineRule="auto"/>
        <w:ind w:right="-518" w:firstLine="1701"/>
        <w:jc w:val="both"/>
        <w:rPr>
          <w:rFonts w:ascii="Arial" w:hAnsi="Arial" w:cs="Arial"/>
          <w:sz w:val="22"/>
          <w:szCs w:val="22"/>
        </w:rPr>
      </w:pPr>
      <w:r w:rsidRPr="00827DE9">
        <w:rPr>
          <w:rFonts w:ascii="Arial" w:hAnsi="Arial" w:cs="Arial"/>
          <w:sz w:val="22"/>
          <w:szCs w:val="22"/>
        </w:rPr>
        <w:t>“Artículo noveno transitorio.- Créase FOGAPE Chile Apoya, el cual se regirá bajo las siguientes reglas:</w:t>
      </w:r>
    </w:p>
    <w:p w:rsidR="00827DE9" w:rsidRPr="00827DE9" w:rsidRDefault="00827DE9" w:rsidP="00827DE9">
      <w:pPr>
        <w:tabs>
          <w:tab w:val="left" w:pos="0"/>
        </w:tabs>
        <w:spacing w:line="276" w:lineRule="auto"/>
        <w:ind w:right="-518" w:firstLine="1701"/>
        <w:jc w:val="both"/>
        <w:rPr>
          <w:rFonts w:ascii="Arial" w:hAnsi="Arial" w:cs="Arial"/>
          <w:sz w:val="22"/>
          <w:szCs w:val="22"/>
        </w:rPr>
      </w:pPr>
    </w:p>
    <w:p w:rsidR="00827DE9" w:rsidRPr="00827DE9" w:rsidRDefault="00827DE9" w:rsidP="00827DE9">
      <w:pPr>
        <w:tabs>
          <w:tab w:val="left" w:pos="0"/>
        </w:tabs>
        <w:spacing w:line="276" w:lineRule="auto"/>
        <w:ind w:right="-518" w:firstLine="1701"/>
        <w:jc w:val="both"/>
        <w:rPr>
          <w:rFonts w:ascii="Arial" w:hAnsi="Arial" w:cs="Arial"/>
          <w:sz w:val="22"/>
          <w:szCs w:val="22"/>
        </w:rPr>
      </w:pPr>
      <w:r w:rsidRPr="00827DE9">
        <w:rPr>
          <w:rFonts w:ascii="Arial" w:hAnsi="Arial" w:cs="Arial"/>
          <w:sz w:val="22"/>
          <w:szCs w:val="22"/>
        </w:rPr>
        <w:t>Los financiamientos que garantice el Fondo, cuando sean otorgados por instituciones que tengan acceso a financiamiento del Banco Central de Chile, deberán tener una tasa de interés nominal anual que no sea mayor a la tasa de política monetaria más el equivalente anual de una tasa de 0,6% mensual, o la tasa de interés equivalente en unidades de fomento o en moneda extranjera, que establezca el Ministerio de Hacienda en virtud del artículo quinto transitorio.</w:t>
      </w:r>
    </w:p>
    <w:p w:rsidR="00827DE9" w:rsidRPr="00827DE9" w:rsidRDefault="00827DE9" w:rsidP="00827DE9">
      <w:pPr>
        <w:tabs>
          <w:tab w:val="left" w:pos="0"/>
        </w:tabs>
        <w:spacing w:line="276" w:lineRule="auto"/>
        <w:ind w:right="-518" w:firstLine="1701"/>
        <w:jc w:val="both"/>
        <w:rPr>
          <w:rFonts w:ascii="Arial" w:hAnsi="Arial" w:cs="Arial"/>
          <w:sz w:val="22"/>
          <w:szCs w:val="22"/>
        </w:rPr>
      </w:pPr>
    </w:p>
    <w:p w:rsidR="00827DE9" w:rsidRPr="00827DE9" w:rsidRDefault="00827DE9" w:rsidP="00827DE9">
      <w:pPr>
        <w:tabs>
          <w:tab w:val="left" w:pos="0"/>
        </w:tabs>
        <w:spacing w:line="276" w:lineRule="auto"/>
        <w:ind w:right="-518" w:firstLine="1701"/>
        <w:jc w:val="both"/>
        <w:rPr>
          <w:rFonts w:ascii="Arial" w:hAnsi="Arial" w:cs="Arial"/>
          <w:sz w:val="22"/>
          <w:szCs w:val="22"/>
        </w:rPr>
      </w:pPr>
      <w:r w:rsidRPr="00827DE9">
        <w:rPr>
          <w:rFonts w:ascii="Arial" w:hAnsi="Arial" w:cs="Arial"/>
          <w:sz w:val="22"/>
          <w:szCs w:val="22"/>
        </w:rPr>
        <w:t>Con todo, el Fondo no podrá:</w:t>
      </w:r>
    </w:p>
    <w:p w:rsidR="00827DE9" w:rsidRPr="00827DE9" w:rsidRDefault="00827DE9" w:rsidP="00827DE9">
      <w:pPr>
        <w:tabs>
          <w:tab w:val="left" w:pos="0"/>
        </w:tabs>
        <w:spacing w:line="276" w:lineRule="auto"/>
        <w:ind w:right="-518" w:firstLine="1701"/>
        <w:jc w:val="both"/>
        <w:rPr>
          <w:rFonts w:ascii="Arial" w:hAnsi="Arial" w:cs="Arial"/>
          <w:sz w:val="22"/>
          <w:szCs w:val="22"/>
        </w:rPr>
      </w:pPr>
    </w:p>
    <w:p w:rsidR="00827DE9" w:rsidRPr="00827DE9" w:rsidRDefault="00827DE9" w:rsidP="00827DE9">
      <w:pPr>
        <w:tabs>
          <w:tab w:val="left" w:pos="0"/>
        </w:tabs>
        <w:spacing w:line="276" w:lineRule="auto"/>
        <w:ind w:right="-518" w:firstLine="1701"/>
        <w:jc w:val="both"/>
        <w:rPr>
          <w:rFonts w:ascii="Arial" w:hAnsi="Arial" w:cs="Arial"/>
          <w:sz w:val="22"/>
          <w:szCs w:val="22"/>
        </w:rPr>
      </w:pPr>
      <w:r w:rsidRPr="00827DE9">
        <w:rPr>
          <w:rFonts w:ascii="Arial" w:hAnsi="Arial" w:cs="Arial"/>
          <w:sz w:val="22"/>
          <w:szCs w:val="22"/>
        </w:rPr>
        <w:t>a) Garantizar más del 95% del saldo deudor de cada financiamiento, ni garantizar financiamientos que excedan el total de 4.000 unidades de fomento, o su equivalente en moneda extranjera, para cada empresa cuyas ventas netas anuales no superen las 2.400 unidades de fomento, o su equivalente en moneda extranjera.</w:t>
      </w:r>
    </w:p>
    <w:p w:rsidR="00827DE9" w:rsidRPr="00827DE9" w:rsidRDefault="00827DE9" w:rsidP="00827DE9">
      <w:pPr>
        <w:tabs>
          <w:tab w:val="left" w:pos="0"/>
        </w:tabs>
        <w:spacing w:line="276" w:lineRule="auto"/>
        <w:ind w:right="-518" w:firstLine="1701"/>
        <w:jc w:val="both"/>
        <w:rPr>
          <w:rFonts w:ascii="Arial" w:hAnsi="Arial" w:cs="Arial"/>
          <w:sz w:val="22"/>
          <w:szCs w:val="22"/>
        </w:rPr>
      </w:pPr>
    </w:p>
    <w:p w:rsidR="00827DE9" w:rsidRPr="00827DE9" w:rsidRDefault="00827DE9" w:rsidP="00827DE9">
      <w:pPr>
        <w:tabs>
          <w:tab w:val="left" w:pos="0"/>
        </w:tabs>
        <w:spacing w:line="276" w:lineRule="auto"/>
        <w:ind w:right="-518" w:firstLine="1701"/>
        <w:jc w:val="both"/>
        <w:rPr>
          <w:rFonts w:ascii="Arial" w:hAnsi="Arial" w:cs="Arial"/>
          <w:sz w:val="22"/>
          <w:szCs w:val="22"/>
        </w:rPr>
      </w:pPr>
      <w:r w:rsidRPr="00827DE9">
        <w:rPr>
          <w:rFonts w:ascii="Arial" w:hAnsi="Arial" w:cs="Arial"/>
          <w:sz w:val="22"/>
          <w:szCs w:val="22"/>
        </w:rPr>
        <w:t>b) Garantizar más del 90% del saldo deudor de cada financiamiento, ni garantizar financiamientos que excedan el total de 6.250 unidades de fomento, o su equivalente en moneda extranjera, para cada empresa cuyas ventas netas anuales superen las 2.400 unidades de fomento, o su equivalente en moneda extranjera y no excedan de 25.000 unidades de fomento, o su equivalente en moneda extranjera.</w:t>
      </w:r>
    </w:p>
    <w:p w:rsidR="00827DE9" w:rsidRPr="00827DE9" w:rsidRDefault="00827DE9" w:rsidP="00827DE9">
      <w:pPr>
        <w:tabs>
          <w:tab w:val="left" w:pos="0"/>
        </w:tabs>
        <w:spacing w:line="276" w:lineRule="auto"/>
        <w:ind w:right="-518" w:firstLine="1701"/>
        <w:jc w:val="both"/>
        <w:rPr>
          <w:rFonts w:ascii="Arial" w:hAnsi="Arial" w:cs="Arial"/>
          <w:sz w:val="22"/>
          <w:szCs w:val="22"/>
        </w:rPr>
      </w:pPr>
    </w:p>
    <w:p w:rsidR="00827DE9" w:rsidRPr="00827DE9" w:rsidRDefault="00827DE9" w:rsidP="00827DE9">
      <w:pPr>
        <w:tabs>
          <w:tab w:val="left" w:pos="0"/>
        </w:tabs>
        <w:spacing w:line="276" w:lineRule="auto"/>
        <w:ind w:right="-518" w:firstLine="1701"/>
        <w:jc w:val="both"/>
        <w:rPr>
          <w:rFonts w:ascii="Arial" w:hAnsi="Arial" w:cs="Arial"/>
          <w:sz w:val="22"/>
          <w:szCs w:val="22"/>
        </w:rPr>
      </w:pPr>
      <w:r w:rsidRPr="00827DE9">
        <w:rPr>
          <w:rFonts w:ascii="Arial" w:hAnsi="Arial" w:cs="Arial"/>
          <w:sz w:val="22"/>
          <w:szCs w:val="22"/>
        </w:rPr>
        <w:t>c) Garantizar más del 85% del saldo deudor de cada financiamiento, ni garantizar financiamientos que excedan el total de 25.000 unidades de fomento, o su equivalente en moneda extranjera, para cada empresa cuyas ventas netas anuales superen las 25.000 unidades de fomento, o su equivalente en moneda extranjera y no excedan de 100.000 unidades de fomento, o su equivalente en moneda extranjera.</w:t>
      </w:r>
    </w:p>
    <w:p w:rsidR="00827DE9" w:rsidRPr="00827DE9" w:rsidRDefault="00827DE9" w:rsidP="00827DE9">
      <w:pPr>
        <w:tabs>
          <w:tab w:val="left" w:pos="0"/>
        </w:tabs>
        <w:spacing w:line="276" w:lineRule="auto"/>
        <w:ind w:right="-518" w:firstLine="1701"/>
        <w:jc w:val="both"/>
        <w:rPr>
          <w:rFonts w:ascii="Arial" w:hAnsi="Arial" w:cs="Arial"/>
          <w:sz w:val="22"/>
          <w:szCs w:val="22"/>
        </w:rPr>
      </w:pPr>
    </w:p>
    <w:p w:rsidR="00827DE9" w:rsidRPr="00827DE9" w:rsidRDefault="00827DE9" w:rsidP="00827DE9">
      <w:pPr>
        <w:tabs>
          <w:tab w:val="left" w:pos="0"/>
        </w:tabs>
        <w:spacing w:line="276" w:lineRule="auto"/>
        <w:ind w:right="-518" w:firstLine="1701"/>
        <w:jc w:val="both"/>
        <w:rPr>
          <w:rFonts w:ascii="Arial" w:hAnsi="Arial" w:cs="Arial"/>
          <w:sz w:val="22"/>
          <w:szCs w:val="22"/>
        </w:rPr>
      </w:pPr>
      <w:r w:rsidRPr="00827DE9">
        <w:rPr>
          <w:rFonts w:ascii="Arial" w:hAnsi="Arial" w:cs="Arial"/>
          <w:sz w:val="22"/>
          <w:szCs w:val="22"/>
        </w:rPr>
        <w:t>La garantía del Fondo no podrá tener un plazo superior a 12 años, sin perjuicio del plazo del financiamiento por el cual se otorgue.</w:t>
      </w:r>
    </w:p>
    <w:p w:rsidR="00827DE9" w:rsidRPr="00827DE9" w:rsidRDefault="00827DE9" w:rsidP="00827DE9">
      <w:pPr>
        <w:tabs>
          <w:tab w:val="left" w:pos="0"/>
        </w:tabs>
        <w:spacing w:line="276" w:lineRule="auto"/>
        <w:ind w:right="-518" w:firstLine="1701"/>
        <w:jc w:val="both"/>
        <w:rPr>
          <w:rFonts w:ascii="Arial" w:hAnsi="Arial" w:cs="Arial"/>
          <w:sz w:val="22"/>
          <w:szCs w:val="22"/>
        </w:rPr>
      </w:pPr>
    </w:p>
    <w:p w:rsidR="00827DE9" w:rsidRPr="00827DE9" w:rsidRDefault="00827DE9" w:rsidP="00827DE9">
      <w:pPr>
        <w:tabs>
          <w:tab w:val="left" w:pos="0"/>
        </w:tabs>
        <w:spacing w:line="276" w:lineRule="auto"/>
        <w:ind w:right="-518" w:firstLine="1701"/>
        <w:jc w:val="both"/>
        <w:rPr>
          <w:rFonts w:ascii="Arial" w:hAnsi="Arial" w:cs="Arial"/>
          <w:sz w:val="22"/>
          <w:szCs w:val="22"/>
        </w:rPr>
      </w:pPr>
      <w:r w:rsidRPr="00827DE9">
        <w:rPr>
          <w:rFonts w:ascii="Arial" w:hAnsi="Arial" w:cs="Arial"/>
          <w:sz w:val="22"/>
          <w:szCs w:val="22"/>
        </w:rPr>
        <w:t>En las bases de licitación el Administrador establecerá el porcentaje del total de garantías a licitar a empresas cuyas ventas anuales superen las 25.000 unidades de fomento, el que no podrá ser mayor al 30% del monto licitado, y a empresas cuyas ventas anuales superen las 2.400 unidades de fomento, el que no podrá ser mayor al 70% del monto licitado.</w:t>
      </w:r>
    </w:p>
    <w:p w:rsidR="00827DE9" w:rsidRPr="00827DE9" w:rsidRDefault="00827DE9" w:rsidP="00827DE9">
      <w:pPr>
        <w:tabs>
          <w:tab w:val="left" w:pos="0"/>
        </w:tabs>
        <w:spacing w:line="276" w:lineRule="auto"/>
        <w:ind w:right="-518" w:firstLine="1701"/>
        <w:jc w:val="both"/>
        <w:rPr>
          <w:rFonts w:ascii="Arial" w:hAnsi="Arial" w:cs="Arial"/>
          <w:sz w:val="22"/>
          <w:szCs w:val="22"/>
        </w:rPr>
      </w:pPr>
    </w:p>
    <w:p w:rsidR="00827DE9" w:rsidRPr="00827DE9" w:rsidRDefault="00827DE9" w:rsidP="00827DE9">
      <w:pPr>
        <w:tabs>
          <w:tab w:val="left" w:pos="0"/>
        </w:tabs>
        <w:spacing w:line="276" w:lineRule="auto"/>
        <w:ind w:right="-518" w:firstLine="1701"/>
        <w:jc w:val="both"/>
        <w:rPr>
          <w:rFonts w:ascii="Arial" w:hAnsi="Arial" w:cs="Arial"/>
          <w:sz w:val="22"/>
          <w:szCs w:val="22"/>
        </w:rPr>
      </w:pPr>
      <w:r w:rsidRPr="00827DE9">
        <w:rPr>
          <w:rFonts w:ascii="Arial" w:hAnsi="Arial" w:cs="Arial"/>
          <w:sz w:val="22"/>
          <w:szCs w:val="22"/>
        </w:rPr>
        <w:t>FOGAPE Chile Apoya se regirá por las reglas del presente artículo, y en subsidio, por lo establecido en los demás artículos de la presente ley.</w:t>
      </w:r>
    </w:p>
    <w:p w:rsidR="00827DE9" w:rsidRPr="00827DE9" w:rsidRDefault="00827DE9" w:rsidP="00827DE9">
      <w:pPr>
        <w:tabs>
          <w:tab w:val="left" w:pos="0"/>
        </w:tabs>
        <w:spacing w:line="276" w:lineRule="auto"/>
        <w:ind w:right="-518" w:firstLine="1701"/>
        <w:jc w:val="both"/>
        <w:rPr>
          <w:rFonts w:ascii="Arial" w:hAnsi="Arial" w:cs="Arial"/>
          <w:sz w:val="22"/>
          <w:szCs w:val="22"/>
        </w:rPr>
      </w:pPr>
    </w:p>
    <w:p w:rsidR="00827DE9" w:rsidRPr="00827DE9" w:rsidRDefault="00827DE9" w:rsidP="00827DE9">
      <w:pPr>
        <w:tabs>
          <w:tab w:val="left" w:pos="0"/>
        </w:tabs>
        <w:spacing w:line="276" w:lineRule="auto"/>
        <w:ind w:right="-518" w:firstLine="1701"/>
        <w:jc w:val="both"/>
        <w:rPr>
          <w:rFonts w:ascii="Arial" w:hAnsi="Arial" w:cs="Arial"/>
          <w:sz w:val="22"/>
          <w:szCs w:val="22"/>
        </w:rPr>
      </w:pPr>
      <w:r w:rsidRPr="00827DE9">
        <w:rPr>
          <w:rFonts w:ascii="Arial" w:hAnsi="Arial" w:cs="Arial"/>
          <w:sz w:val="22"/>
          <w:szCs w:val="22"/>
        </w:rPr>
        <w:t xml:space="preserve">El Ministerio de Hacienda emitirá el reglamento de FOGAPE Chile Apoya, en el plazo máximo de un mes desde la publicación de esta ley, de conformidad con lo indicado en el artículo quinto transitorio. </w:t>
      </w:r>
    </w:p>
    <w:p w:rsidR="00827DE9" w:rsidRPr="00827DE9" w:rsidRDefault="00827DE9" w:rsidP="00827DE9">
      <w:pPr>
        <w:tabs>
          <w:tab w:val="left" w:pos="0"/>
        </w:tabs>
        <w:spacing w:line="276" w:lineRule="auto"/>
        <w:ind w:right="-518" w:firstLine="1701"/>
        <w:jc w:val="both"/>
        <w:rPr>
          <w:rFonts w:ascii="Arial" w:hAnsi="Arial" w:cs="Arial"/>
          <w:sz w:val="22"/>
          <w:szCs w:val="22"/>
        </w:rPr>
      </w:pPr>
    </w:p>
    <w:p w:rsidR="00827DE9" w:rsidRPr="00827DE9" w:rsidRDefault="00827DE9" w:rsidP="00827DE9">
      <w:pPr>
        <w:tabs>
          <w:tab w:val="left" w:pos="0"/>
        </w:tabs>
        <w:spacing w:line="276" w:lineRule="auto"/>
        <w:ind w:right="-518" w:firstLine="1701"/>
        <w:jc w:val="both"/>
        <w:rPr>
          <w:rFonts w:ascii="Arial" w:hAnsi="Arial" w:cs="Arial"/>
          <w:sz w:val="22"/>
          <w:szCs w:val="22"/>
        </w:rPr>
      </w:pPr>
      <w:r w:rsidRPr="00827DE9">
        <w:rPr>
          <w:rFonts w:ascii="Arial" w:hAnsi="Arial" w:cs="Arial"/>
          <w:sz w:val="22"/>
          <w:szCs w:val="22"/>
        </w:rPr>
        <w:t>Solo se podrán otorgar créditos con las condiciones señaladas en el presente artículo por el plazo de 12 meses desde que se adjudique la primera licitación efectuada en virtud de FOGAPE Chile Apoya.</w:t>
      </w:r>
    </w:p>
    <w:p w:rsidR="00827DE9" w:rsidRPr="00827DE9" w:rsidRDefault="00827DE9" w:rsidP="00827DE9">
      <w:pPr>
        <w:tabs>
          <w:tab w:val="left" w:pos="0"/>
        </w:tabs>
        <w:spacing w:line="276" w:lineRule="auto"/>
        <w:ind w:right="-518" w:firstLine="1701"/>
        <w:jc w:val="both"/>
        <w:rPr>
          <w:rFonts w:ascii="Arial" w:hAnsi="Arial" w:cs="Arial"/>
          <w:sz w:val="22"/>
          <w:szCs w:val="22"/>
        </w:rPr>
      </w:pPr>
    </w:p>
    <w:p w:rsidR="00827DE9" w:rsidRPr="00827DE9" w:rsidRDefault="00827DE9" w:rsidP="00827DE9">
      <w:pPr>
        <w:tabs>
          <w:tab w:val="left" w:pos="0"/>
        </w:tabs>
        <w:spacing w:line="276" w:lineRule="auto"/>
        <w:ind w:right="-518" w:firstLine="1701"/>
        <w:jc w:val="both"/>
        <w:rPr>
          <w:rFonts w:ascii="Arial" w:hAnsi="Arial" w:cs="Arial"/>
          <w:sz w:val="22"/>
          <w:szCs w:val="22"/>
        </w:rPr>
      </w:pPr>
      <w:r w:rsidRPr="00827DE9">
        <w:rPr>
          <w:rFonts w:ascii="Arial" w:hAnsi="Arial" w:cs="Arial"/>
          <w:sz w:val="22"/>
          <w:szCs w:val="22"/>
        </w:rPr>
        <w:t>Una vez entrada en vigencia la presente ley, el Ministerio de Hacienda entregará a la Comisión de Hacienda de la Cámara de Diputados y a la Comisión de Hacienda del Senado, mensualmente, junto a la Comisión para el Mercado Financiero, la información que reciba de parte del Fondo de Garantía para Pequeños y Medianos Empresarios, respecto de su ejecución. Del mismo modo, mensualmente, elaborará un reporte con la información consolidada del período, la que será enviada a las mismas comisiones.</w:t>
      </w:r>
    </w:p>
    <w:p w:rsidR="00827DE9" w:rsidRPr="00827DE9" w:rsidRDefault="00827DE9" w:rsidP="00827DE9">
      <w:pPr>
        <w:tabs>
          <w:tab w:val="left" w:pos="0"/>
        </w:tabs>
        <w:spacing w:line="276" w:lineRule="auto"/>
        <w:ind w:right="-518" w:firstLine="1701"/>
        <w:jc w:val="both"/>
        <w:rPr>
          <w:rFonts w:ascii="Arial" w:hAnsi="Arial" w:cs="Arial"/>
          <w:sz w:val="22"/>
          <w:szCs w:val="22"/>
        </w:rPr>
      </w:pPr>
    </w:p>
    <w:p w:rsidR="00827DE9" w:rsidRPr="00827DE9" w:rsidRDefault="00827DE9" w:rsidP="00827DE9">
      <w:pPr>
        <w:tabs>
          <w:tab w:val="left" w:pos="0"/>
        </w:tabs>
        <w:spacing w:line="276" w:lineRule="auto"/>
        <w:ind w:right="-518" w:firstLine="1701"/>
        <w:jc w:val="both"/>
        <w:rPr>
          <w:rFonts w:ascii="Arial" w:hAnsi="Arial" w:cs="Arial"/>
          <w:sz w:val="22"/>
          <w:szCs w:val="22"/>
        </w:rPr>
      </w:pPr>
      <w:r w:rsidRPr="00827DE9">
        <w:rPr>
          <w:rFonts w:ascii="Arial" w:hAnsi="Arial" w:cs="Arial"/>
          <w:sz w:val="22"/>
          <w:szCs w:val="22"/>
        </w:rPr>
        <w:t>Durante la vigencia del FOGAPE Chile Apoya, el Ministerio de Hacienda y el administrador del FOGAPE expondrán, mensualmente, ante las comisiones de Hacienda de cada Cámara, un informe acerca del funcionamiento del Fondo, el que contendrá, al menos, los datos sobre el destino de los recursos y los criterios de asignación a las empresas clasificadas por tamaño y diferenciadas por ventas anuales en unidades de fomento, así como los montos, plazos y tasas promedio de los créditos garantizados.</w:t>
      </w:r>
    </w:p>
    <w:p w:rsidR="00827DE9" w:rsidRPr="00827DE9" w:rsidRDefault="00827DE9" w:rsidP="00827DE9">
      <w:pPr>
        <w:tabs>
          <w:tab w:val="left" w:pos="0"/>
        </w:tabs>
        <w:spacing w:line="276" w:lineRule="auto"/>
        <w:ind w:right="-518" w:firstLine="1701"/>
        <w:jc w:val="both"/>
        <w:rPr>
          <w:rFonts w:ascii="Arial" w:hAnsi="Arial" w:cs="Arial"/>
          <w:sz w:val="22"/>
          <w:szCs w:val="22"/>
        </w:rPr>
      </w:pPr>
    </w:p>
    <w:p w:rsidR="00827DE9" w:rsidRPr="00827DE9" w:rsidRDefault="00827DE9" w:rsidP="00827DE9">
      <w:pPr>
        <w:tabs>
          <w:tab w:val="left" w:pos="0"/>
        </w:tabs>
        <w:spacing w:line="276" w:lineRule="auto"/>
        <w:ind w:right="-518" w:firstLine="1701"/>
        <w:jc w:val="both"/>
        <w:rPr>
          <w:rFonts w:ascii="Arial" w:hAnsi="Arial" w:cs="Arial"/>
          <w:sz w:val="22"/>
          <w:szCs w:val="22"/>
        </w:rPr>
      </w:pPr>
      <w:r w:rsidRPr="00827DE9">
        <w:rPr>
          <w:rFonts w:ascii="Arial" w:hAnsi="Arial" w:cs="Arial"/>
          <w:sz w:val="22"/>
          <w:szCs w:val="22"/>
        </w:rPr>
        <w:t>La información a la que se refiere el inciso anterior deberá ser remitida, además, a la Comisión de Economía de la Cámara de Diputados y a la Comisión de Economía del Senado, mensualmente.</w:t>
      </w:r>
    </w:p>
    <w:p w:rsidR="00827DE9" w:rsidRPr="00827DE9" w:rsidRDefault="00827DE9" w:rsidP="00827DE9">
      <w:pPr>
        <w:tabs>
          <w:tab w:val="left" w:pos="0"/>
        </w:tabs>
        <w:spacing w:line="276" w:lineRule="auto"/>
        <w:ind w:right="-518" w:firstLine="1701"/>
        <w:jc w:val="both"/>
        <w:rPr>
          <w:rFonts w:ascii="Arial" w:hAnsi="Arial" w:cs="Arial"/>
          <w:sz w:val="22"/>
          <w:szCs w:val="22"/>
        </w:rPr>
      </w:pPr>
    </w:p>
    <w:p w:rsidR="00827DE9" w:rsidRDefault="00827DE9" w:rsidP="00827DE9">
      <w:pPr>
        <w:tabs>
          <w:tab w:val="left" w:pos="0"/>
        </w:tabs>
        <w:spacing w:line="276" w:lineRule="auto"/>
        <w:ind w:right="-518" w:firstLine="1701"/>
        <w:jc w:val="both"/>
        <w:rPr>
          <w:rFonts w:ascii="Arial" w:hAnsi="Arial" w:cs="Arial"/>
          <w:sz w:val="22"/>
          <w:szCs w:val="22"/>
        </w:rPr>
      </w:pPr>
      <w:r w:rsidRPr="00827DE9">
        <w:rPr>
          <w:rFonts w:ascii="Arial" w:hAnsi="Arial" w:cs="Arial"/>
          <w:sz w:val="22"/>
          <w:szCs w:val="22"/>
        </w:rPr>
        <w:tab/>
        <w:t>Una vez dictado el reglamento FOGAPE Chile Apoya a que se refiere este artículo, el Ministerio de Hacienda expondrá ante las comisiones de Hacienda y Economía de la Cámara de Diputados y el Senado acerca de su contenido.".</w:t>
      </w:r>
    </w:p>
    <w:p w:rsidR="00A36BA5" w:rsidRDefault="00A36BA5" w:rsidP="00827DE9">
      <w:pPr>
        <w:tabs>
          <w:tab w:val="left" w:pos="0"/>
        </w:tabs>
        <w:spacing w:line="276" w:lineRule="auto"/>
        <w:ind w:right="-518" w:firstLine="1701"/>
        <w:jc w:val="both"/>
        <w:rPr>
          <w:rFonts w:ascii="Arial" w:hAnsi="Arial" w:cs="Arial"/>
          <w:sz w:val="22"/>
          <w:szCs w:val="22"/>
        </w:rPr>
      </w:pPr>
    </w:p>
    <w:p w:rsidR="00A36BA5" w:rsidRPr="00A36BA5" w:rsidRDefault="00A36BA5" w:rsidP="00827DE9">
      <w:pPr>
        <w:tabs>
          <w:tab w:val="left" w:pos="0"/>
        </w:tabs>
        <w:spacing w:line="276" w:lineRule="auto"/>
        <w:ind w:right="-518" w:firstLine="1701"/>
        <w:jc w:val="both"/>
        <w:rPr>
          <w:rFonts w:ascii="Arial" w:hAnsi="Arial" w:cs="Arial"/>
          <w:b/>
          <w:sz w:val="22"/>
          <w:szCs w:val="22"/>
        </w:rPr>
      </w:pPr>
      <w:r w:rsidRPr="00A36BA5">
        <w:rPr>
          <w:rFonts w:ascii="Arial" w:hAnsi="Arial" w:cs="Arial"/>
          <w:b/>
          <w:sz w:val="22"/>
          <w:szCs w:val="22"/>
        </w:rPr>
        <w:t>Indicaciones presentadas</w:t>
      </w:r>
    </w:p>
    <w:p w:rsidR="00827DE9" w:rsidRDefault="00827DE9" w:rsidP="00827DE9">
      <w:pPr>
        <w:tabs>
          <w:tab w:val="left" w:pos="0"/>
        </w:tabs>
        <w:spacing w:line="276" w:lineRule="auto"/>
        <w:ind w:right="-518" w:firstLine="1701"/>
        <w:jc w:val="both"/>
        <w:rPr>
          <w:rFonts w:ascii="Arial" w:hAnsi="Arial" w:cs="Arial"/>
          <w:sz w:val="22"/>
          <w:szCs w:val="22"/>
        </w:rPr>
      </w:pPr>
    </w:p>
    <w:p w:rsidR="00845CB2" w:rsidRPr="00845CB2" w:rsidRDefault="00845CB2" w:rsidP="00827DE9">
      <w:pPr>
        <w:tabs>
          <w:tab w:val="left" w:pos="0"/>
        </w:tabs>
        <w:spacing w:line="276" w:lineRule="auto"/>
        <w:ind w:right="-518" w:firstLine="1701"/>
        <w:jc w:val="both"/>
        <w:rPr>
          <w:rFonts w:ascii="Arial" w:hAnsi="Arial" w:cs="Arial"/>
          <w:b/>
          <w:sz w:val="22"/>
          <w:szCs w:val="22"/>
        </w:rPr>
      </w:pPr>
      <w:r w:rsidRPr="00845CB2">
        <w:rPr>
          <w:rFonts w:ascii="Arial" w:hAnsi="Arial" w:cs="Arial"/>
          <w:b/>
          <w:sz w:val="22"/>
          <w:szCs w:val="22"/>
        </w:rPr>
        <w:t>Al artículo primero</w:t>
      </w:r>
    </w:p>
    <w:p w:rsidR="00827DE9" w:rsidRPr="00A36BA5" w:rsidRDefault="00827DE9" w:rsidP="00827DE9">
      <w:pPr>
        <w:tabs>
          <w:tab w:val="left" w:pos="0"/>
        </w:tabs>
        <w:spacing w:line="276" w:lineRule="auto"/>
        <w:ind w:right="-518" w:firstLine="1701"/>
        <w:jc w:val="both"/>
        <w:rPr>
          <w:rFonts w:ascii="Arial" w:hAnsi="Arial" w:cs="Arial"/>
          <w:bCs/>
          <w:sz w:val="22"/>
          <w:szCs w:val="22"/>
        </w:rPr>
      </w:pPr>
      <w:r w:rsidRPr="00A36BA5">
        <w:rPr>
          <w:rFonts w:ascii="Arial" w:hAnsi="Arial" w:cs="Arial"/>
          <w:bCs/>
          <w:sz w:val="22"/>
          <w:szCs w:val="22"/>
        </w:rPr>
        <w:t>INDICACIÓN DE</w:t>
      </w:r>
      <w:r w:rsidR="008B444F" w:rsidRPr="00A36BA5">
        <w:rPr>
          <w:rFonts w:ascii="Arial" w:hAnsi="Arial" w:cs="Arial"/>
          <w:bCs/>
          <w:sz w:val="22"/>
          <w:szCs w:val="22"/>
        </w:rPr>
        <w:t xml:space="preserve"> LOS DIPUTADOS</w:t>
      </w:r>
      <w:r w:rsidRPr="00A36BA5">
        <w:rPr>
          <w:rFonts w:ascii="Arial" w:hAnsi="Arial" w:cs="Arial"/>
          <w:bCs/>
          <w:sz w:val="22"/>
          <w:szCs w:val="22"/>
        </w:rPr>
        <w:t xml:space="preserve"> BARRERA, BIANCHI Y CIFUENTES</w:t>
      </w:r>
      <w:r w:rsidR="008B444F" w:rsidRPr="00A36BA5">
        <w:rPr>
          <w:rFonts w:ascii="Arial" w:hAnsi="Arial" w:cs="Arial"/>
          <w:bCs/>
          <w:sz w:val="22"/>
          <w:szCs w:val="22"/>
        </w:rPr>
        <w:t>, LA QUE FUE SUSCRITA POR TODOS LOS INTEGRANTES DE LA COMISIÓN</w:t>
      </w:r>
    </w:p>
    <w:p w:rsidR="00A36BA5" w:rsidRDefault="00A36BA5" w:rsidP="00A36BA5">
      <w:pPr>
        <w:pStyle w:val="Sinespaciado"/>
        <w:spacing w:line="276" w:lineRule="auto"/>
        <w:ind w:right="-518" w:firstLine="1701"/>
        <w:jc w:val="both"/>
        <w:rPr>
          <w:rFonts w:ascii="Arial" w:hAnsi="Arial" w:cs="Arial"/>
          <w:lang w:eastAsia="es-CL"/>
        </w:rPr>
      </w:pPr>
    </w:p>
    <w:p w:rsidR="00A36BA5" w:rsidRDefault="00845CB2" w:rsidP="00A36BA5">
      <w:pPr>
        <w:pStyle w:val="Sinespaciado"/>
        <w:spacing w:line="276" w:lineRule="auto"/>
        <w:ind w:right="-518" w:firstLine="1701"/>
        <w:jc w:val="both"/>
        <w:rPr>
          <w:rFonts w:ascii="Arial" w:hAnsi="Arial" w:cs="Arial"/>
          <w:lang w:eastAsia="es-CL"/>
        </w:rPr>
      </w:pPr>
      <w:r>
        <w:rPr>
          <w:rFonts w:ascii="Arial" w:hAnsi="Arial" w:cs="Arial"/>
          <w:lang w:eastAsia="es-CL"/>
        </w:rPr>
        <w:t>“</w:t>
      </w:r>
      <w:r w:rsidR="00A36BA5" w:rsidRPr="00546BE3">
        <w:rPr>
          <w:rFonts w:ascii="Arial" w:hAnsi="Arial" w:cs="Arial"/>
          <w:lang w:eastAsia="es-CL"/>
        </w:rPr>
        <w:t>En el inciso octavo, del numeral 5</w:t>
      </w:r>
      <w:r w:rsidR="00A36BA5">
        <w:rPr>
          <w:rFonts w:ascii="Arial" w:hAnsi="Arial" w:cs="Arial"/>
          <w:lang w:eastAsia="es-CL"/>
        </w:rPr>
        <w:t xml:space="preserve">, </w:t>
      </w:r>
      <w:r>
        <w:rPr>
          <w:rFonts w:ascii="Arial" w:hAnsi="Arial" w:cs="Arial"/>
          <w:lang w:eastAsia="es-CL"/>
        </w:rPr>
        <w:t>reemplazar</w:t>
      </w:r>
      <w:r w:rsidR="00A36BA5">
        <w:rPr>
          <w:rFonts w:ascii="Arial" w:hAnsi="Arial" w:cs="Arial"/>
          <w:lang w:eastAsia="es-CL"/>
        </w:rPr>
        <w:t xml:space="preserve"> la expresión “por el plazo de 12 meses desde que se adjudique la primera licitación efectuada en virtud de Fogape Chile Apoya” por “hasta el 31 de diciembre de 2023”.</w:t>
      </w:r>
    </w:p>
    <w:p w:rsidR="00A36BA5" w:rsidRDefault="00A36BA5" w:rsidP="00A36BA5">
      <w:pPr>
        <w:pStyle w:val="Sinespaciado"/>
        <w:spacing w:line="276" w:lineRule="auto"/>
        <w:ind w:right="-518" w:firstLine="1701"/>
        <w:jc w:val="both"/>
        <w:rPr>
          <w:rFonts w:ascii="Arial" w:hAnsi="Arial" w:cs="Arial"/>
          <w:lang w:eastAsia="es-CL"/>
        </w:rPr>
      </w:pPr>
    </w:p>
    <w:p w:rsidR="00A36BA5" w:rsidRDefault="00A36BA5" w:rsidP="00A36BA5">
      <w:pPr>
        <w:pStyle w:val="Sinespaciado"/>
        <w:spacing w:line="276" w:lineRule="auto"/>
        <w:ind w:right="-518" w:firstLine="1701"/>
        <w:jc w:val="both"/>
        <w:rPr>
          <w:rFonts w:ascii="Arial" w:hAnsi="Arial" w:cs="Arial"/>
          <w:lang w:eastAsia="es-CL"/>
        </w:rPr>
      </w:pPr>
      <w:r>
        <w:rPr>
          <w:rFonts w:ascii="Arial" w:hAnsi="Arial" w:cs="Arial"/>
          <w:lang w:eastAsia="es-CL"/>
        </w:rPr>
        <w:t xml:space="preserve">Fue declarada inadmisible porque amplía la garantía estatal </w:t>
      </w:r>
      <w:r>
        <w:rPr>
          <w:rFonts w:ascii="Arial" w:hAnsi="Arial" w:cs="Arial"/>
          <w:lang w:eastAsia="es-CL"/>
        </w:rPr>
        <w:t>lo que incide en materia financiera del Estado, de in</w:t>
      </w:r>
      <w:r w:rsidR="00FB724E">
        <w:rPr>
          <w:rFonts w:ascii="Arial" w:hAnsi="Arial" w:cs="Arial"/>
          <w:lang w:eastAsia="es-CL"/>
        </w:rPr>
        <w:t>i</w:t>
      </w:r>
      <w:r>
        <w:rPr>
          <w:rFonts w:ascii="Arial" w:hAnsi="Arial" w:cs="Arial"/>
          <w:lang w:eastAsia="es-CL"/>
        </w:rPr>
        <w:t xml:space="preserve">ciativa exclusiva </w:t>
      </w:r>
      <w:r w:rsidR="00FB724E">
        <w:rPr>
          <w:rFonts w:ascii="Arial" w:hAnsi="Arial" w:cs="Arial"/>
          <w:lang w:eastAsia="es-CL"/>
        </w:rPr>
        <w:t>del Presidente de la República, en virtud del inciso tercero del artículo 65 de la Constitución Política de la República</w:t>
      </w:r>
    </w:p>
    <w:p w:rsidR="00A36BA5" w:rsidRDefault="00A36BA5" w:rsidP="00A36BA5">
      <w:pPr>
        <w:pStyle w:val="Sinespaciado"/>
        <w:spacing w:line="276" w:lineRule="auto"/>
        <w:ind w:right="-518" w:firstLine="1701"/>
        <w:jc w:val="both"/>
        <w:rPr>
          <w:rFonts w:ascii="Arial" w:hAnsi="Arial" w:cs="Arial"/>
          <w:lang w:eastAsia="es-CL"/>
        </w:rPr>
      </w:pPr>
    </w:p>
    <w:p w:rsidR="00827DE9" w:rsidRDefault="00827DE9" w:rsidP="00827DE9">
      <w:pPr>
        <w:tabs>
          <w:tab w:val="left" w:pos="0"/>
        </w:tabs>
        <w:spacing w:line="276" w:lineRule="auto"/>
        <w:ind w:right="-518" w:firstLine="1701"/>
        <w:jc w:val="both"/>
        <w:rPr>
          <w:rFonts w:ascii="Arial" w:hAnsi="Arial" w:cs="Arial"/>
          <w:b/>
          <w:bCs/>
          <w:sz w:val="22"/>
          <w:szCs w:val="22"/>
        </w:rPr>
      </w:pPr>
      <w:r w:rsidRPr="00827DE9">
        <w:rPr>
          <w:rFonts w:ascii="Arial" w:hAnsi="Arial" w:cs="Arial"/>
          <w:b/>
          <w:bCs/>
          <w:sz w:val="22"/>
          <w:szCs w:val="22"/>
        </w:rPr>
        <w:t>Indicación del Ejecutivo</w:t>
      </w:r>
    </w:p>
    <w:p w:rsidR="00A36BA5" w:rsidRPr="00845CB2" w:rsidRDefault="00A36BA5" w:rsidP="00827DE9">
      <w:pPr>
        <w:tabs>
          <w:tab w:val="left" w:pos="0"/>
        </w:tabs>
        <w:spacing w:line="276" w:lineRule="auto"/>
        <w:ind w:right="-518" w:firstLine="1701"/>
        <w:jc w:val="both"/>
        <w:rPr>
          <w:rFonts w:ascii="Arial" w:hAnsi="Arial" w:cs="Arial"/>
          <w:bCs/>
          <w:sz w:val="22"/>
          <w:szCs w:val="22"/>
        </w:rPr>
      </w:pPr>
      <w:r w:rsidRPr="00845CB2">
        <w:rPr>
          <w:rFonts w:ascii="Arial" w:hAnsi="Arial" w:cs="Arial"/>
          <w:bCs/>
          <w:sz w:val="22"/>
          <w:szCs w:val="22"/>
        </w:rPr>
        <w:t>El Ejecutivo</w:t>
      </w:r>
      <w:r w:rsidR="00845CB2">
        <w:rPr>
          <w:rFonts w:ascii="Arial" w:hAnsi="Arial" w:cs="Arial"/>
          <w:bCs/>
          <w:sz w:val="22"/>
          <w:szCs w:val="22"/>
        </w:rPr>
        <w:t xml:space="preserve"> patrocinó el tenor de la indicación anterior suscrita por la Comisión, en los mismos términos:</w:t>
      </w:r>
      <w:r w:rsidRPr="00845CB2">
        <w:rPr>
          <w:rFonts w:ascii="Arial" w:hAnsi="Arial" w:cs="Arial"/>
          <w:bCs/>
          <w:sz w:val="22"/>
          <w:szCs w:val="22"/>
        </w:rPr>
        <w:t xml:space="preserve"> </w:t>
      </w:r>
    </w:p>
    <w:p w:rsidR="00827DE9" w:rsidRPr="00827DE9" w:rsidRDefault="00845CB2" w:rsidP="00827DE9">
      <w:pPr>
        <w:tabs>
          <w:tab w:val="left" w:pos="0"/>
        </w:tabs>
        <w:spacing w:line="276" w:lineRule="auto"/>
        <w:ind w:right="-518" w:firstLine="1701"/>
        <w:jc w:val="both"/>
        <w:rPr>
          <w:rFonts w:ascii="Arial" w:hAnsi="Arial" w:cs="Arial"/>
          <w:sz w:val="22"/>
          <w:szCs w:val="22"/>
        </w:rPr>
      </w:pPr>
      <w:r>
        <w:rPr>
          <w:rFonts w:ascii="Arial" w:hAnsi="Arial" w:cs="Arial"/>
          <w:sz w:val="22"/>
          <w:szCs w:val="22"/>
        </w:rPr>
        <w:t>“</w:t>
      </w:r>
      <w:r w:rsidR="00827DE9" w:rsidRPr="00827DE9">
        <w:rPr>
          <w:rFonts w:ascii="Arial" w:hAnsi="Arial" w:cs="Arial"/>
          <w:sz w:val="22"/>
          <w:szCs w:val="22"/>
        </w:rPr>
        <w:t>Para reemplazar en el inciso octavo del artículo noveno transitorio, que se incorpora en virtud de su numeral 5, la expresión “por el plazo de 12 meses desde que se adjudique la primera licitación efectuada en virtud de FOGAPE Chile Apoya” por “hasta el 31 de diciembre de 2023”.</w:t>
      </w:r>
    </w:p>
    <w:p w:rsidR="00827DE9" w:rsidRPr="00827DE9" w:rsidRDefault="00827DE9" w:rsidP="00827DE9">
      <w:pPr>
        <w:tabs>
          <w:tab w:val="left" w:pos="0"/>
        </w:tabs>
        <w:spacing w:line="276" w:lineRule="auto"/>
        <w:ind w:right="-518" w:firstLine="1701"/>
        <w:jc w:val="both"/>
        <w:rPr>
          <w:rFonts w:ascii="Arial" w:hAnsi="Arial" w:cs="Arial"/>
          <w:sz w:val="22"/>
          <w:szCs w:val="22"/>
        </w:rPr>
      </w:pPr>
    </w:p>
    <w:p w:rsidR="00827DE9" w:rsidRDefault="00827DE9" w:rsidP="00827DE9">
      <w:pPr>
        <w:tabs>
          <w:tab w:val="left" w:pos="0"/>
        </w:tabs>
        <w:spacing w:line="276" w:lineRule="auto"/>
        <w:ind w:right="-518" w:firstLine="1701"/>
        <w:jc w:val="both"/>
        <w:rPr>
          <w:rFonts w:ascii="Arial" w:hAnsi="Arial" w:cs="Arial"/>
          <w:b/>
          <w:bCs/>
          <w:sz w:val="22"/>
          <w:szCs w:val="22"/>
        </w:rPr>
      </w:pPr>
      <w:r w:rsidRPr="00827DE9">
        <w:rPr>
          <w:rFonts w:ascii="Arial" w:hAnsi="Arial" w:cs="Arial"/>
          <w:b/>
          <w:bCs/>
          <w:sz w:val="22"/>
          <w:szCs w:val="22"/>
        </w:rPr>
        <w:t>El artículo primero, con la indicación formulada, fue aprobado por la unanimidad de los trece diputados(a) presentes, señores Barrera, Bernales (en reemplazo del diputado Mirosevic), Bianchi, Brito, Cifuentes, Mellado, Naranjo</w:t>
      </w:r>
      <w:r w:rsidR="00845CB2">
        <w:rPr>
          <w:rFonts w:ascii="Arial" w:hAnsi="Arial" w:cs="Arial"/>
          <w:b/>
          <w:bCs/>
          <w:sz w:val="22"/>
          <w:szCs w:val="22"/>
        </w:rPr>
        <w:t xml:space="preserve"> (Presidente)</w:t>
      </w:r>
      <w:r w:rsidRPr="00827DE9">
        <w:rPr>
          <w:rFonts w:ascii="Arial" w:hAnsi="Arial" w:cs="Arial"/>
          <w:b/>
          <w:bCs/>
          <w:sz w:val="22"/>
          <w:szCs w:val="22"/>
        </w:rPr>
        <w:t>, Ramírez, Romero, Sauerbaum, Sepúlveda, Von Mühlenbrock y Yeomans.</w:t>
      </w:r>
    </w:p>
    <w:p w:rsidR="00845CB2" w:rsidRDefault="00845CB2" w:rsidP="00827DE9">
      <w:pPr>
        <w:tabs>
          <w:tab w:val="left" w:pos="0"/>
        </w:tabs>
        <w:spacing w:line="276" w:lineRule="auto"/>
        <w:ind w:right="-518" w:firstLine="1701"/>
        <w:jc w:val="both"/>
        <w:rPr>
          <w:rFonts w:ascii="Arial" w:hAnsi="Arial" w:cs="Arial"/>
          <w:b/>
          <w:bCs/>
          <w:sz w:val="22"/>
          <w:szCs w:val="22"/>
        </w:rPr>
      </w:pPr>
    </w:p>
    <w:p w:rsidR="00845CB2" w:rsidRDefault="00845CB2" w:rsidP="00827DE9">
      <w:pPr>
        <w:tabs>
          <w:tab w:val="left" w:pos="0"/>
        </w:tabs>
        <w:spacing w:line="276" w:lineRule="auto"/>
        <w:ind w:right="-518" w:firstLine="1701"/>
        <w:jc w:val="both"/>
        <w:rPr>
          <w:rFonts w:ascii="Arial" w:hAnsi="Arial" w:cs="Arial"/>
          <w:b/>
          <w:bCs/>
          <w:sz w:val="22"/>
          <w:szCs w:val="22"/>
        </w:rPr>
      </w:pPr>
      <w:r>
        <w:rPr>
          <w:rFonts w:ascii="Arial" w:hAnsi="Arial" w:cs="Arial"/>
          <w:b/>
          <w:bCs/>
          <w:sz w:val="22"/>
          <w:szCs w:val="22"/>
        </w:rPr>
        <w:t>Al artículo segundo</w:t>
      </w:r>
    </w:p>
    <w:p w:rsidR="00845CB2" w:rsidRDefault="00845CB2" w:rsidP="00827DE9">
      <w:pPr>
        <w:tabs>
          <w:tab w:val="left" w:pos="0"/>
        </w:tabs>
        <w:spacing w:line="276" w:lineRule="auto"/>
        <w:ind w:right="-518" w:firstLine="1701"/>
        <w:jc w:val="both"/>
        <w:rPr>
          <w:rFonts w:ascii="Arial" w:hAnsi="Arial" w:cs="Arial"/>
          <w:b/>
          <w:bCs/>
          <w:sz w:val="22"/>
          <w:szCs w:val="22"/>
        </w:rPr>
      </w:pPr>
    </w:p>
    <w:p w:rsidR="00827DE9" w:rsidRPr="00827DE9" w:rsidRDefault="00827DE9" w:rsidP="00827DE9">
      <w:pPr>
        <w:tabs>
          <w:tab w:val="left" w:pos="0"/>
        </w:tabs>
        <w:spacing w:line="276" w:lineRule="auto"/>
        <w:ind w:right="-518" w:firstLine="1701"/>
        <w:jc w:val="both"/>
        <w:rPr>
          <w:rFonts w:ascii="Arial" w:hAnsi="Arial" w:cs="Arial"/>
          <w:b/>
          <w:bCs/>
          <w:sz w:val="22"/>
          <w:szCs w:val="22"/>
        </w:rPr>
      </w:pPr>
      <w:r w:rsidRPr="00827DE9">
        <w:rPr>
          <w:rFonts w:ascii="Arial" w:hAnsi="Arial" w:cs="Arial"/>
          <w:b/>
          <w:bCs/>
          <w:sz w:val="22"/>
          <w:szCs w:val="22"/>
        </w:rPr>
        <w:t>Indicación del Ejecutivo:</w:t>
      </w:r>
    </w:p>
    <w:p w:rsidR="00827DE9" w:rsidRPr="00827DE9" w:rsidRDefault="00827DE9" w:rsidP="00827DE9">
      <w:pPr>
        <w:tabs>
          <w:tab w:val="left" w:pos="0"/>
        </w:tabs>
        <w:spacing w:line="276" w:lineRule="auto"/>
        <w:ind w:right="-518" w:firstLine="1701"/>
        <w:jc w:val="both"/>
        <w:rPr>
          <w:rFonts w:ascii="Arial" w:hAnsi="Arial" w:cs="Arial"/>
          <w:sz w:val="22"/>
          <w:szCs w:val="22"/>
        </w:rPr>
      </w:pPr>
      <w:r w:rsidRPr="00827DE9">
        <w:rPr>
          <w:rFonts w:ascii="Arial" w:hAnsi="Arial" w:cs="Arial"/>
          <w:sz w:val="22"/>
          <w:szCs w:val="22"/>
        </w:rPr>
        <w:t>Para modificarlo en el siguiente sentido:</w:t>
      </w:r>
    </w:p>
    <w:p w:rsidR="00827DE9" w:rsidRPr="00827DE9" w:rsidRDefault="00827DE9" w:rsidP="00827DE9">
      <w:pPr>
        <w:tabs>
          <w:tab w:val="left" w:pos="0"/>
        </w:tabs>
        <w:spacing w:line="276" w:lineRule="auto"/>
        <w:ind w:right="-518" w:firstLine="1701"/>
        <w:jc w:val="both"/>
        <w:rPr>
          <w:rFonts w:ascii="Arial" w:hAnsi="Arial" w:cs="Arial"/>
          <w:sz w:val="22"/>
          <w:szCs w:val="22"/>
        </w:rPr>
      </w:pPr>
    </w:p>
    <w:p w:rsidR="00827DE9" w:rsidRPr="00827DE9" w:rsidRDefault="00827DE9" w:rsidP="00827DE9">
      <w:pPr>
        <w:tabs>
          <w:tab w:val="left" w:pos="0"/>
        </w:tabs>
        <w:spacing w:line="276" w:lineRule="auto"/>
        <w:ind w:right="-518" w:firstLine="1701"/>
        <w:jc w:val="both"/>
        <w:rPr>
          <w:rFonts w:ascii="Arial" w:hAnsi="Arial" w:cs="Arial"/>
          <w:sz w:val="22"/>
          <w:szCs w:val="22"/>
        </w:rPr>
      </w:pPr>
      <w:r w:rsidRPr="00827DE9">
        <w:rPr>
          <w:rFonts w:ascii="Arial" w:hAnsi="Arial" w:cs="Arial"/>
          <w:sz w:val="22"/>
          <w:szCs w:val="22"/>
        </w:rPr>
        <w:t>a)</w:t>
      </w:r>
      <w:r w:rsidRPr="00827DE9">
        <w:rPr>
          <w:rFonts w:ascii="Arial" w:hAnsi="Arial" w:cs="Arial"/>
          <w:sz w:val="22"/>
          <w:szCs w:val="22"/>
        </w:rPr>
        <w:tab/>
        <w:t>Intercálase el siguiente inciso cuarto nuevo, pasando a ser el actual inciso cuarto, inciso quinto, y así sucesivamente:</w:t>
      </w:r>
    </w:p>
    <w:p w:rsidR="00827DE9" w:rsidRPr="00827DE9" w:rsidRDefault="00827DE9" w:rsidP="00827DE9">
      <w:pPr>
        <w:tabs>
          <w:tab w:val="left" w:pos="0"/>
        </w:tabs>
        <w:spacing w:line="276" w:lineRule="auto"/>
        <w:ind w:right="-518" w:firstLine="1701"/>
        <w:jc w:val="both"/>
        <w:rPr>
          <w:rFonts w:ascii="Arial" w:hAnsi="Arial" w:cs="Arial"/>
          <w:sz w:val="22"/>
          <w:szCs w:val="22"/>
        </w:rPr>
      </w:pPr>
    </w:p>
    <w:p w:rsidR="00827DE9" w:rsidRPr="00827DE9" w:rsidRDefault="00827DE9" w:rsidP="00827DE9">
      <w:pPr>
        <w:tabs>
          <w:tab w:val="left" w:pos="0"/>
        </w:tabs>
        <w:spacing w:line="276" w:lineRule="auto"/>
        <w:ind w:right="-518" w:firstLine="1701"/>
        <w:jc w:val="both"/>
        <w:rPr>
          <w:rFonts w:ascii="Arial" w:hAnsi="Arial" w:cs="Arial"/>
          <w:sz w:val="22"/>
          <w:szCs w:val="22"/>
        </w:rPr>
      </w:pPr>
      <w:r w:rsidRPr="00827DE9">
        <w:rPr>
          <w:rFonts w:ascii="Arial" w:hAnsi="Arial" w:cs="Arial"/>
          <w:sz w:val="22"/>
          <w:szCs w:val="22"/>
        </w:rPr>
        <w:t>“Asimismo, el Ministerio del Interior y Seguridad Pública, directamente, o a través de la Subsecretaría del Interior, entregará al Administrador el listado de personas que formen parte del catastro de afectados por eventos de violencia rural gestionado por dicho Ministerio.”.</w:t>
      </w:r>
    </w:p>
    <w:p w:rsidR="00827DE9" w:rsidRPr="00827DE9" w:rsidRDefault="00827DE9" w:rsidP="00827DE9">
      <w:pPr>
        <w:tabs>
          <w:tab w:val="left" w:pos="0"/>
        </w:tabs>
        <w:spacing w:line="276" w:lineRule="auto"/>
        <w:ind w:right="-518" w:firstLine="1701"/>
        <w:jc w:val="both"/>
        <w:rPr>
          <w:rFonts w:ascii="Arial" w:hAnsi="Arial" w:cs="Arial"/>
          <w:sz w:val="22"/>
          <w:szCs w:val="22"/>
        </w:rPr>
      </w:pPr>
    </w:p>
    <w:p w:rsidR="00827DE9" w:rsidRPr="00827DE9" w:rsidRDefault="00827DE9" w:rsidP="00827DE9">
      <w:pPr>
        <w:tabs>
          <w:tab w:val="left" w:pos="0"/>
        </w:tabs>
        <w:spacing w:line="276" w:lineRule="auto"/>
        <w:ind w:right="-518" w:firstLine="1701"/>
        <w:jc w:val="both"/>
        <w:rPr>
          <w:rFonts w:ascii="Arial" w:hAnsi="Arial" w:cs="Arial"/>
          <w:sz w:val="22"/>
          <w:szCs w:val="22"/>
        </w:rPr>
      </w:pPr>
      <w:r w:rsidRPr="00827DE9">
        <w:rPr>
          <w:rFonts w:ascii="Arial" w:hAnsi="Arial" w:cs="Arial"/>
          <w:sz w:val="22"/>
          <w:szCs w:val="22"/>
        </w:rPr>
        <w:t>b)</w:t>
      </w:r>
      <w:r w:rsidRPr="00827DE9">
        <w:rPr>
          <w:rFonts w:ascii="Arial" w:hAnsi="Arial" w:cs="Arial"/>
          <w:sz w:val="22"/>
          <w:szCs w:val="22"/>
        </w:rPr>
        <w:tab/>
        <w:t>Agrégase en el inciso quinto, que ha pasado a ser sexto, a continuación del punto final, la siguiente frase:</w:t>
      </w:r>
    </w:p>
    <w:p w:rsidR="00827DE9" w:rsidRPr="00827DE9" w:rsidRDefault="00827DE9" w:rsidP="00827DE9">
      <w:pPr>
        <w:tabs>
          <w:tab w:val="left" w:pos="0"/>
        </w:tabs>
        <w:spacing w:line="276" w:lineRule="auto"/>
        <w:ind w:right="-518" w:firstLine="1701"/>
        <w:jc w:val="both"/>
        <w:rPr>
          <w:rFonts w:ascii="Arial" w:hAnsi="Arial" w:cs="Arial"/>
          <w:sz w:val="22"/>
          <w:szCs w:val="22"/>
        </w:rPr>
      </w:pPr>
    </w:p>
    <w:p w:rsidR="00827DE9" w:rsidRPr="00827DE9" w:rsidRDefault="00827DE9" w:rsidP="00827DE9">
      <w:pPr>
        <w:tabs>
          <w:tab w:val="left" w:pos="0"/>
        </w:tabs>
        <w:spacing w:line="276" w:lineRule="auto"/>
        <w:ind w:right="-518" w:firstLine="1701"/>
        <w:jc w:val="both"/>
        <w:rPr>
          <w:rFonts w:ascii="Arial" w:hAnsi="Arial" w:cs="Arial"/>
          <w:sz w:val="22"/>
          <w:szCs w:val="22"/>
        </w:rPr>
      </w:pPr>
      <w:r w:rsidRPr="00827DE9">
        <w:rPr>
          <w:rFonts w:ascii="Arial" w:hAnsi="Arial" w:cs="Arial"/>
          <w:sz w:val="22"/>
          <w:szCs w:val="22"/>
        </w:rPr>
        <w:t>“En todo caso, la información que se entregue según lo dispuesto en los incisos segundo, tercero, cuarto y quinto de este artículo se limitará estrictamente a aquella que sea necesaria para la correcta identificación de las empresas elegibles para acceder al FOGAPE Chile Apoya creado por esta ley, en cumplimiento de lo dispuesto por la ley N° 19.628, sobre protección de la vida privada.”.</w:t>
      </w:r>
    </w:p>
    <w:p w:rsidR="00827DE9" w:rsidRPr="00827DE9" w:rsidRDefault="00827DE9" w:rsidP="00827DE9">
      <w:pPr>
        <w:tabs>
          <w:tab w:val="left" w:pos="0"/>
        </w:tabs>
        <w:spacing w:line="276" w:lineRule="auto"/>
        <w:ind w:right="-518" w:firstLine="1701"/>
        <w:jc w:val="both"/>
        <w:rPr>
          <w:rFonts w:ascii="Arial" w:hAnsi="Arial" w:cs="Arial"/>
          <w:sz w:val="22"/>
          <w:szCs w:val="22"/>
        </w:rPr>
      </w:pPr>
    </w:p>
    <w:p w:rsidR="00845CB2" w:rsidRDefault="00827DE9" w:rsidP="00827DE9">
      <w:pPr>
        <w:tabs>
          <w:tab w:val="left" w:pos="0"/>
        </w:tabs>
        <w:spacing w:line="276" w:lineRule="auto"/>
        <w:ind w:right="-518" w:firstLine="1701"/>
        <w:jc w:val="both"/>
        <w:rPr>
          <w:rFonts w:ascii="Arial" w:hAnsi="Arial" w:cs="Arial"/>
          <w:sz w:val="22"/>
          <w:szCs w:val="22"/>
        </w:rPr>
      </w:pPr>
      <w:r w:rsidRPr="00845CB2">
        <w:rPr>
          <w:rFonts w:ascii="Arial" w:hAnsi="Arial" w:cs="Arial"/>
          <w:b/>
          <w:sz w:val="22"/>
          <w:szCs w:val="22"/>
        </w:rPr>
        <w:t>La Secretaría</w:t>
      </w:r>
      <w:r w:rsidRPr="00827DE9">
        <w:rPr>
          <w:rFonts w:ascii="Arial" w:hAnsi="Arial" w:cs="Arial"/>
          <w:sz w:val="22"/>
          <w:szCs w:val="22"/>
        </w:rPr>
        <w:t xml:space="preserve"> informó que esta indicación no podría ser conocida en esta sesión, por no versar sobre una disposición sometida a la competencia de la Comisión de Hacienda</w:t>
      </w:r>
      <w:r w:rsidR="00845CB2">
        <w:rPr>
          <w:rFonts w:ascii="Arial" w:hAnsi="Arial" w:cs="Arial"/>
          <w:sz w:val="22"/>
          <w:szCs w:val="22"/>
        </w:rPr>
        <w:t xml:space="preserve"> por la Comisión de Economía</w:t>
      </w:r>
      <w:r w:rsidRPr="00827DE9">
        <w:rPr>
          <w:rFonts w:ascii="Arial" w:hAnsi="Arial" w:cs="Arial"/>
          <w:sz w:val="22"/>
          <w:szCs w:val="22"/>
        </w:rPr>
        <w:t xml:space="preserve">. El ministro Grau expresó que esta indicación fue solicitada expresamente por la Comisión de Economía, y además, incluye un nuevo criterio para la calificación de la garantía estatal, por lo que tiene incidencia presupuestaria, en los términos contenidos en el informe financiero. </w:t>
      </w:r>
    </w:p>
    <w:p w:rsidR="00C1286F" w:rsidRDefault="00C1286F" w:rsidP="00827DE9">
      <w:pPr>
        <w:tabs>
          <w:tab w:val="left" w:pos="0"/>
        </w:tabs>
        <w:spacing w:line="276" w:lineRule="auto"/>
        <w:ind w:right="-518" w:firstLine="1701"/>
        <w:jc w:val="both"/>
        <w:rPr>
          <w:rFonts w:ascii="Arial" w:hAnsi="Arial" w:cs="Arial"/>
          <w:sz w:val="22"/>
          <w:szCs w:val="22"/>
        </w:rPr>
      </w:pPr>
    </w:p>
    <w:p w:rsidR="00827DE9" w:rsidRPr="00827DE9" w:rsidRDefault="00827DE9" w:rsidP="00827DE9">
      <w:pPr>
        <w:tabs>
          <w:tab w:val="left" w:pos="0"/>
        </w:tabs>
        <w:spacing w:line="276" w:lineRule="auto"/>
        <w:ind w:right="-518" w:firstLine="1701"/>
        <w:jc w:val="both"/>
        <w:rPr>
          <w:rFonts w:ascii="Arial" w:hAnsi="Arial" w:cs="Arial"/>
          <w:sz w:val="22"/>
          <w:szCs w:val="22"/>
        </w:rPr>
      </w:pPr>
      <w:r w:rsidRPr="00827DE9">
        <w:rPr>
          <w:rFonts w:ascii="Arial" w:hAnsi="Arial" w:cs="Arial"/>
          <w:sz w:val="22"/>
          <w:szCs w:val="22"/>
        </w:rPr>
        <w:t xml:space="preserve">Atendido lo anterior, </w:t>
      </w:r>
      <w:r w:rsidRPr="00827DE9">
        <w:rPr>
          <w:rFonts w:ascii="Arial" w:hAnsi="Arial" w:cs="Arial"/>
          <w:b/>
          <w:bCs/>
          <w:sz w:val="22"/>
          <w:szCs w:val="22"/>
        </w:rPr>
        <w:t>la indicación fue aprobada por la unanimidad de los trece diputados(a) presentes, señores Barrera, Bernales (en reemplazo del diputado Mirosevic), Bianchi, Brito, Cifuentes, Mellado, Naranjo, Ramírez, Romero, Sauerbaum, Sepúlveda, Von Mühlenbrock y Yeomans.</w:t>
      </w:r>
      <w:r w:rsidRPr="00827DE9">
        <w:rPr>
          <w:rFonts w:ascii="Arial" w:hAnsi="Arial" w:cs="Arial"/>
          <w:sz w:val="22"/>
          <w:szCs w:val="22"/>
        </w:rPr>
        <w:t xml:space="preserve"> </w:t>
      </w:r>
    </w:p>
    <w:p w:rsidR="00827DE9" w:rsidRPr="00827DE9" w:rsidRDefault="00827DE9" w:rsidP="00827DE9">
      <w:pPr>
        <w:tabs>
          <w:tab w:val="left" w:pos="0"/>
        </w:tabs>
        <w:spacing w:line="276" w:lineRule="auto"/>
        <w:ind w:right="-518" w:firstLine="1701"/>
        <w:jc w:val="both"/>
        <w:rPr>
          <w:rFonts w:ascii="Arial" w:hAnsi="Arial" w:cs="Arial"/>
          <w:sz w:val="22"/>
          <w:szCs w:val="22"/>
        </w:rPr>
      </w:pPr>
    </w:p>
    <w:p w:rsidR="00827DE9" w:rsidRPr="00827DE9" w:rsidRDefault="00845CB2" w:rsidP="00827DE9">
      <w:pPr>
        <w:tabs>
          <w:tab w:val="left" w:pos="0"/>
        </w:tabs>
        <w:spacing w:line="276" w:lineRule="auto"/>
        <w:ind w:right="-518" w:firstLine="1701"/>
        <w:jc w:val="both"/>
        <w:rPr>
          <w:rFonts w:ascii="Arial" w:hAnsi="Arial" w:cs="Arial"/>
          <w:sz w:val="22"/>
          <w:szCs w:val="22"/>
        </w:rPr>
      </w:pPr>
      <w:r>
        <w:rPr>
          <w:rFonts w:ascii="Arial" w:hAnsi="Arial" w:cs="Arial"/>
          <w:b/>
          <w:sz w:val="22"/>
          <w:szCs w:val="22"/>
        </w:rPr>
        <w:t>“</w:t>
      </w:r>
      <w:r w:rsidR="00827DE9" w:rsidRPr="00845CB2">
        <w:rPr>
          <w:rFonts w:ascii="Arial" w:hAnsi="Arial" w:cs="Arial"/>
          <w:b/>
          <w:sz w:val="22"/>
          <w:szCs w:val="22"/>
        </w:rPr>
        <w:t>Artículo tercero</w:t>
      </w:r>
      <w:r w:rsidR="00827DE9" w:rsidRPr="00827DE9">
        <w:rPr>
          <w:rFonts w:ascii="Arial" w:hAnsi="Arial" w:cs="Arial"/>
          <w:sz w:val="22"/>
          <w:szCs w:val="22"/>
        </w:rPr>
        <w:t>.- Reemplázase en el artículo segundo de la ley N° 21.229, la expresión “de 36 meses contados desde la entrada en vigencia de esta ley” por la expresión “de 48 meses contados desde la entrada en vigencia de la ley que modifica el fondo de garantía para pequeños y medianos empresarios y permite flexibilizar convenios de pago por impuestos adeudados, para apoyar la reactivación de la economía”.</w:t>
      </w:r>
    </w:p>
    <w:p w:rsidR="00827DE9" w:rsidRPr="00827DE9" w:rsidRDefault="00827DE9" w:rsidP="00827DE9">
      <w:pPr>
        <w:tabs>
          <w:tab w:val="left" w:pos="0"/>
        </w:tabs>
        <w:spacing w:line="276" w:lineRule="auto"/>
        <w:ind w:right="-518" w:firstLine="1701"/>
        <w:jc w:val="both"/>
        <w:rPr>
          <w:rFonts w:ascii="Arial" w:hAnsi="Arial" w:cs="Arial"/>
          <w:sz w:val="22"/>
          <w:szCs w:val="22"/>
        </w:rPr>
      </w:pPr>
    </w:p>
    <w:p w:rsidR="00827DE9" w:rsidRPr="00827DE9" w:rsidRDefault="00827DE9" w:rsidP="00827DE9">
      <w:pPr>
        <w:tabs>
          <w:tab w:val="left" w:pos="0"/>
        </w:tabs>
        <w:spacing w:line="276" w:lineRule="auto"/>
        <w:ind w:right="-518" w:firstLine="1701"/>
        <w:jc w:val="both"/>
        <w:rPr>
          <w:rFonts w:ascii="Arial" w:hAnsi="Arial" w:cs="Arial"/>
          <w:b/>
          <w:bCs/>
          <w:sz w:val="22"/>
          <w:szCs w:val="22"/>
        </w:rPr>
      </w:pPr>
      <w:r w:rsidRPr="00827DE9">
        <w:rPr>
          <w:rFonts w:ascii="Arial" w:hAnsi="Arial" w:cs="Arial"/>
          <w:b/>
          <w:bCs/>
          <w:sz w:val="22"/>
          <w:szCs w:val="22"/>
        </w:rPr>
        <w:t>Puesto en votación, el artículo tercero fue aprobado</w:t>
      </w:r>
      <w:r w:rsidR="00845CB2">
        <w:rPr>
          <w:rFonts w:ascii="Arial" w:hAnsi="Arial" w:cs="Arial"/>
          <w:b/>
          <w:bCs/>
          <w:sz w:val="22"/>
          <w:szCs w:val="22"/>
        </w:rPr>
        <w:t>, sin debate,</w:t>
      </w:r>
      <w:r w:rsidRPr="00827DE9">
        <w:rPr>
          <w:rFonts w:ascii="Arial" w:hAnsi="Arial" w:cs="Arial"/>
          <w:b/>
          <w:bCs/>
          <w:sz w:val="22"/>
          <w:szCs w:val="22"/>
        </w:rPr>
        <w:t xml:space="preserve"> por la unanimidad de los trece diputados(a) presentes, señores Barrera, Bernales (en reemplazo del diputado Mirosevic), Bianchi, Brito, Cifuentes, Mellado, Naranjo, Ramírez, Romero, Sauerbaum, Sepúlveda, Von Mühlenbrock y Yeomans.</w:t>
      </w:r>
    </w:p>
    <w:p w:rsidR="00827DE9" w:rsidRPr="00827DE9" w:rsidRDefault="00827DE9" w:rsidP="00827DE9">
      <w:pPr>
        <w:tabs>
          <w:tab w:val="left" w:pos="0"/>
        </w:tabs>
        <w:spacing w:line="276" w:lineRule="auto"/>
        <w:ind w:right="-518" w:firstLine="1701"/>
        <w:jc w:val="both"/>
        <w:rPr>
          <w:rFonts w:ascii="Arial" w:hAnsi="Arial" w:cs="Arial"/>
          <w:sz w:val="22"/>
          <w:szCs w:val="22"/>
        </w:rPr>
      </w:pPr>
    </w:p>
    <w:p w:rsidR="00827DE9" w:rsidRPr="00827DE9" w:rsidRDefault="00845CB2" w:rsidP="00827DE9">
      <w:pPr>
        <w:tabs>
          <w:tab w:val="left" w:pos="0"/>
        </w:tabs>
        <w:spacing w:line="276" w:lineRule="auto"/>
        <w:ind w:right="-518" w:firstLine="1701"/>
        <w:jc w:val="both"/>
        <w:rPr>
          <w:rFonts w:ascii="Arial" w:hAnsi="Arial" w:cs="Arial"/>
          <w:sz w:val="22"/>
          <w:szCs w:val="22"/>
        </w:rPr>
      </w:pPr>
      <w:r>
        <w:rPr>
          <w:rFonts w:ascii="Arial" w:hAnsi="Arial" w:cs="Arial"/>
          <w:b/>
          <w:sz w:val="22"/>
          <w:szCs w:val="22"/>
        </w:rPr>
        <w:t>“</w:t>
      </w:r>
      <w:r w:rsidR="00827DE9" w:rsidRPr="00845CB2">
        <w:rPr>
          <w:rFonts w:ascii="Arial" w:hAnsi="Arial" w:cs="Arial"/>
          <w:b/>
          <w:sz w:val="22"/>
          <w:szCs w:val="22"/>
        </w:rPr>
        <w:t>Artículo cuarto.-</w:t>
      </w:r>
      <w:r w:rsidR="00827DE9" w:rsidRPr="00827DE9">
        <w:rPr>
          <w:rFonts w:ascii="Arial" w:hAnsi="Arial" w:cs="Arial"/>
          <w:sz w:val="22"/>
          <w:szCs w:val="22"/>
        </w:rPr>
        <w:t xml:space="preserve"> Los financiamientos garantizados por el Fondo de Garantía para Pequeños y Medianos Empresarios, bajo el FOGAPE Chile Apoya creado por esta ley, estarán exentos del Impuesto de Timbres y Estampillas establecido en el decreto ley Nº 3.475, de 1980.</w:t>
      </w:r>
    </w:p>
    <w:p w:rsidR="00827DE9" w:rsidRPr="00827DE9" w:rsidRDefault="00827DE9" w:rsidP="00827DE9">
      <w:pPr>
        <w:tabs>
          <w:tab w:val="left" w:pos="0"/>
        </w:tabs>
        <w:spacing w:line="276" w:lineRule="auto"/>
        <w:ind w:right="-518" w:firstLine="1701"/>
        <w:jc w:val="both"/>
        <w:rPr>
          <w:rFonts w:ascii="Arial" w:hAnsi="Arial" w:cs="Arial"/>
          <w:sz w:val="22"/>
          <w:szCs w:val="22"/>
        </w:rPr>
      </w:pPr>
    </w:p>
    <w:p w:rsidR="00827DE9" w:rsidRPr="00827DE9" w:rsidRDefault="00827DE9" w:rsidP="00827DE9">
      <w:pPr>
        <w:tabs>
          <w:tab w:val="left" w:pos="0"/>
        </w:tabs>
        <w:spacing w:line="276" w:lineRule="auto"/>
        <w:ind w:right="-518" w:firstLine="1701"/>
        <w:jc w:val="both"/>
        <w:rPr>
          <w:rFonts w:ascii="Arial" w:hAnsi="Arial" w:cs="Arial"/>
          <w:sz w:val="22"/>
          <w:szCs w:val="22"/>
        </w:rPr>
      </w:pPr>
      <w:r w:rsidRPr="00827DE9">
        <w:rPr>
          <w:rFonts w:ascii="Arial" w:hAnsi="Arial" w:cs="Arial"/>
          <w:sz w:val="22"/>
          <w:szCs w:val="22"/>
        </w:rPr>
        <w:t>Asimismo, estarán exentos del Impuesto de Timbres y Estampillas en los términos indicados en el artículo 24, N° 17, del decreto ley Nº 3.475 , de 1980, los refinanciamientos garantizados en conformidad al decreto ley N° 3.472, de 1980, otorgados durante la vigencia del FOGAPE Chile Apoya creado en virtud de esta ley. Para estos efectos, no será aplicable la limitación dispuesta en el artículo 24, N° 17, párrafo segundo, del decreto ley Nº 3.475, de 1980</w:t>
      </w:r>
      <w:r w:rsidR="00845CB2">
        <w:rPr>
          <w:rFonts w:ascii="Arial" w:hAnsi="Arial" w:cs="Arial"/>
          <w:sz w:val="22"/>
          <w:szCs w:val="22"/>
        </w:rPr>
        <w:t>”</w:t>
      </w:r>
      <w:r w:rsidRPr="00827DE9">
        <w:rPr>
          <w:rFonts w:ascii="Arial" w:hAnsi="Arial" w:cs="Arial"/>
          <w:sz w:val="22"/>
          <w:szCs w:val="22"/>
        </w:rPr>
        <w:t>.</w:t>
      </w:r>
    </w:p>
    <w:p w:rsidR="00827DE9" w:rsidRPr="00827DE9" w:rsidRDefault="00827DE9" w:rsidP="00827DE9">
      <w:pPr>
        <w:tabs>
          <w:tab w:val="left" w:pos="0"/>
        </w:tabs>
        <w:spacing w:line="276" w:lineRule="auto"/>
        <w:ind w:right="-518" w:firstLine="1701"/>
        <w:jc w:val="both"/>
        <w:rPr>
          <w:rFonts w:ascii="Arial" w:hAnsi="Arial" w:cs="Arial"/>
          <w:sz w:val="22"/>
          <w:szCs w:val="22"/>
        </w:rPr>
      </w:pPr>
    </w:p>
    <w:p w:rsidR="00827DE9" w:rsidRPr="00827DE9" w:rsidRDefault="00827DE9" w:rsidP="00827DE9">
      <w:pPr>
        <w:tabs>
          <w:tab w:val="left" w:pos="0"/>
        </w:tabs>
        <w:spacing w:line="276" w:lineRule="auto"/>
        <w:ind w:right="-518" w:firstLine="1701"/>
        <w:jc w:val="both"/>
        <w:rPr>
          <w:rFonts w:ascii="Arial" w:hAnsi="Arial" w:cs="Arial"/>
          <w:b/>
          <w:bCs/>
          <w:sz w:val="22"/>
          <w:szCs w:val="22"/>
        </w:rPr>
      </w:pPr>
      <w:r w:rsidRPr="00827DE9">
        <w:rPr>
          <w:rFonts w:ascii="Arial" w:hAnsi="Arial" w:cs="Arial"/>
          <w:b/>
          <w:bCs/>
          <w:sz w:val="22"/>
          <w:szCs w:val="22"/>
        </w:rPr>
        <w:t>Puesto en votación, el artículo cuarto fue aprobado</w:t>
      </w:r>
      <w:r w:rsidR="00845CB2">
        <w:rPr>
          <w:rFonts w:ascii="Arial" w:hAnsi="Arial" w:cs="Arial"/>
          <w:b/>
          <w:bCs/>
          <w:sz w:val="22"/>
          <w:szCs w:val="22"/>
        </w:rPr>
        <w:t>, sin debate,</w:t>
      </w:r>
      <w:r w:rsidRPr="00827DE9">
        <w:rPr>
          <w:rFonts w:ascii="Arial" w:hAnsi="Arial" w:cs="Arial"/>
          <w:b/>
          <w:bCs/>
          <w:sz w:val="22"/>
          <w:szCs w:val="22"/>
        </w:rPr>
        <w:t xml:space="preserve"> por la unanimidad de los trece diputados(a) presentes, señores Barrera, Bernales (en reemplazo del diputado Mirosevic), Bianchi, Brito, Cifuentes, Mellado, Naranjo, Ramírez, Romero, Sauerbaum, Sepúlveda, Von Mühlenbrock y Yeomans.</w:t>
      </w:r>
    </w:p>
    <w:p w:rsidR="00827DE9" w:rsidRPr="00827DE9" w:rsidRDefault="00827DE9" w:rsidP="00827DE9">
      <w:pPr>
        <w:tabs>
          <w:tab w:val="left" w:pos="0"/>
        </w:tabs>
        <w:spacing w:line="276" w:lineRule="auto"/>
        <w:ind w:right="-518" w:firstLine="1701"/>
        <w:jc w:val="both"/>
        <w:rPr>
          <w:rFonts w:ascii="Arial" w:hAnsi="Arial" w:cs="Arial"/>
          <w:sz w:val="22"/>
          <w:szCs w:val="22"/>
        </w:rPr>
      </w:pPr>
    </w:p>
    <w:p w:rsidR="00827DE9" w:rsidRPr="00827DE9" w:rsidRDefault="00845CB2" w:rsidP="00827DE9">
      <w:pPr>
        <w:tabs>
          <w:tab w:val="left" w:pos="0"/>
        </w:tabs>
        <w:spacing w:line="276" w:lineRule="auto"/>
        <w:ind w:right="-518" w:firstLine="1701"/>
        <w:jc w:val="both"/>
        <w:rPr>
          <w:rFonts w:ascii="Arial" w:hAnsi="Arial" w:cs="Arial"/>
          <w:sz w:val="22"/>
          <w:szCs w:val="22"/>
        </w:rPr>
      </w:pPr>
      <w:r>
        <w:rPr>
          <w:rFonts w:ascii="Arial" w:hAnsi="Arial" w:cs="Arial"/>
          <w:b/>
          <w:sz w:val="22"/>
          <w:szCs w:val="22"/>
        </w:rPr>
        <w:t>“</w:t>
      </w:r>
      <w:r w:rsidR="00827DE9" w:rsidRPr="00845CB2">
        <w:rPr>
          <w:rFonts w:ascii="Arial" w:hAnsi="Arial" w:cs="Arial"/>
          <w:b/>
          <w:sz w:val="22"/>
          <w:szCs w:val="22"/>
        </w:rPr>
        <w:t>Artículo quinto</w:t>
      </w:r>
      <w:r w:rsidR="00827DE9" w:rsidRPr="00827DE9">
        <w:rPr>
          <w:rFonts w:ascii="Arial" w:hAnsi="Arial" w:cs="Arial"/>
          <w:sz w:val="22"/>
          <w:szCs w:val="22"/>
        </w:rPr>
        <w:t>.- Sin perjuicio de las restricciones a los plazos de los financiamientos y garantías establecidos en el artículo 14  del decreto exento N° 130, de 2020, del Ministerio de Hacienda, en el artículo 2  de la ley N° 21.307, y en el artículo 15  del decreto exento N° 32, de 2021, del Ministerio de Hacienda, se podrá ampliar el plazo, solamente de los financiamientos vigentes que hayan sido otorgados por instituciones financieras y garantizados por el Fondo de Garantía para Pequeños y Medianos Empresarios en virtud de las mencionadas normas, y el de sus respectivas garantías otorgadas por este último, hasta en un plazo de diez años contado desde su otorgamiento inicial.</w:t>
      </w:r>
    </w:p>
    <w:p w:rsidR="00827DE9" w:rsidRPr="00827DE9" w:rsidRDefault="00827DE9" w:rsidP="00827DE9">
      <w:pPr>
        <w:tabs>
          <w:tab w:val="left" w:pos="0"/>
        </w:tabs>
        <w:spacing w:line="276" w:lineRule="auto"/>
        <w:ind w:right="-518" w:firstLine="1701"/>
        <w:jc w:val="both"/>
        <w:rPr>
          <w:rFonts w:ascii="Arial" w:hAnsi="Arial" w:cs="Arial"/>
          <w:sz w:val="22"/>
          <w:szCs w:val="22"/>
        </w:rPr>
      </w:pPr>
    </w:p>
    <w:p w:rsidR="00827DE9" w:rsidRPr="00827DE9" w:rsidRDefault="00827DE9" w:rsidP="00827DE9">
      <w:pPr>
        <w:tabs>
          <w:tab w:val="left" w:pos="0"/>
        </w:tabs>
        <w:spacing w:line="276" w:lineRule="auto"/>
        <w:ind w:right="-518" w:firstLine="1701"/>
        <w:jc w:val="both"/>
        <w:rPr>
          <w:rFonts w:ascii="Arial" w:hAnsi="Arial" w:cs="Arial"/>
          <w:sz w:val="22"/>
          <w:szCs w:val="22"/>
        </w:rPr>
      </w:pPr>
      <w:r w:rsidRPr="00827DE9">
        <w:rPr>
          <w:rFonts w:ascii="Arial" w:hAnsi="Arial" w:cs="Arial"/>
          <w:sz w:val="22"/>
          <w:szCs w:val="22"/>
        </w:rPr>
        <w:t>Los mencionados aumentos de plazos, y la correspondiente modificación del calendario de pagos, deberán ser voluntariamente acordados entre el deudor y la institución financiera acreedora.</w:t>
      </w:r>
    </w:p>
    <w:p w:rsidR="00827DE9" w:rsidRPr="00827DE9" w:rsidRDefault="00827DE9" w:rsidP="00827DE9">
      <w:pPr>
        <w:tabs>
          <w:tab w:val="left" w:pos="0"/>
        </w:tabs>
        <w:spacing w:line="276" w:lineRule="auto"/>
        <w:ind w:right="-518" w:firstLine="1701"/>
        <w:jc w:val="both"/>
        <w:rPr>
          <w:rFonts w:ascii="Arial" w:hAnsi="Arial" w:cs="Arial"/>
          <w:sz w:val="22"/>
          <w:szCs w:val="22"/>
        </w:rPr>
      </w:pPr>
    </w:p>
    <w:p w:rsidR="00827DE9" w:rsidRPr="00827DE9" w:rsidRDefault="00827DE9" w:rsidP="00827DE9">
      <w:pPr>
        <w:tabs>
          <w:tab w:val="left" w:pos="0"/>
        </w:tabs>
        <w:spacing w:line="276" w:lineRule="auto"/>
        <w:ind w:right="-518" w:firstLine="1701"/>
        <w:jc w:val="both"/>
        <w:rPr>
          <w:rFonts w:ascii="Arial" w:hAnsi="Arial" w:cs="Arial"/>
          <w:sz w:val="22"/>
          <w:szCs w:val="22"/>
        </w:rPr>
      </w:pPr>
      <w:r w:rsidRPr="00827DE9">
        <w:rPr>
          <w:rFonts w:ascii="Arial" w:hAnsi="Arial" w:cs="Arial"/>
          <w:sz w:val="22"/>
          <w:szCs w:val="22"/>
        </w:rPr>
        <w:t>El presente artículo se aplicará con efecto retroactivo a contar del 25 de abril de 2020.</w:t>
      </w:r>
    </w:p>
    <w:p w:rsidR="00827DE9" w:rsidRPr="00827DE9" w:rsidRDefault="00827DE9" w:rsidP="00827DE9">
      <w:pPr>
        <w:tabs>
          <w:tab w:val="left" w:pos="0"/>
        </w:tabs>
        <w:spacing w:line="276" w:lineRule="auto"/>
        <w:ind w:right="-518" w:firstLine="1701"/>
        <w:jc w:val="both"/>
        <w:rPr>
          <w:rFonts w:ascii="Arial" w:hAnsi="Arial" w:cs="Arial"/>
          <w:sz w:val="22"/>
          <w:szCs w:val="22"/>
        </w:rPr>
      </w:pPr>
    </w:p>
    <w:p w:rsidR="00827DE9" w:rsidRPr="00827DE9" w:rsidRDefault="00827DE9" w:rsidP="00827DE9">
      <w:pPr>
        <w:tabs>
          <w:tab w:val="left" w:pos="0"/>
        </w:tabs>
        <w:spacing w:line="276" w:lineRule="auto"/>
        <w:ind w:right="-518" w:firstLine="1701"/>
        <w:jc w:val="both"/>
        <w:rPr>
          <w:rFonts w:ascii="Arial" w:hAnsi="Arial" w:cs="Arial"/>
          <w:b/>
          <w:bCs/>
          <w:sz w:val="22"/>
          <w:szCs w:val="22"/>
        </w:rPr>
      </w:pPr>
      <w:r w:rsidRPr="00827DE9">
        <w:rPr>
          <w:rFonts w:ascii="Arial" w:hAnsi="Arial" w:cs="Arial"/>
          <w:b/>
          <w:bCs/>
          <w:sz w:val="22"/>
          <w:szCs w:val="22"/>
        </w:rPr>
        <w:t>Indicación del Ejecutivo</w:t>
      </w:r>
    </w:p>
    <w:p w:rsidR="00827DE9" w:rsidRPr="00845CB2" w:rsidRDefault="00845CB2" w:rsidP="00827DE9">
      <w:pPr>
        <w:tabs>
          <w:tab w:val="left" w:pos="0"/>
        </w:tabs>
        <w:spacing w:line="276" w:lineRule="auto"/>
        <w:ind w:right="-518" w:firstLine="1701"/>
        <w:jc w:val="both"/>
        <w:rPr>
          <w:rFonts w:ascii="Arial" w:hAnsi="Arial" w:cs="Arial"/>
          <w:b/>
          <w:sz w:val="22"/>
          <w:szCs w:val="22"/>
        </w:rPr>
      </w:pPr>
      <w:r w:rsidRPr="00845CB2">
        <w:rPr>
          <w:rFonts w:ascii="Arial" w:hAnsi="Arial" w:cs="Arial"/>
          <w:b/>
          <w:sz w:val="22"/>
          <w:szCs w:val="22"/>
        </w:rPr>
        <w:t>Al artículo quinto</w:t>
      </w:r>
    </w:p>
    <w:p w:rsidR="00827DE9" w:rsidRPr="00827DE9" w:rsidRDefault="00827DE9" w:rsidP="00827DE9">
      <w:pPr>
        <w:tabs>
          <w:tab w:val="left" w:pos="0"/>
        </w:tabs>
        <w:spacing w:line="276" w:lineRule="auto"/>
        <w:ind w:right="-518" w:firstLine="1701"/>
        <w:jc w:val="both"/>
        <w:rPr>
          <w:rFonts w:ascii="Arial" w:hAnsi="Arial" w:cs="Arial"/>
          <w:sz w:val="22"/>
          <w:szCs w:val="22"/>
        </w:rPr>
      </w:pPr>
    </w:p>
    <w:p w:rsidR="00827DE9" w:rsidRDefault="00845CB2" w:rsidP="00827DE9">
      <w:pPr>
        <w:tabs>
          <w:tab w:val="left" w:pos="0"/>
        </w:tabs>
        <w:spacing w:line="276" w:lineRule="auto"/>
        <w:ind w:right="-518" w:firstLine="1701"/>
        <w:jc w:val="both"/>
        <w:rPr>
          <w:rFonts w:ascii="Arial" w:hAnsi="Arial" w:cs="Arial"/>
          <w:sz w:val="22"/>
          <w:szCs w:val="22"/>
        </w:rPr>
      </w:pPr>
      <w:r>
        <w:rPr>
          <w:rFonts w:ascii="Arial" w:hAnsi="Arial" w:cs="Arial"/>
          <w:sz w:val="22"/>
          <w:szCs w:val="22"/>
        </w:rPr>
        <w:t>“</w:t>
      </w:r>
      <w:r w:rsidR="00827DE9" w:rsidRPr="00827DE9">
        <w:rPr>
          <w:rFonts w:ascii="Arial" w:hAnsi="Arial" w:cs="Arial"/>
          <w:sz w:val="22"/>
          <w:szCs w:val="22"/>
        </w:rPr>
        <w:t>Para reemplazar en su inciso primero la palabra “diez” por “doce”.</w:t>
      </w:r>
    </w:p>
    <w:p w:rsidR="00845CB2" w:rsidRDefault="00845CB2" w:rsidP="00845CB2">
      <w:pPr>
        <w:tabs>
          <w:tab w:val="left" w:pos="0"/>
        </w:tabs>
        <w:spacing w:line="276" w:lineRule="auto"/>
        <w:ind w:right="-518" w:firstLine="1701"/>
        <w:jc w:val="both"/>
        <w:rPr>
          <w:rFonts w:ascii="Arial" w:hAnsi="Arial" w:cs="Arial"/>
          <w:b/>
          <w:bCs/>
          <w:sz w:val="22"/>
          <w:szCs w:val="22"/>
        </w:rPr>
      </w:pPr>
    </w:p>
    <w:p w:rsidR="00845CB2" w:rsidRPr="00827DE9" w:rsidRDefault="00845CB2" w:rsidP="00845CB2">
      <w:pPr>
        <w:tabs>
          <w:tab w:val="left" w:pos="0"/>
        </w:tabs>
        <w:spacing w:line="276" w:lineRule="auto"/>
        <w:ind w:right="-518" w:firstLine="1701"/>
        <w:jc w:val="both"/>
        <w:rPr>
          <w:rFonts w:ascii="Arial" w:hAnsi="Arial" w:cs="Arial"/>
          <w:b/>
          <w:bCs/>
          <w:sz w:val="22"/>
          <w:szCs w:val="22"/>
        </w:rPr>
      </w:pPr>
      <w:r w:rsidRPr="00827DE9">
        <w:rPr>
          <w:rFonts w:ascii="Arial" w:hAnsi="Arial" w:cs="Arial"/>
          <w:b/>
          <w:bCs/>
          <w:sz w:val="22"/>
          <w:szCs w:val="22"/>
        </w:rPr>
        <w:t xml:space="preserve">Puesto en votación, el artículo </w:t>
      </w:r>
      <w:r>
        <w:rPr>
          <w:rFonts w:ascii="Arial" w:hAnsi="Arial" w:cs="Arial"/>
          <w:b/>
          <w:bCs/>
          <w:sz w:val="22"/>
          <w:szCs w:val="22"/>
        </w:rPr>
        <w:t>quinto</w:t>
      </w:r>
      <w:r w:rsidRPr="00827DE9">
        <w:rPr>
          <w:rFonts w:ascii="Arial" w:hAnsi="Arial" w:cs="Arial"/>
          <w:b/>
          <w:bCs/>
          <w:sz w:val="22"/>
          <w:szCs w:val="22"/>
        </w:rPr>
        <w:t xml:space="preserve"> fue aprobado</w:t>
      </w:r>
      <w:r>
        <w:rPr>
          <w:rFonts w:ascii="Arial" w:hAnsi="Arial" w:cs="Arial"/>
          <w:b/>
          <w:bCs/>
          <w:sz w:val="22"/>
          <w:szCs w:val="22"/>
        </w:rPr>
        <w:t>, sin debate,</w:t>
      </w:r>
      <w:r w:rsidRPr="00827DE9">
        <w:rPr>
          <w:rFonts w:ascii="Arial" w:hAnsi="Arial" w:cs="Arial"/>
          <w:b/>
          <w:bCs/>
          <w:sz w:val="22"/>
          <w:szCs w:val="22"/>
        </w:rPr>
        <w:t xml:space="preserve"> por la unanimidad de los trece diputados(a) presentes, señores Barrera, Bernales (en reemplazo del diputado Mirosevic), Bianchi, Brito, Cifuentes, Mellado, Naranjo, Ramírez, Romero, Sauerbaum, Sepúlveda, Von Mühlenbrock y Yeomans.</w:t>
      </w:r>
    </w:p>
    <w:p w:rsidR="00845CB2" w:rsidRPr="00827DE9" w:rsidRDefault="00845CB2" w:rsidP="00827DE9">
      <w:pPr>
        <w:tabs>
          <w:tab w:val="left" w:pos="0"/>
        </w:tabs>
        <w:spacing w:line="276" w:lineRule="auto"/>
        <w:ind w:right="-518" w:firstLine="1701"/>
        <w:jc w:val="both"/>
        <w:rPr>
          <w:rFonts w:ascii="Arial" w:hAnsi="Arial" w:cs="Arial"/>
          <w:sz w:val="22"/>
          <w:szCs w:val="22"/>
        </w:rPr>
      </w:pPr>
    </w:p>
    <w:p w:rsidR="00827DE9" w:rsidRPr="00827DE9" w:rsidRDefault="00827DE9" w:rsidP="00827DE9">
      <w:pPr>
        <w:tabs>
          <w:tab w:val="left" w:pos="0"/>
        </w:tabs>
        <w:spacing w:line="276" w:lineRule="auto"/>
        <w:ind w:right="-518" w:firstLine="1701"/>
        <w:jc w:val="both"/>
        <w:rPr>
          <w:rFonts w:ascii="Arial" w:hAnsi="Arial" w:cs="Arial"/>
          <w:sz w:val="22"/>
          <w:szCs w:val="22"/>
        </w:rPr>
      </w:pPr>
    </w:p>
    <w:p w:rsidR="00827DE9" w:rsidRPr="00827DE9" w:rsidRDefault="00845CB2" w:rsidP="00827DE9">
      <w:pPr>
        <w:tabs>
          <w:tab w:val="left" w:pos="0"/>
        </w:tabs>
        <w:spacing w:line="276" w:lineRule="auto"/>
        <w:ind w:right="-518" w:firstLine="1701"/>
        <w:jc w:val="both"/>
        <w:rPr>
          <w:rFonts w:ascii="Arial" w:hAnsi="Arial" w:cs="Arial"/>
          <w:sz w:val="22"/>
          <w:szCs w:val="22"/>
        </w:rPr>
      </w:pPr>
      <w:r>
        <w:rPr>
          <w:rFonts w:ascii="Arial" w:hAnsi="Arial" w:cs="Arial"/>
          <w:b/>
          <w:sz w:val="22"/>
          <w:szCs w:val="22"/>
        </w:rPr>
        <w:t>“</w:t>
      </w:r>
      <w:r w:rsidR="00827DE9" w:rsidRPr="00845CB2">
        <w:rPr>
          <w:rFonts w:ascii="Arial" w:hAnsi="Arial" w:cs="Arial"/>
          <w:b/>
          <w:sz w:val="22"/>
          <w:szCs w:val="22"/>
        </w:rPr>
        <w:t>Artículo sexto</w:t>
      </w:r>
      <w:r w:rsidR="00827DE9" w:rsidRPr="00827DE9">
        <w:rPr>
          <w:rFonts w:ascii="Arial" w:hAnsi="Arial" w:cs="Arial"/>
          <w:sz w:val="22"/>
          <w:szCs w:val="22"/>
        </w:rPr>
        <w:t>.- Desde la fecha de publicación de esta ley en el Diario Oficial y hasta el 31 de diciembre de 2022, excepcionalmente el Servicio de Tesorerías deberá otorgar facilidades de hasta cuarenta y ocho meses, para el pago en cuotas periódicas, mensuales y sucesivas, de los impuestos adeudados, vencidos hasta el 31 de mayo de 2022, conforme a lo establecido en el artículo 192  del Código Tributario. A la fecha de suscripción del respectivo convenio, el Servicio de Tesorerías condonará la totalidad de los intereses y sanciones por la mora en el pago de los impuestos respectivos, beneficio al que también podrán acceder aquellos contribuyentes que paguen al contado. Asimismo, dichos convenios no generarán intereses y multas mientras el deudor se encuentre cumpliendo y mantenga vigente su convenio de pago.</w:t>
      </w:r>
    </w:p>
    <w:p w:rsidR="00827DE9" w:rsidRPr="00827DE9" w:rsidRDefault="00827DE9" w:rsidP="00827DE9">
      <w:pPr>
        <w:tabs>
          <w:tab w:val="left" w:pos="0"/>
        </w:tabs>
        <w:spacing w:line="276" w:lineRule="auto"/>
        <w:ind w:right="-518" w:firstLine="1701"/>
        <w:jc w:val="both"/>
        <w:rPr>
          <w:rFonts w:ascii="Arial" w:hAnsi="Arial" w:cs="Arial"/>
          <w:sz w:val="22"/>
          <w:szCs w:val="22"/>
        </w:rPr>
      </w:pPr>
    </w:p>
    <w:p w:rsidR="00827DE9" w:rsidRPr="00827DE9" w:rsidRDefault="00827DE9" w:rsidP="00827DE9">
      <w:pPr>
        <w:tabs>
          <w:tab w:val="left" w:pos="0"/>
        </w:tabs>
        <w:spacing w:line="276" w:lineRule="auto"/>
        <w:ind w:right="-518" w:firstLine="1701"/>
        <w:jc w:val="both"/>
        <w:rPr>
          <w:rFonts w:ascii="Arial" w:hAnsi="Arial" w:cs="Arial"/>
          <w:sz w:val="22"/>
          <w:szCs w:val="22"/>
        </w:rPr>
      </w:pPr>
      <w:r w:rsidRPr="00827DE9">
        <w:rPr>
          <w:rFonts w:ascii="Arial" w:hAnsi="Arial" w:cs="Arial"/>
          <w:sz w:val="22"/>
          <w:szCs w:val="22"/>
        </w:rPr>
        <w:t xml:space="preserve">En el caso de aquellos contribuyentes que suscriban un convenio que contemple al menos un impuesto vencido entre el 31 de octubre de 2019 y el 31 de mayo de 2022, no se exigirá pago mínimo inicial.  </w:t>
      </w:r>
    </w:p>
    <w:p w:rsidR="00827DE9" w:rsidRPr="00827DE9" w:rsidRDefault="00827DE9" w:rsidP="00827DE9">
      <w:pPr>
        <w:tabs>
          <w:tab w:val="left" w:pos="0"/>
        </w:tabs>
        <w:spacing w:line="276" w:lineRule="auto"/>
        <w:ind w:right="-518" w:firstLine="1701"/>
        <w:jc w:val="both"/>
        <w:rPr>
          <w:rFonts w:ascii="Arial" w:hAnsi="Arial" w:cs="Arial"/>
          <w:sz w:val="22"/>
          <w:szCs w:val="22"/>
        </w:rPr>
      </w:pPr>
    </w:p>
    <w:p w:rsidR="00827DE9" w:rsidRPr="00827DE9" w:rsidRDefault="00827DE9" w:rsidP="00827DE9">
      <w:pPr>
        <w:tabs>
          <w:tab w:val="left" w:pos="0"/>
        </w:tabs>
        <w:spacing w:line="276" w:lineRule="auto"/>
        <w:ind w:right="-518" w:firstLine="1701"/>
        <w:jc w:val="both"/>
        <w:rPr>
          <w:rFonts w:ascii="Arial" w:hAnsi="Arial" w:cs="Arial"/>
          <w:sz w:val="22"/>
          <w:szCs w:val="22"/>
        </w:rPr>
      </w:pPr>
      <w:r w:rsidRPr="00827DE9">
        <w:rPr>
          <w:rFonts w:ascii="Arial" w:hAnsi="Arial" w:cs="Arial"/>
          <w:sz w:val="22"/>
          <w:szCs w:val="22"/>
        </w:rPr>
        <w:t>Los convenios excepcionales indicados en el inciso primero sólo procederán respecto de contribuyentes que cumplan, al momento de solicitar el convenio, con los requisitos para acogerse al Régimen para las micro, pequeñas y medianas empresas que contempla la letra D) del artículo 14 de la Ley sobre Impuesto a la Renta, contenida en el artículo 1° del decreto ley N° 824, de 1974. El listado de contribuyentes que cumplan con los requisitos indicados anteriormente deberá ser informado por el Servicio de Impuestos Internos al Servicio de Tesorerías.</w:t>
      </w:r>
    </w:p>
    <w:p w:rsidR="00827DE9" w:rsidRPr="00827DE9" w:rsidRDefault="00827DE9" w:rsidP="00827DE9">
      <w:pPr>
        <w:tabs>
          <w:tab w:val="left" w:pos="0"/>
        </w:tabs>
        <w:spacing w:line="276" w:lineRule="auto"/>
        <w:ind w:right="-518" w:firstLine="1701"/>
        <w:jc w:val="both"/>
        <w:rPr>
          <w:rFonts w:ascii="Arial" w:hAnsi="Arial" w:cs="Arial"/>
          <w:sz w:val="22"/>
          <w:szCs w:val="22"/>
        </w:rPr>
      </w:pPr>
    </w:p>
    <w:p w:rsidR="00827DE9" w:rsidRPr="00827DE9" w:rsidRDefault="00827DE9" w:rsidP="00827DE9">
      <w:pPr>
        <w:tabs>
          <w:tab w:val="left" w:pos="0"/>
        </w:tabs>
        <w:spacing w:line="276" w:lineRule="auto"/>
        <w:ind w:right="-518" w:firstLine="1701"/>
        <w:jc w:val="both"/>
        <w:rPr>
          <w:rFonts w:ascii="Arial" w:hAnsi="Arial" w:cs="Arial"/>
          <w:sz w:val="22"/>
          <w:szCs w:val="22"/>
        </w:rPr>
      </w:pPr>
      <w:r w:rsidRPr="00827DE9">
        <w:rPr>
          <w:rFonts w:ascii="Arial" w:hAnsi="Arial" w:cs="Arial"/>
          <w:sz w:val="22"/>
          <w:szCs w:val="22"/>
        </w:rPr>
        <w:t>El Servicio de Tesorerías regulará, mediante instrucciones internas, las reglas generales y uniformes para la aplicación de los beneficios establecidos en este artículo, y las situaciones excepcionales en que éstas no procederán por razones fundadas.”.”.</w:t>
      </w:r>
    </w:p>
    <w:p w:rsidR="00827DE9" w:rsidRPr="00827DE9" w:rsidRDefault="00827DE9" w:rsidP="00827DE9">
      <w:pPr>
        <w:tabs>
          <w:tab w:val="left" w:pos="0"/>
        </w:tabs>
        <w:spacing w:line="276" w:lineRule="auto"/>
        <w:ind w:right="-518" w:firstLine="1701"/>
        <w:jc w:val="both"/>
        <w:rPr>
          <w:rFonts w:ascii="Arial" w:hAnsi="Arial" w:cs="Arial"/>
          <w:b/>
          <w:bCs/>
          <w:sz w:val="22"/>
          <w:szCs w:val="22"/>
        </w:rPr>
      </w:pPr>
    </w:p>
    <w:p w:rsidR="00845CB2" w:rsidRDefault="00845CB2" w:rsidP="00827DE9">
      <w:pPr>
        <w:tabs>
          <w:tab w:val="left" w:pos="0"/>
        </w:tabs>
        <w:spacing w:line="276" w:lineRule="auto"/>
        <w:ind w:right="-518" w:firstLine="1701"/>
        <w:jc w:val="both"/>
        <w:rPr>
          <w:rFonts w:ascii="Arial" w:hAnsi="Arial" w:cs="Arial"/>
          <w:b/>
          <w:bCs/>
          <w:sz w:val="22"/>
          <w:szCs w:val="22"/>
        </w:rPr>
      </w:pPr>
      <w:r>
        <w:rPr>
          <w:rFonts w:ascii="Arial" w:hAnsi="Arial" w:cs="Arial"/>
          <w:b/>
          <w:bCs/>
          <w:sz w:val="22"/>
          <w:szCs w:val="22"/>
        </w:rPr>
        <w:t>Indicaciones presentadas</w:t>
      </w:r>
      <w:r w:rsidR="00B86289">
        <w:rPr>
          <w:rFonts w:ascii="Arial" w:hAnsi="Arial" w:cs="Arial"/>
          <w:b/>
          <w:bCs/>
          <w:sz w:val="22"/>
          <w:szCs w:val="22"/>
        </w:rPr>
        <w:t>:</w:t>
      </w:r>
    </w:p>
    <w:p w:rsidR="00845CB2" w:rsidRDefault="00845CB2" w:rsidP="00827DE9">
      <w:pPr>
        <w:tabs>
          <w:tab w:val="left" w:pos="0"/>
        </w:tabs>
        <w:spacing w:line="276" w:lineRule="auto"/>
        <w:ind w:right="-518" w:firstLine="1701"/>
        <w:jc w:val="both"/>
        <w:rPr>
          <w:rFonts w:ascii="Arial" w:hAnsi="Arial" w:cs="Arial"/>
          <w:sz w:val="22"/>
          <w:szCs w:val="22"/>
        </w:rPr>
      </w:pPr>
    </w:p>
    <w:p w:rsidR="00827DE9" w:rsidRPr="00B86289" w:rsidRDefault="00B86289" w:rsidP="00827DE9">
      <w:pPr>
        <w:tabs>
          <w:tab w:val="left" w:pos="0"/>
        </w:tabs>
        <w:spacing w:line="276" w:lineRule="auto"/>
        <w:ind w:right="-518" w:firstLine="1701"/>
        <w:jc w:val="both"/>
        <w:rPr>
          <w:rFonts w:ascii="Arial" w:hAnsi="Arial" w:cs="Arial"/>
          <w:b/>
          <w:sz w:val="22"/>
          <w:szCs w:val="22"/>
        </w:rPr>
      </w:pPr>
      <w:r w:rsidRPr="00B86289">
        <w:rPr>
          <w:rFonts w:ascii="Arial" w:hAnsi="Arial" w:cs="Arial"/>
          <w:b/>
          <w:sz w:val="22"/>
          <w:szCs w:val="22"/>
        </w:rPr>
        <w:t>Del Ejecutivo</w:t>
      </w:r>
    </w:p>
    <w:p w:rsidR="00B86289" w:rsidRDefault="00B86289" w:rsidP="00827DE9">
      <w:pPr>
        <w:tabs>
          <w:tab w:val="left" w:pos="0"/>
        </w:tabs>
        <w:spacing w:line="276" w:lineRule="auto"/>
        <w:ind w:right="-518" w:firstLine="1701"/>
        <w:jc w:val="both"/>
        <w:rPr>
          <w:rFonts w:ascii="Arial" w:hAnsi="Arial" w:cs="Arial"/>
          <w:sz w:val="22"/>
          <w:szCs w:val="22"/>
        </w:rPr>
      </w:pPr>
    </w:p>
    <w:p w:rsidR="00827DE9" w:rsidRPr="00827DE9" w:rsidRDefault="00B86289" w:rsidP="00827DE9">
      <w:pPr>
        <w:tabs>
          <w:tab w:val="left" w:pos="0"/>
        </w:tabs>
        <w:spacing w:line="276" w:lineRule="auto"/>
        <w:ind w:right="-518" w:firstLine="1701"/>
        <w:jc w:val="both"/>
        <w:rPr>
          <w:rFonts w:ascii="Arial" w:hAnsi="Arial" w:cs="Arial"/>
          <w:sz w:val="22"/>
          <w:szCs w:val="22"/>
        </w:rPr>
      </w:pPr>
      <w:r>
        <w:rPr>
          <w:rFonts w:ascii="Arial" w:hAnsi="Arial" w:cs="Arial"/>
          <w:sz w:val="22"/>
          <w:szCs w:val="22"/>
        </w:rPr>
        <w:t>1.-</w:t>
      </w:r>
      <w:r w:rsidR="00827DE9" w:rsidRPr="00827DE9">
        <w:rPr>
          <w:rFonts w:ascii="Arial" w:hAnsi="Arial" w:cs="Arial"/>
          <w:sz w:val="22"/>
          <w:szCs w:val="22"/>
        </w:rPr>
        <w:t>Para modificar su inciso primero en el siguiente modo:</w:t>
      </w:r>
    </w:p>
    <w:p w:rsidR="00827DE9" w:rsidRPr="00827DE9" w:rsidRDefault="00827DE9" w:rsidP="00827DE9">
      <w:pPr>
        <w:tabs>
          <w:tab w:val="left" w:pos="0"/>
        </w:tabs>
        <w:spacing w:line="276" w:lineRule="auto"/>
        <w:ind w:right="-518" w:firstLine="1701"/>
        <w:jc w:val="both"/>
        <w:rPr>
          <w:rFonts w:ascii="Arial" w:hAnsi="Arial" w:cs="Arial"/>
          <w:sz w:val="22"/>
          <w:szCs w:val="22"/>
        </w:rPr>
      </w:pPr>
    </w:p>
    <w:p w:rsidR="00827DE9" w:rsidRPr="00827DE9" w:rsidRDefault="00827DE9" w:rsidP="00827DE9">
      <w:pPr>
        <w:tabs>
          <w:tab w:val="left" w:pos="0"/>
        </w:tabs>
        <w:spacing w:line="276" w:lineRule="auto"/>
        <w:ind w:right="-518" w:firstLine="1701"/>
        <w:jc w:val="both"/>
        <w:rPr>
          <w:rFonts w:ascii="Arial" w:hAnsi="Arial" w:cs="Arial"/>
          <w:sz w:val="22"/>
          <w:szCs w:val="22"/>
        </w:rPr>
      </w:pPr>
      <w:r w:rsidRPr="00827DE9">
        <w:rPr>
          <w:rFonts w:ascii="Arial" w:hAnsi="Arial" w:cs="Arial"/>
          <w:sz w:val="22"/>
          <w:szCs w:val="22"/>
        </w:rPr>
        <w:t>a)</w:t>
      </w:r>
      <w:r w:rsidRPr="00827DE9">
        <w:rPr>
          <w:rFonts w:ascii="Arial" w:hAnsi="Arial" w:cs="Arial"/>
          <w:sz w:val="22"/>
          <w:szCs w:val="22"/>
        </w:rPr>
        <w:tab/>
        <w:t>Sustitúyese la frase “31 de diciembre de 2022” por “30 de abril de 2023”.</w:t>
      </w:r>
    </w:p>
    <w:p w:rsidR="00827DE9" w:rsidRPr="00827DE9" w:rsidRDefault="00827DE9" w:rsidP="00827DE9">
      <w:pPr>
        <w:tabs>
          <w:tab w:val="left" w:pos="0"/>
        </w:tabs>
        <w:spacing w:line="276" w:lineRule="auto"/>
        <w:ind w:right="-518" w:firstLine="1701"/>
        <w:jc w:val="both"/>
        <w:rPr>
          <w:rFonts w:ascii="Arial" w:hAnsi="Arial" w:cs="Arial"/>
          <w:sz w:val="22"/>
          <w:szCs w:val="22"/>
        </w:rPr>
      </w:pPr>
    </w:p>
    <w:p w:rsidR="00827DE9" w:rsidRPr="00827DE9" w:rsidRDefault="00827DE9" w:rsidP="00827DE9">
      <w:pPr>
        <w:tabs>
          <w:tab w:val="left" w:pos="0"/>
        </w:tabs>
        <w:spacing w:line="276" w:lineRule="auto"/>
        <w:ind w:right="-518" w:firstLine="1701"/>
        <w:jc w:val="both"/>
        <w:rPr>
          <w:rFonts w:ascii="Arial" w:hAnsi="Arial" w:cs="Arial"/>
          <w:sz w:val="22"/>
          <w:szCs w:val="22"/>
        </w:rPr>
      </w:pPr>
      <w:r w:rsidRPr="00827DE9">
        <w:rPr>
          <w:rFonts w:ascii="Arial" w:hAnsi="Arial" w:cs="Arial"/>
          <w:sz w:val="22"/>
          <w:szCs w:val="22"/>
        </w:rPr>
        <w:t>b)</w:t>
      </w:r>
      <w:r w:rsidRPr="00827DE9">
        <w:rPr>
          <w:rFonts w:ascii="Arial" w:hAnsi="Arial" w:cs="Arial"/>
          <w:sz w:val="22"/>
          <w:szCs w:val="22"/>
        </w:rPr>
        <w:tab/>
        <w:t xml:space="preserve">Reemplázase la frase “31 de mayo” por “30 de junio”. </w:t>
      </w:r>
    </w:p>
    <w:p w:rsidR="00827DE9" w:rsidRPr="00827DE9" w:rsidRDefault="00827DE9" w:rsidP="00827DE9">
      <w:pPr>
        <w:tabs>
          <w:tab w:val="left" w:pos="0"/>
        </w:tabs>
        <w:spacing w:line="276" w:lineRule="auto"/>
        <w:ind w:right="-518" w:firstLine="1701"/>
        <w:jc w:val="both"/>
        <w:rPr>
          <w:rFonts w:ascii="Arial" w:hAnsi="Arial" w:cs="Arial"/>
          <w:sz w:val="22"/>
          <w:szCs w:val="22"/>
        </w:rPr>
      </w:pPr>
    </w:p>
    <w:p w:rsidR="00827DE9" w:rsidRPr="00827DE9" w:rsidRDefault="00B86289" w:rsidP="00827DE9">
      <w:pPr>
        <w:tabs>
          <w:tab w:val="left" w:pos="0"/>
        </w:tabs>
        <w:spacing w:line="276" w:lineRule="auto"/>
        <w:ind w:right="-518" w:firstLine="1701"/>
        <w:jc w:val="both"/>
        <w:rPr>
          <w:rFonts w:ascii="Arial" w:hAnsi="Arial" w:cs="Arial"/>
          <w:sz w:val="22"/>
          <w:szCs w:val="22"/>
        </w:rPr>
      </w:pPr>
      <w:r>
        <w:rPr>
          <w:rFonts w:ascii="Arial" w:hAnsi="Arial" w:cs="Arial"/>
          <w:sz w:val="22"/>
          <w:szCs w:val="22"/>
        </w:rPr>
        <w:t>2.-</w:t>
      </w:r>
      <w:r w:rsidR="00827DE9" w:rsidRPr="00827DE9">
        <w:rPr>
          <w:rFonts w:ascii="Arial" w:hAnsi="Arial" w:cs="Arial"/>
          <w:sz w:val="22"/>
          <w:szCs w:val="22"/>
        </w:rPr>
        <w:tab/>
        <w:t>Para reemplazar en el inciso segundo, la frase “31 de mayo” por “30 de junio”.</w:t>
      </w:r>
    </w:p>
    <w:p w:rsidR="00827DE9" w:rsidRPr="00827DE9" w:rsidRDefault="00827DE9" w:rsidP="00827DE9">
      <w:pPr>
        <w:tabs>
          <w:tab w:val="left" w:pos="0"/>
        </w:tabs>
        <w:spacing w:line="276" w:lineRule="auto"/>
        <w:ind w:right="-518" w:firstLine="1701"/>
        <w:jc w:val="both"/>
        <w:rPr>
          <w:rFonts w:ascii="Arial" w:hAnsi="Arial" w:cs="Arial"/>
          <w:sz w:val="22"/>
          <w:szCs w:val="22"/>
        </w:rPr>
      </w:pPr>
    </w:p>
    <w:p w:rsidR="00B86289" w:rsidRDefault="00B86289" w:rsidP="00827DE9">
      <w:pPr>
        <w:tabs>
          <w:tab w:val="left" w:pos="0"/>
        </w:tabs>
        <w:spacing w:line="276" w:lineRule="auto"/>
        <w:ind w:right="-518" w:firstLine="1701"/>
        <w:jc w:val="both"/>
        <w:rPr>
          <w:rFonts w:ascii="Arial" w:hAnsi="Arial" w:cs="Arial"/>
          <w:bCs/>
          <w:sz w:val="22"/>
          <w:szCs w:val="22"/>
        </w:rPr>
      </w:pPr>
      <w:r w:rsidRPr="00B86289">
        <w:rPr>
          <w:rFonts w:ascii="Arial" w:hAnsi="Arial" w:cs="Arial"/>
          <w:bCs/>
          <w:sz w:val="22"/>
          <w:szCs w:val="22"/>
        </w:rPr>
        <w:t xml:space="preserve">Estas indicaciones, </w:t>
      </w:r>
      <w:r>
        <w:rPr>
          <w:rFonts w:ascii="Arial" w:hAnsi="Arial" w:cs="Arial"/>
          <w:bCs/>
          <w:sz w:val="22"/>
          <w:szCs w:val="22"/>
        </w:rPr>
        <w:t>asimismo, tienen su origen en iniciativa de los diputados y diputada integrantes de esta Comisión de Hacienda y que habiendo sido declaradas inadmisibles por ser de iniciativa exclusiva del Presidente de la República debido a su incidencia presupuestaria, toda vez, que por una parte, amplía el plazo en que la Tesorería General de la República debe otorgar facilidades de pago por impuestos adeudados, por otra parte, prorroga el margen a considerar en los impuestos adeudados</w:t>
      </w:r>
      <w:r w:rsidR="00C1286F">
        <w:rPr>
          <w:rFonts w:ascii="Arial" w:hAnsi="Arial" w:cs="Arial"/>
          <w:bCs/>
          <w:sz w:val="22"/>
          <w:szCs w:val="22"/>
        </w:rPr>
        <w:t>, fue patrocinada por el Ejecutivo presentando las indicaciones anteriormente señaladas.</w:t>
      </w:r>
    </w:p>
    <w:p w:rsidR="00B86289" w:rsidRPr="00B86289" w:rsidRDefault="00B86289" w:rsidP="00827DE9">
      <w:pPr>
        <w:tabs>
          <w:tab w:val="left" w:pos="0"/>
        </w:tabs>
        <w:spacing w:line="276" w:lineRule="auto"/>
        <w:ind w:right="-518" w:firstLine="1701"/>
        <w:jc w:val="both"/>
        <w:rPr>
          <w:rFonts w:ascii="Arial" w:hAnsi="Arial" w:cs="Arial"/>
          <w:bCs/>
          <w:sz w:val="22"/>
          <w:szCs w:val="22"/>
        </w:rPr>
      </w:pPr>
    </w:p>
    <w:p w:rsidR="00827DE9" w:rsidRPr="00827DE9" w:rsidRDefault="00827DE9" w:rsidP="00827DE9">
      <w:pPr>
        <w:tabs>
          <w:tab w:val="left" w:pos="0"/>
        </w:tabs>
        <w:spacing w:line="276" w:lineRule="auto"/>
        <w:ind w:right="-518" w:firstLine="1701"/>
        <w:jc w:val="both"/>
        <w:rPr>
          <w:rFonts w:ascii="Arial" w:hAnsi="Arial" w:cs="Arial"/>
          <w:b/>
          <w:bCs/>
          <w:sz w:val="22"/>
          <w:szCs w:val="22"/>
        </w:rPr>
      </w:pPr>
      <w:r w:rsidRPr="00827DE9">
        <w:rPr>
          <w:rFonts w:ascii="Arial" w:hAnsi="Arial" w:cs="Arial"/>
          <w:b/>
          <w:bCs/>
          <w:sz w:val="22"/>
          <w:szCs w:val="22"/>
        </w:rPr>
        <w:t>Puesto en votación, el artículo sexto</w:t>
      </w:r>
      <w:r w:rsidR="00C1286F">
        <w:rPr>
          <w:rFonts w:ascii="Arial" w:hAnsi="Arial" w:cs="Arial"/>
          <w:b/>
          <w:bCs/>
          <w:sz w:val="22"/>
          <w:szCs w:val="22"/>
        </w:rPr>
        <w:t xml:space="preserve"> con las indicaciones aprobadas</w:t>
      </w:r>
      <w:r w:rsidRPr="00827DE9">
        <w:rPr>
          <w:rFonts w:ascii="Arial" w:hAnsi="Arial" w:cs="Arial"/>
          <w:b/>
          <w:bCs/>
          <w:sz w:val="22"/>
          <w:szCs w:val="22"/>
        </w:rPr>
        <w:t>, fue aprobado por la unanimidad de los trece diputados(a) presentes, señores Barrera, Bernales (en reemplazo del diputado Mirosevic), Bianchi, Brito, Cifuentes, Mellado, Naranjo, Ramírez, Romero, Sauerbaum, Sepúlveda, Von Mühlenbrock y Yeomans.</w:t>
      </w:r>
    </w:p>
    <w:p w:rsidR="00827DE9" w:rsidRPr="00827DE9" w:rsidRDefault="00827DE9" w:rsidP="00827DE9">
      <w:pPr>
        <w:tabs>
          <w:tab w:val="left" w:pos="0"/>
        </w:tabs>
        <w:spacing w:line="276" w:lineRule="auto"/>
        <w:ind w:right="-518" w:firstLine="1701"/>
        <w:jc w:val="both"/>
        <w:rPr>
          <w:rFonts w:ascii="Arial" w:hAnsi="Arial" w:cs="Arial"/>
          <w:sz w:val="22"/>
          <w:szCs w:val="22"/>
        </w:rPr>
      </w:pPr>
    </w:p>
    <w:p w:rsidR="007D6A0A" w:rsidRPr="00687258" w:rsidRDefault="007D6A0A" w:rsidP="00687258">
      <w:pPr>
        <w:tabs>
          <w:tab w:val="left" w:pos="2835"/>
        </w:tabs>
        <w:spacing w:before="240" w:after="240" w:line="276" w:lineRule="auto"/>
        <w:ind w:right="-234"/>
        <w:jc w:val="center"/>
        <w:rPr>
          <w:rFonts w:ascii="Arial" w:hAnsi="Arial" w:cs="Arial"/>
          <w:spacing w:val="-3"/>
          <w:sz w:val="22"/>
          <w:szCs w:val="22"/>
        </w:rPr>
      </w:pPr>
      <w:r w:rsidRPr="00687258">
        <w:rPr>
          <w:rFonts w:ascii="Arial" w:hAnsi="Arial" w:cs="Arial"/>
          <w:sz w:val="22"/>
          <w:szCs w:val="22"/>
          <w:lang w:val="es-MX"/>
        </w:rPr>
        <w:t>********</w:t>
      </w:r>
    </w:p>
    <w:bookmarkEnd w:id="18"/>
    <w:bookmarkEnd w:id="19"/>
    <w:bookmarkEnd w:id="20"/>
    <w:p w:rsidR="00A422F4" w:rsidRPr="00687258" w:rsidRDefault="00A422F4" w:rsidP="00687258">
      <w:pPr>
        <w:tabs>
          <w:tab w:val="left" w:pos="2268"/>
        </w:tabs>
        <w:spacing w:line="276" w:lineRule="auto"/>
        <w:ind w:right="-234" w:firstLine="1701"/>
        <w:jc w:val="both"/>
        <w:rPr>
          <w:rFonts w:ascii="Arial" w:hAnsi="Arial" w:cs="Arial"/>
          <w:spacing w:val="-3"/>
          <w:sz w:val="22"/>
          <w:szCs w:val="22"/>
          <w:lang w:val="es-CL" w:eastAsia="en-US" w:bidi="en-US"/>
        </w:rPr>
      </w:pPr>
      <w:r w:rsidRPr="00687258">
        <w:rPr>
          <w:rFonts w:ascii="Arial" w:hAnsi="Arial" w:cs="Arial"/>
          <w:spacing w:val="-3"/>
          <w:sz w:val="22"/>
          <w:szCs w:val="22"/>
          <w:lang w:val="es-CL" w:eastAsia="en-US" w:bidi="en-US"/>
        </w:rPr>
        <w:t xml:space="preserve">Por las razones señaladas y consideraciones que expondrá el Diputado Informante, la Comisión de Hacienda recomienda aprobar los artículos sometidos a su conocimiento, en la forma explicada. </w:t>
      </w:r>
    </w:p>
    <w:p w:rsidR="00CD4DF2" w:rsidRPr="00687258" w:rsidRDefault="00CD4DF2" w:rsidP="00687258">
      <w:pPr>
        <w:spacing w:after="160" w:line="276" w:lineRule="auto"/>
        <w:ind w:right="-234" w:firstLine="1701"/>
        <w:jc w:val="both"/>
        <w:rPr>
          <w:rFonts w:ascii="Arial" w:hAnsi="Arial" w:cs="Arial"/>
          <w:snapToGrid w:val="0"/>
          <w:sz w:val="22"/>
          <w:szCs w:val="22"/>
        </w:rPr>
      </w:pPr>
    </w:p>
    <w:p w:rsidR="00380F78" w:rsidRPr="00380F78" w:rsidRDefault="00380F78" w:rsidP="00380F78">
      <w:pPr>
        <w:spacing w:line="276" w:lineRule="auto"/>
        <w:ind w:right="-518" w:firstLine="1701"/>
        <w:jc w:val="both"/>
        <w:rPr>
          <w:rFonts w:ascii="Arial" w:eastAsiaTheme="minorHAnsi" w:hAnsi="Arial" w:cs="Arial"/>
          <w:sz w:val="22"/>
          <w:szCs w:val="22"/>
          <w:lang w:val="es-ES_tradnl" w:eastAsia="en-US"/>
        </w:rPr>
      </w:pPr>
      <w:r w:rsidRPr="00380F78">
        <w:rPr>
          <w:rFonts w:ascii="Arial" w:eastAsiaTheme="minorHAnsi" w:hAnsi="Arial" w:cs="Arial"/>
          <w:sz w:val="22"/>
          <w:szCs w:val="22"/>
          <w:lang w:val="es-ES_tradnl" w:eastAsia="en-US"/>
        </w:rPr>
        <w:t xml:space="preserve">Tratado y acordado en las sesiones especiales celebradas el lunes 29 y martes 30 de agosto del año en curso, con la asistencia </w:t>
      </w:r>
      <w:r>
        <w:rPr>
          <w:rFonts w:ascii="Arial" w:eastAsiaTheme="minorHAnsi" w:hAnsi="Arial" w:cs="Arial"/>
          <w:sz w:val="22"/>
          <w:szCs w:val="22"/>
          <w:lang w:val="es-ES_tradnl" w:eastAsia="en-US"/>
        </w:rPr>
        <w:t>presencial</w:t>
      </w:r>
      <w:r w:rsidRPr="00380F78">
        <w:rPr>
          <w:rFonts w:ascii="Arial" w:eastAsiaTheme="minorHAnsi" w:hAnsi="Arial" w:cs="Arial"/>
          <w:sz w:val="22"/>
          <w:szCs w:val="22"/>
          <w:lang w:val="es-ES_tradnl" w:eastAsia="en-US"/>
        </w:rPr>
        <w:t xml:space="preserve"> de los diputados(a) señores Boris Barrera Moreno, Carlos Bianchi Chelech, Jorge Brito Hasbún, Ricardo Cifuentes Lillo, Miguel Mellado Suazo, Vlado Mirosevic Verdugo, Jaime Naranjo Ortiz (Presidente), Guillermo Ramírez Diez, Agustín Romero Leiva, Frank Sauerbaum Muñoz, Alexis Sepúlveda Soto, Gastón Von Mühlenbrock Zamora y señora Gael Yeomans Araya. </w:t>
      </w:r>
    </w:p>
    <w:p w:rsidR="00380F78" w:rsidRPr="00380F78" w:rsidRDefault="00380F78" w:rsidP="00380F78">
      <w:pPr>
        <w:spacing w:line="276" w:lineRule="auto"/>
        <w:ind w:right="-518" w:firstLine="1701"/>
        <w:jc w:val="both"/>
        <w:rPr>
          <w:rFonts w:ascii="Arial" w:eastAsiaTheme="minorHAnsi" w:hAnsi="Arial" w:cs="Arial"/>
          <w:sz w:val="22"/>
          <w:szCs w:val="22"/>
          <w:lang w:val="es-ES_tradnl" w:eastAsia="en-US"/>
        </w:rPr>
      </w:pPr>
      <w:r w:rsidRPr="00380F78">
        <w:rPr>
          <w:rFonts w:ascii="Arial" w:eastAsiaTheme="minorHAnsi" w:hAnsi="Arial" w:cs="Arial"/>
          <w:sz w:val="22"/>
          <w:szCs w:val="22"/>
          <w:lang w:val="es-ES_tradnl" w:eastAsia="en-US"/>
        </w:rPr>
        <w:t>Asimismo, el diputado Vlado Mirosevic Verdugo fue reemplazado por el diputado Alejandro Bernales Maldonado en la sesión especial del martes 30 de agosto</w:t>
      </w:r>
      <w:r>
        <w:rPr>
          <w:rFonts w:ascii="Arial" w:eastAsiaTheme="minorHAnsi" w:hAnsi="Arial" w:cs="Arial"/>
          <w:sz w:val="22"/>
          <w:szCs w:val="22"/>
          <w:lang w:val="es-ES_tradnl" w:eastAsia="en-US"/>
        </w:rPr>
        <w:t>.</w:t>
      </w:r>
    </w:p>
    <w:p w:rsidR="00CD4DF2" w:rsidRDefault="00CD4DF2" w:rsidP="00CD4DF2">
      <w:pPr>
        <w:spacing w:after="160" w:line="276" w:lineRule="auto"/>
        <w:ind w:right="-234" w:firstLine="1701"/>
        <w:jc w:val="both"/>
        <w:rPr>
          <w:rFonts w:ascii="Arial" w:hAnsi="Arial" w:cs="Arial"/>
          <w:sz w:val="22"/>
          <w:szCs w:val="22"/>
        </w:rPr>
      </w:pPr>
    </w:p>
    <w:p w:rsidR="00CD4DF2" w:rsidRPr="00861179" w:rsidRDefault="00CD4DF2" w:rsidP="00CD4DF2">
      <w:pPr>
        <w:spacing w:after="160" w:line="276" w:lineRule="auto"/>
        <w:ind w:right="-234" w:firstLine="1701"/>
        <w:jc w:val="both"/>
        <w:rPr>
          <w:rFonts w:ascii="Arial" w:eastAsiaTheme="minorHAnsi" w:hAnsi="Arial" w:cs="Arial"/>
          <w:sz w:val="22"/>
          <w:szCs w:val="22"/>
          <w:lang w:val="es-CL" w:eastAsia="en-US"/>
        </w:rPr>
      </w:pPr>
    </w:p>
    <w:p w:rsidR="00294656" w:rsidRPr="00861179" w:rsidRDefault="00655FE8" w:rsidP="00861179">
      <w:pPr>
        <w:tabs>
          <w:tab w:val="left" w:pos="709"/>
        </w:tabs>
        <w:spacing w:before="120" w:line="276" w:lineRule="auto"/>
        <w:ind w:right="-234"/>
        <w:jc w:val="right"/>
        <w:rPr>
          <w:rFonts w:ascii="Arial" w:hAnsi="Arial" w:cs="Arial"/>
          <w:snapToGrid w:val="0"/>
          <w:sz w:val="22"/>
          <w:szCs w:val="22"/>
        </w:rPr>
      </w:pPr>
      <w:r w:rsidRPr="00861179">
        <w:rPr>
          <w:rFonts w:ascii="Arial" w:hAnsi="Arial" w:cs="Arial"/>
          <w:snapToGrid w:val="0"/>
          <w:sz w:val="22"/>
          <w:szCs w:val="22"/>
        </w:rPr>
        <w:t xml:space="preserve">Sala de la Comisión, a </w:t>
      </w:r>
      <w:r w:rsidR="00380F78">
        <w:rPr>
          <w:rFonts w:ascii="Arial" w:hAnsi="Arial" w:cs="Arial"/>
          <w:snapToGrid w:val="0"/>
          <w:sz w:val="22"/>
          <w:szCs w:val="22"/>
        </w:rPr>
        <w:t xml:space="preserve">30 de agosto </w:t>
      </w:r>
      <w:r w:rsidR="00483DCE" w:rsidRPr="00861179">
        <w:rPr>
          <w:rFonts w:ascii="Arial" w:hAnsi="Arial" w:cs="Arial"/>
          <w:snapToGrid w:val="0"/>
          <w:sz w:val="22"/>
          <w:szCs w:val="22"/>
        </w:rPr>
        <w:t>de</w:t>
      </w:r>
      <w:r w:rsidR="00523189" w:rsidRPr="00861179">
        <w:rPr>
          <w:rFonts w:ascii="Arial" w:hAnsi="Arial" w:cs="Arial"/>
          <w:snapToGrid w:val="0"/>
          <w:sz w:val="22"/>
          <w:szCs w:val="22"/>
        </w:rPr>
        <w:t xml:space="preserve"> 202</w:t>
      </w:r>
      <w:r w:rsidR="00CD4DF2">
        <w:rPr>
          <w:rFonts w:ascii="Arial" w:hAnsi="Arial" w:cs="Arial"/>
          <w:snapToGrid w:val="0"/>
          <w:sz w:val="22"/>
          <w:szCs w:val="22"/>
        </w:rPr>
        <w:t>2</w:t>
      </w:r>
      <w:r w:rsidR="00483DCE" w:rsidRPr="00861179">
        <w:rPr>
          <w:rFonts w:ascii="Arial" w:hAnsi="Arial" w:cs="Arial"/>
          <w:snapToGrid w:val="0"/>
          <w:sz w:val="22"/>
          <w:szCs w:val="22"/>
        </w:rPr>
        <w:t>.</w:t>
      </w:r>
    </w:p>
    <w:p w:rsidR="00655FE8" w:rsidRDefault="00655FE8" w:rsidP="00861179">
      <w:pPr>
        <w:tabs>
          <w:tab w:val="left" w:pos="709"/>
        </w:tabs>
        <w:spacing w:line="276" w:lineRule="auto"/>
        <w:ind w:right="-234" w:firstLine="1701"/>
        <w:jc w:val="center"/>
        <w:rPr>
          <w:rFonts w:ascii="Arial" w:hAnsi="Arial" w:cs="Arial"/>
          <w:b/>
          <w:snapToGrid w:val="0"/>
          <w:sz w:val="22"/>
          <w:szCs w:val="22"/>
        </w:rPr>
      </w:pPr>
    </w:p>
    <w:p w:rsidR="00A422F4" w:rsidRDefault="00A422F4" w:rsidP="00861179">
      <w:pPr>
        <w:tabs>
          <w:tab w:val="left" w:pos="709"/>
        </w:tabs>
        <w:spacing w:line="276" w:lineRule="auto"/>
        <w:ind w:right="-234" w:firstLine="1701"/>
        <w:jc w:val="center"/>
        <w:rPr>
          <w:rFonts w:ascii="Arial" w:hAnsi="Arial" w:cs="Arial"/>
          <w:b/>
          <w:snapToGrid w:val="0"/>
          <w:sz w:val="22"/>
          <w:szCs w:val="22"/>
        </w:rPr>
      </w:pPr>
    </w:p>
    <w:p w:rsidR="00A422F4" w:rsidRDefault="00A422F4" w:rsidP="00861179">
      <w:pPr>
        <w:tabs>
          <w:tab w:val="left" w:pos="709"/>
        </w:tabs>
        <w:spacing w:line="276" w:lineRule="auto"/>
        <w:ind w:right="-234" w:firstLine="1701"/>
        <w:jc w:val="center"/>
        <w:rPr>
          <w:rFonts w:ascii="Arial" w:hAnsi="Arial" w:cs="Arial"/>
          <w:b/>
          <w:snapToGrid w:val="0"/>
          <w:sz w:val="22"/>
          <w:szCs w:val="22"/>
        </w:rPr>
      </w:pPr>
    </w:p>
    <w:p w:rsidR="00A422F4" w:rsidRDefault="00A422F4" w:rsidP="00861179">
      <w:pPr>
        <w:tabs>
          <w:tab w:val="left" w:pos="709"/>
        </w:tabs>
        <w:spacing w:line="276" w:lineRule="auto"/>
        <w:ind w:right="-234" w:firstLine="1701"/>
        <w:jc w:val="center"/>
        <w:rPr>
          <w:rFonts w:ascii="Arial" w:hAnsi="Arial" w:cs="Arial"/>
          <w:b/>
          <w:snapToGrid w:val="0"/>
          <w:sz w:val="22"/>
          <w:szCs w:val="22"/>
        </w:rPr>
      </w:pPr>
    </w:p>
    <w:p w:rsidR="00A422F4" w:rsidRPr="00861179" w:rsidRDefault="00A422F4" w:rsidP="00861179">
      <w:pPr>
        <w:tabs>
          <w:tab w:val="left" w:pos="709"/>
        </w:tabs>
        <w:spacing w:line="276" w:lineRule="auto"/>
        <w:ind w:right="-234" w:firstLine="1701"/>
        <w:jc w:val="center"/>
        <w:rPr>
          <w:rFonts w:ascii="Arial" w:hAnsi="Arial" w:cs="Arial"/>
          <w:b/>
          <w:snapToGrid w:val="0"/>
          <w:sz w:val="22"/>
          <w:szCs w:val="22"/>
        </w:rPr>
      </w:pPr>
    </w:p>
    <w:p w:rsidR="00185BD9" w:rsidRPr="00861179" w:rsidRDefault="0021585A" w:rsidP="00861179">
      <w:pPr>
        <w:tabs>
          <w:tab w:val="left" w:pos="709"/>
        </w:tabs>
        <w:spacing w:line="276" w:lineRule="auto"/>
        <w:ind w:right="-234"/>
        <w:jc w:val="center"/>
        <w:rPr>
          <w:rFonts w:ascii="Arial" w:hAnsi="Arial" w:cs="Arial"/>
          <w:b/>
          <w:snapToGrid w:val="0"/>
          <w:sz w:val="22"/>
          <w:szCs w:val="22"/>
        </w:rPr>
      </w:pPr>
      <w:r w:rsidRPr="00861179">
        <w:rPr>
          <w:rFonts w:ascii="Arial" w:hAnsi="Arial" w:cs="Arial"/>
          <w:b/>
          <w:snapToGrid w:val="0"/>
          <w:sz w:val="22"/>
          <w:szCs w:val="22"/>
        </w:rPr>
        <w:t>MARÍA EUGENIA SILVA FERRER</w:t>
      </w:r>
    </w:p>
    <w:p w:rsidR="00F746CE" w:rsidRPr="00861179" w:rsidRDefault="00F746CE" w:rsidP="00861179">
      <w:pPr>
        <w:tabs>
          <w:tab w:val="left" w:pos="709"/>
        </w:tabs>
        <w:spacing w:line="276" w:lineRule="auto"/>
        <w:ind w:right="-234"/>
        <w:jc w:val="center"/>
        <w:rPr>
          <w:rFonts w:ascii="Arial" w:hAnsi="Arial" w:cs="Arial"/>
          <w:b/>
          <w:snapToGrid w:val="0"/>
          <w:sz w:val="22"/>
          <w:szCs w:val="22"/>
        </w:rPr>
      </w:pPr>
      <w:r w:rsidRPr="00861179">
        <w:rPr>
          <w:rFonts w:ascii="Arial" w:hAnsi="Arial" w:cs="Arial"/>
          <w:b/>
          <w:snapToGrid w:val="0"/>
          <w:sz w:val="22"/>
          <w:szCs w:val="22"/>
        </w:rPr>
        <w:t>Abogad</w:t>
      </w:r>
      <w:r w:rsidR="0021585A" w:rsidRPr="00861179">
        <w:rPr>
          <w:rFonts w:ascii="Arial" w:hAnsi="Arial" w:cs="Arial"/>
          <w:b/>
          <w:snapToGrid w:val="0"/>
          <w:sz w:val="22"/>
          <w:szCs w:val="22"/>
        </w:rPr>
        <w:t>o</w:t>
      </w:r>
      <w:r w:rsidRPr="00861179">
        <w:rPr>
          <w:rFonts w:ascii="Arial" w:hAnsi="Arial" w:cs="Arial"/>
          <w:b/>
          <w:snapToGrid w:val="0"/>
          <w:sz w:val="22"/>
          <w:szCs w:val="22"/>
        </w:rPr>
        <w:t xml:space="preserve"> Secretaria de Comisiones</w:t>
      </w:r>
    </w:p>
    <w:sectPr w:rsidR="00F746CE" w:rsidRPr="00861179" w:rsidSect="000C75B4">
      <w:headerReference w:type="even" r:id="rId16"/>
      <w:headerReference w:type="default" r:id="rId17"/>
      <w:pgSz w:w="12240" w:h="20160" w:code="5"/>
      <w:pgMar w:top="2552" w:right="1701" w:bottom="2835" w:left="2268"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997" w:rsidRDefault="00BD0997" w:rsidP="00F746CE">
      <w:pPr>
        <w:pStyle w:val="Textoindependiente"/>
      </w:pPr>
      <w:r>
        <w:separator/>
      </w:r>
    </w:p>
  </w:endnote>
  <w:endnote w:type="continuationSeparator" w:id="0">
    <w:p w:rsidR="00BD0997" w:rsidRDefault="00BD0997" w:rsidP="00F746CE">
      <w:pPr>
        <w:pStyle w:val="Textoindependien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997" w:rsidRDefault="00BD0997" w:rsidP="00F746CE">
      <w:pPr>
        <w:pStyle w:val="Textoindependiente"/>
      </w:pPr>
      <w:r>
        <w:separator/>
      </w:r>
    </w:p>
  </w:footnote>
  <w:footnote w:type="continuationSeparator" w:id="0">
    <w:p w:rsidR="00BD0997" w:rsidRDefault="00BD0997" w:rsidP="00F746CE">
      <w:pPr>
        <w:pStyle w:val="Textoindependiente"/>
      </w:pPr>
      <w:r>
        <w:continuationSeparator/>
      </w:r>
    </w:p>
  </w:footnote>
  <w:footnote w:id="1">
    <w:p w:rsidR="00687258" w:rsidRDefault="00687258" w:rsidP="00B9238C">
      <w:pPr>
        <w:pStyle w:val="Textoindependiente"/>
        <w:spacing w:before="120"/>
        <w:jc w:val="both"/>
        <w:rPr>
          <w:sz w:val="18"/>
          <w:szCs w:val="18"/>
        </w:rPr>
      </w:pPr>
      <w:r>
        <w:rPr>
          <w:sz w:val="18"/>
          <w:szCs w:val="18"/>
        </w:rPr>
        <w:t>Fuente de información:</w:t>
      </w:r>
    </w:p>
    <w:p w:rsidR="00687258" w:rsidRPr="008B76CA" w:rsidRDefault="00687258" w:rsidP="00B9238C">
      <w:pPr>
        <w:pStyle w:val="Textoindependiente"/>
        <w:spacing w:before="120"/>
        <w:jc w:val="both"/>
        <w:rPr>
          <w:sz w:val="18"/>
          <w:szCs w:val="18"/>
        </w:rPr>
      </w:pPr>
      <w:r w:rsidRPr="008B76CA">
        <w:rPr>
          <w:rStyle w:val="Refdenotaalpie"/>
          <w:sz w:val="18"/>
          <w:szCs w:val="18"/>
        </w:rPr>
        <w:footnoteRef/>
      </w:r>
      <w:r w:rsidRPr="008B76CA">
        <w:rPr>
          <w:sz w:val="18"/>
          <w:szCs w:val="18"/>
        </w:rPr>
        <w:t xml:space="preserve"> Mensaje de S.E. el Presidente de la República, con el que inicia un Proyecto de Ley que modifica el Fondo de Garantía para Pequeños y Medianos Empresarios y permite la flexibilización de convenios de pago por impuestos adeudados, con el objeto de apoyar la reactivación y recuperación de la economía mediante el Plan Chile Apoya.</w:t>
      </w:r>
    </w:p>
    <w:p w:rsidR="00687258" w:rsidRPr="008B76CA" w:rsidRDefault="00687258" w:rsidP="00B9238C">
      <w:pPr>
        <w:pStyle w:val="Textoindependiente"/>
        <w:spacing w:before="120"/>
        <w:jc w:val="both"/>
        <w:rPr>
          <w:sz w:val="18"/>
          <w:szCs w:val="18"/>
        </w:rPr>
      </w:pPr>
      <w:r w:rsidRPr="008B76CA">
        <w:rPr>
          <w:sz w:val="18"/>
          <w:szCs w:val="18"/>
        </w:rPr>
        <w:t>Tesorería General de la República, Convenios de pago otorgados en virtud del artículo 4 de la Ley N°21.353.</w:t>
      </w:r>
    </w:p>
    <w:p w:rsidR="00687258" w:rsidRPr="008B76CA" w:rsidRDefault="00687258" w:rsidP="00B9238C">
      <w:pPr>
        <w:pStyle w:val="Textonotapie"/>
        <w:jc w:val="both"/>
      </w:pPr>
    </w:p>
  </w:footnote>
  <w:footnote w:id="2">
    <w:p w:rsidR="00B9238C" w:rsidRPr="00B9238C" w:rsidRDefault="00B9238C" w:rsidP="00B9238C">
      <w:pPr>
        <w:pStyle w:val="Sangradetextonormal"/>
        <w:tabs>
          <w:tab w:val="left" w:pos="709"/>
        </w:tabs>
        <w:spacing w:line="240" w:lineRule="auto"/>
        <w:ind w:right="-518" w:firstLine="0"/>
        <w:rPr>
          <w:rFonts w:cs="Arial"/>
          <w:sz w:val="18"/>
          <w:szCs w:val="18"/>
        </w:rPr>
      </w:pPr>
      <w:r w:rsidRPr="00B9238C">
        <w:rPr>
          <w:rStyle w:val="Refdenotaalpie"/>
          <w:sz w:val="18"/>
          <w:szCs w:val="18"/>
        </w:rPr>
        <w:footnoteRef/>
      </w:r>
      <w:r w:rsidRPr="00B9238C">
        <w:rPr>
          <w:sz w:val="18"/>
          <w:szCs w:val="18"/>
        </w:rPr>
        <w:t xml:space="preserve"> </w:t>
      </w:r>
      <w:r w:rsidRPr="00B9238C">
        <w:rPr>
          <w:rFonts w:cs="Arial"/>
          <w:sz w:val="18"/>
          <w:szCs w:val="18"/>
        </w:rPr>
        <w:t>Fuentes de información</w:t>
      </w:r>
    </w:p>
    <w:p w:rsidR="00B9238C" w:rsidRPr="00B9238C" w:rsidRDefault="00B9238C" w:rsidP="00B9238C">
      <w:pPr>
        <w:pStyle w:val="Sangradetextonormal"/>
        <w:tabs>
          <w:tab w:val="left" w:pos="709"/>
        </w:tabs>
        <w:spacing w:line="240" w:lineRule="auto"/>
        <w:ind w:right="-518" w:firstLine="0"/>
        <w:rPr>
          <w:rFonts w:cs="Arial"/>
          <w:sz w:val="18"/>
          <w:szCs w:val="18"/>
        </w:rPr>
      </w:pPr>
      <w:r w:rsidRPr="00B9238C">
        <w:rPr>
          <w:rFonts w:cs="Arial"/>
          <w:sz w:val="18"/>
          <w:szCs w:val="18"/>
        </w:rPr>
        <w:t>•</w:t>
      </w:r>
      <w:r w:rsidRPr="00B9238C">
        <w:rPr>
          <w:rFonts w:cs="Arial"/>
          <w:sz w:val="18"/>
          <w:szCs w:val="18"/>
        </w:rPr>
        <w:tab/>
        <w:t>Mensaje de S.E. el Presidente de la República, mediante el cual formula indicaciones a Proyecto que modifica el Fondo de Garantía para Pequeños y Medianos Empresarios y permite flexibilizar convenios de pago por impuestos adeudados, para apoyar la reactivación de la economía.</w:t>
      </w:r>
    </w:p>
    <w:p w:rsidR="00B9238C" w:rsidRPr="00B9238C" w:rsidRDefault="00B9238C" w:rsidP="00B9238C">
      <w:pPr>
        <w:pStyle w:val="Sangradetextonormal"/>
        <w:tabs>
          <w:tab w:val="left" w:pos="709"/>
        </w:tabs>
        <w:spacing w:line="240" w:lineRule="auto"/>
        <w:ind w:right="-518" w:firstLine="0"/>
        <w:rPr>
          <w:rFonts w:cs="Arial"/>
          <w:sz w:val="18"/>
          <w:szCs w:val="18"/>
        </w:rPr>
      </w:pPr>
      <w:r w:rsidRPr="00B9238C">
        <w:rPr>
          <w:rFonts w:cs="Arial"/>
          <w:sz w:val="18"/>
          <w:szCs w:val="18"/>
        </w:rPr>
        <w:t>•</w:t>
      </w:r>
      <w:r w:rsidRPr="00B9238C">
        <w:rPr>
          <w:rFonts w:cs="Arial"/>
          <w:sz w:val="18"/>
          <w:szCs w:val="18"/>
        </w:rPr>
        <w:tab/>
        <w:t>Tesorería General de la República, Convenios de pago otorgados en virtud del artículo 4 de la Ley Nº21.353.</w:t>
      </w:r>
    </w:p>
    <w:p w:rsidR="00B9238C" w:rsidRPr="00B9238C" w:rsidRDefault="00B9238C" w:rsidP="00B9238C">
      <w:pPr>
        <w:pStyle w:val="Sangradetextonormal"/>
        <w:tabs>
          <w:tab w:val="left" w:pos="709"/>
        </w:tabs>
        <w:spacing w:after="0" w:line="240" w:lineRule="auto"/>
        <w:ind w:right="-518" w:firstLine="1701"/>
        <w:rPr>
          <w:rFonts w:cs="Arial"/>
          <w:sz w:val="18"/>
          <w:szCs w:val="18"/>
        </w:rPr>
      </w:pPr>
      <w:r w:rsidRPr="00B9238C">
        <w:rPr>
          <w:rFonts w:cs="Arial"/>
          <w:sz w:val="18"/>
          <w:szCs w:val="18"/>
        </w:rPr>
        <w:t xml:space="preserve">    </w:t>
      </w:r>
      <w:r w:rsidRPr="00B9238C">
        <w:rPr>
          <w:rFonts w:cs="Arial"/>
          <w:sz w:val="18"/>
          <w:szCs w:val="18"/>
        </w:rPr>
        <w:tab/>
      </w:r>
    </w:p>
    <w:p w:rsidR="00B9238C" w:rsidRDefault="00B9238C">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AF5" w:rsidRDefault="00840AF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40AF5" w:rsidRDefault="00840AF5">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AF5" w:rsidRDefault="00840AF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035E8">
      <w:rPr>
        <w:rStyle w:val="Nmerodepgina"/>
        <w:noProof/>
      </w:rPr>
      <w:t>18</w:t>
    </w:r>
    <w:r>
      <w:rPr>
        <w:rStyle w:val="Nmerodepgina"/>
      </w:rPr>
      <w:fldChar w:fldCharType="end"/>
    </w:r>
  </w:p>
  <w:p w:rsidR="00840AF5" w:rsidRDefault="00840AF5">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F7C37"/>
    <w:multiLevelType w:val="hybridMultilevel"/>
    <w:tmpl w:val="F0FA344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258697C"/>
    <w:multiLevelType w:val="hybridMultilevel"/>
    <w:tmpl w:val="F57A0F1C"/>
    <w:lvl w:ilvl="0" w:tplc="E8C21AF6">
      <w:start w:val="1"/>
      <w:numFmt w:val="lowerLetter"/>
      <w:lvlText w:val="%1)"/>
      <w:lvlJc w:val="left"/>
      <w:pPr>
        <w:ind w:left="3195" w:hanging="360"/>
      </w:pPr>
      <w:rPr>
        <w:rFonts w:hint="default"/>
        <w:b/>
        <w:bCs w:val="0"/>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55"/>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DCD"/>
    <w:rsid w:val="00000667"/>
    <w:rsid w:val="00000917"/>
    <w:rsid w:val="00002A12"/>
    <w:rsid w:val="00003F08"/>
    <w:rsid w:val="00004ACA"/>
    <w:rsid w:val="00005150"/>
    <w:rsid w:val="000057C7"/>
    <w:rsid w:val="0001136E"/>
    <w:rsid w:val="00013711"/>
    <w:rsid w:val="00014E0B"/>
    <w:rsid w:val="000153B5"/>
    <w:rsid w:val="00020981"/>
    <w:rsid w:val="00021311"/>
    <w:rsid w:val="00021CB1"/>
    <w:rsid w:val="00022B6E"/>
    <w:rsid w:val="00023322"/>
    <w:rsid w:val="0002367D"/>
    <w:rsid w:val="0002381C"/>
    <w:rsid w:val="00023C3F"/>
    <w:rsid w:val="00032EA7"/>
    <w:rsid w:val="000334A6"/>
    <w:rsid w:val="00034AFD"/>
    <w:rsid w:val="0003642C"/>
    <w:rsid w:val="00037879"/>
    <w:rsid w:val="00037E91"/>
    <w:rsid w:val="000425F4"/>
    <w:rsid w:val="00042AC3"/>
    <w:rsid w:val="00043B08"/>
    <w:rsid w:val="0004491C"/>
    <w:rsid w:val="00051C6D"/>
    <w:rsid w:val="00052706"/>
    <w:rsid w:val="000527BF"/>
    <w:rsid w:val="00054C9D"/>
    <w:rsid w:val="000562FC"/>
    <w:rsid w:val="00056AFD"/>
    <w:rsid w:val="00057973"/>
    <w:rsid w:val="00057BCD"/>
    <w:rsid w:val="00060F6E"/>
    <w:rsid w:val="00062504"/>
    <w:rsid w:val="00065AED"/>
    <w:rsid w:val="00067CA1"/>
    <w:rsid w:val="0007103D"/>
    <w:rsid w:val="000712D1"/>
    <w:rsid w:val="00072B9B"/>
    <w:rsid w:val="00074B63"/>
    <w:rsid w:val="000771A8"/>
    <w:rsid w:val="000824FA"/>
    <w:rsid w:val="00085DC0"/>
    <w:rsid w:val="00086A01"/>
    <w:rsid w:val="00087447"/>
    <w:rsid w:val="00087A84"/>
    <w:rsid w:val="0009254C"/>
    <w:rsid w:val="00092663"/>
    <w:rsid w:val="00092F02"/>
    <w:rsid w:val="0009308D"/>
    <w:rsid w:val="00093CDA"/>
    <w:rsid w:val="000944AB"/>
    <w:rsid w:val="0009559B"/>
    <w:rsid w:val="0009764F"/>
    <w:rsid w:val="000A0900"/>
    <w:rsid w:val="000A5135"/>
    <w:rsid w:val="000A5DC6"/>
    <w:rsid w:val="000A647D"/>
    <w:rsid w:val="000A6BE6"/>
    <w:rsid w:val="000B00ED"/>
    <w:rsid w:val="000B03DA"/>
    <w:rsid w:val="000B07C2"/>
    <w:rsid w:val="000B238E"/>
    <w:rsid w:val="000B2A99"/>
    <w:rsid w:val="000B5DC5"/>
    <w:rsid w:val="000B6677"/>
    <w:rsid w:val="000B7411"/>
    <w:rsid w:val="000B7D3A"/>
    <w:rsid w:val="000C02CC"/>
    <w:rsid w:val="000C49AE"/>
    <w:rsid w:val="000C5321"/>
    <w:rsid w:val="000C5384"/>
    <w:rsid w:val="000C7124"/>
    <w:rsid w:val="000C75B4"/>
    <w:rsid w:val="000C7DA1"/>
    <w:rsid w:val="000D0F07"/>
    <w:rsid w:val="000D2B0F"/>
    <w:rsid w:val="000D328C"/>
    <w:rsid w:val="000D493D"/>
    <w:rsid w:val="000D5486"/>
    <w:rsid w:val="000D5A97"/>
    <w:rsid w:val="000D5AB6"/>
    <w:rsid w:val="000D5E8D"/>
    <w:rsid w:val="000D5EB4"/>
    <w:rsid w:val="000D6EF9"/>
    <w:rsid w:val="000D71CB"/>
    <w:rsid w:val="000D7736"/>
    <w:rsid w:val="000E0CE2"/>
    <w:rsid w:val="000E10B3"/>
    <w:rsid w:val="000E3749"/>
    <w:rsid w:val="000E41BF"/>
    <w:rsid w:val="000E59C4"/>
    <w:rsid w:val="000E7187"/>
    <w:rsid w:val="000E7FFA"/>
    <w:rsid w:val="000F1654"/>
    <w:rsid w:val="000F1A8E"/>
    <w:rsid w:val="000F2652"/>
    <w:rsid w:val="000F310F"/>
    <w:rsid w:val="000F5B43"/>
    <w:rsid w:val="00102801"/>
    <w:rsid w:val="00103562"/>
    <w:rsid w:val="00103603"/>
    <w:rsid w:val="00105D3F"/>
    <w:rsid w:val="00106E74"/>
    <w:rsid w:val="00113501"/>
    <w:rsid w:val="0011525A"/>
    <w:rsid w:val="001152C4"/>
    <w:rsid w:val="00115CE8"/>
    <w:rsid w:val="001162CB"/>
    <w:rsid w:val="00117C57"/>
    <w:rsid w:val="00123E2D"/>
    <w:rsid w:val="001254D4"/>
    <w:rsid w:val="00126F20"/>
    <w:rsid w:val="00130912"/>
    <w:rsid w:val="00131010"/>
    <w:rsid w:val="00133938"/>
    <w:rsid w:val="00133B3F"/>
    <w:rsid w:val="00135755"/>
    <w:rsid w:val="00135A7C"/>
    <w:rsid w:val="00136DDF"/>
    <w:rsid w:val="001379A5"/>
    <w:rsid w:val="00140378"/>
    <w:rsid w:val="00142275"/>
    <w:rsid w:val="001425DF"/>
    <w:rsid w:val="00142DED"/>
    <w:rsid w:val="00145514"/>
    <w:rsid w:val="0014589F"/>
    <w:rsid w:val="00147EE7"/>
    <w:rsid w:val="00150D25"/>
    <w:rsid w:val="00151054"/>
    <w:rsid w:val="001510C0"/>
    <w:rsid w:val="0015307F"/>
    <w:rsid w:val="00156A56"/>
    <w:rsid w:val="00156A9B"/>
    <w:rsid w:val="001630F8"/>
    <w:rsid w:val="00163229"/>
    <w:rsid w:val="00166E12"/>
    <w:rsid w:val="00170EE5"/>
    <w:rsid w:val="00172075"/>
    <w:rsid w:val="001741FF"/>
    <w:rsid w:val="00174B4E"/>
    <w:rsid w:val="00174C5D"/>
    <w:rsid w:val="001756E7"/>
    <w:rsid w:val="001764BA"/>
    <w:rsid w:val="0017668F"/>
    <w:rsid w:val="001766C6"/>
    <w:rsid w:val="00176D05"/>
    <w:rsid w:val="001800B6"/>
    <w:rsid w:val="001818DD"/>
    <w:rsid w:val="00185BD9"/>
    <w:rsid w:val="0018702E"/>
    <w:rsid w:val="00191A4A"/>
    <w:rsid w:val="00193E90"/>
    <w:rsid w:val="0019447D"/>
    <w:rsid w:val="001955B6"/>
    <w:rsid w:val="0019686D"/>
    <w:rsid w:val="0019720E"/>
    <w:rsid w:val="00197271"/>
    <w:rsid w:val="00197757"/>
    <w:rsid w:val="00197B10"/>
    <w:rsid w:val="001A0810"/>
    <w:rsid w:val="001A1D0A"/>
    <w:rsid w:val="001A2456"/>
    <w:rsid w:val="001A35F9"/>
    <w:rsid w:val="001A62A7"/>
    <w:rsid w:val="001B1271"/>
    <w:rsid w:val="001B3AF4"/>
    <w:rsid w:val="001B40C7"/>
    <w:rsid w:val="001B4C09"/>
    <w:rsid w:val="001C07A9"/>
    <w:rsid w:val="001C2164"/>
    <w:rsid w:val="001C4F95"/>
    <w:rsid w:val="001C6EB2"/>
    <w:rsid w:val="001D0053"/>
    <w:rsid w:val="001D36A4"/>
    <w:rsid w:val="001D64F7"/>
    <w:rsid w:val="001D6523"/>
    <w:rsid w:val="001D6A3B"/>
    <w:rsid w:val="001D7DFE"/>
    <w:rsid w:val="001E05A1"/>
    <w:rsid w:val="001E17F6"/>
    <w:rsid w:val="001E27B5"/>
    <w:rsid w:val="001E63F2"/>
    <w:rsid w:val="001F072B"/>
    <w:rsid w:val="001F2947"/>
    <w:rsid w:val="001F420D"/>
    <w:rsid w:val="001F446D"/>
    <w:rsid w:val="001F5028"/>
    <w:rsid w:val="00200FED"/>
    <w:rsid w:val="002020D3"/>
    <w:rsid w:val="002027C8"/>
    <w:rsid w:val="00205C20"/>
    <w:rsid w:val="00205E76"/>
    <w:rsid w:val="00206486"/>
    <w:rsid w:val="00210B74"/>
    <w:rsid w:val="00212FE8"/>
    <w:rsid w:val="002156B1"/>
    <w:rsid w:val="0021585A"/>
    <w:rsid w:val="00215D5D"/>
    <w:rsid w:val="002172E8"/>
    <w:rsid w:val="0021762B"/>
    <w:rsid w:val="00217A99"/>
    <w:rsid w:val="00217E87"/>
    <w:rsid w:val="002222F4"/>
    <w:rsid w:val="00227253"/>
    <w:rsid w:val="0022753B"/>
    <w:rsid w:val="0023092F"/>
    <w:rsid w:val="002319D2"/>
    <w:rsid w:val="00231A63"/>
    <w:rsid w:val="002321BC"/>
    <w:rsid w:val="002325F5"/>
    <w:rsid w:val="00236446"/>
    <w:rsid w:val="00240210"/>
    <w:rsid w:val="0024126E"/>
    <w:rsid w:val="002415B5"/>
    <w:rsid w:val="00242CD2"/>
    <w:rsid w:val="00243460"/>
    <w:rsid w:val="00245955"/>
    <w:rsid w:val="00247999"/>
    <w:rsid w:val="002511A8"/>
    <w:rsid w:val="002520B9"/>
    <w:rsid w:val="0025620D"/>
    <w:rsid w:val="00257EC9"/>
    <w:rsid w:val="00261122"/>
    <w:rsid w:val="00261B29"/>
    <w:rsid w:val="00265791"/>
    <w:rsid w:val="002703BC"/>
    <w:rsid w:val="002722BE"/>
    <w:rsid w:val="00272722"/>
    <w:rsid w:val="00276990"/>
    <w:rsid w:val="00276C1C"/>
    <w:rsid w:val="0027796B"/>
    <w:rsid w:val="002814BB"/>
    <w:rsid w:val="00283421"/>
    <w:rsid w:val="0028359B"/>
    <w:rsid w:val="00283BC3"/>
    <w:rsid w:val="0028599E"/>
    <w:rsid w:val="00285FA7"/>
    <w:rsid w:val="00286F32"/>
    <w:rsid w:val="0029023F"/>
    <w:rsid w:val="002925E8"/>
    <w:rsid w:val="00293899"/>
    <w:rsid w:val="002939E4"/>
    <w:rsid w:val="00294656"/>
    <w:rsid w:val="00296E86"/>
    <w:rsid w:val="0029796F"/>
    <w:rsid w:val="002A03AC"/>
    <w:rsid w:val="002A132B"/>
    <w:rsid w:val="002A3102"/>
    <w:rsid w:val="002A5F9C"/>
    <w:rsid w:val="002A634E"/>
    <w:rsid w:val="002A7DB6"/>
    <w:rsid w:val="002B2FFB"/>
    <w:rsid w:val="002B4569"/>
    <w:rsid w:val="002B7F9A"/>
    <w:rsid w:val="002C03C8"/>
    <w:rsid w:val="002C059F"/>
    <w:rsid w:val="002C1207"/>
    <w:rsid w:val="002C16F3"/>
    <w:rsid w:val="002C21CC"/>
    <w:rsid w:val="002C38CB"/>
    <w:rsid w:val="002C5025"/>
    <w:rsid w:val="002C507A"/>
    <w:rsid w:val="002C557D"/>
    <w:rsid w:val="002C61A1"/>
    <w:rsid w:val="002C6BAE"/>
    <w:rsid w:val="002D083B"/>
    <w:rsid w:val="002D2706"/>
    <w:rsid w:val="002D2F59"/>
    <w:rsid w:val="002D2FB0"/>
    <w:rsid w:val="002D38EC"/>
    <w:rsid w:val="002D3CF0"/>
    <w:rsid w:val="002D60B9"/>
    <w:rsid w:val="002D73C5"/>
    <w:rsid w:val="002D76DE"/>
    <w:rsid w:val="002E0AA5"/>
    <w:rsid w:val="002E1C21"/>
    <w:rsid w:val="002E252E"/>
    <w:rsid w:val="002E673A"/>
    <w:rsid w:val="002E6F9E"/>
    <w:rsid w:val="002F18F5"/>
    <w:rsid w:val="002F2366"/>
    <w:rsid w:val="002F50CC"/>
    <w:rsid w:val="002F6037"/>
    <w:rsid w:val="0030004C"/>
    <w:rsid w:val="0030688A"/>
    <w:rsid w:val="0031045B"/>
    <w:rsid w:val="00314C84"/>
    <w:rsid w:val="00315124"/>
    <w:rsid w:val="0031780F"/>
    <w:rsid w:val="00320914"/>
    <w:rsid w:val="00322646"/>
    <w:rsid w:val="003226FE"/>
    <w:rsid w:val="003248FA"/>
    <w:rsid w:val="00330B0E"/>
    <w:rsid w:val="00334763"/>
    <w:rsid w:val="00334D2C"/>
    <w:rsid w:val="00337C85"/>
    <w:rsid w:val="00340E7A"/>
    <w:rsid w:val="003424CA"/>
    <w:rsid w:val="00344B7E"/>
    <w:rsid w:val="00344EAF"/>
    <w:rsid w:val="003453E3"/>
    <w:rsid w:val="003501A5"/>
    <w:rsid w:val="003506D8"/>
    <w:rsid w:val="003507F5"/>
    <w:rsid w:val="00352A93"/>
    <w:rsid w:val="00353FC5"/>
    <w:rsid w:val="00354467"/>
    <w:rsid w:val="00354BE3"/>
    <w:rsid w:val="00356922"/>
    <w:rsid w:val="003574BE"/>
    <w:rsid w:val="0036027A"/>
    <w:rsid w:val="00361DD5"/>
    <w:rsid w:val="0036274E"/>
    <w:rsid w:val="00363563"/>
    <w:rsid w:val="00364A4A"/>
    <w:rsid w:val="003652BB"/>
    <w:rsid w:val="003667A2"/>
    <w:rsid w:val="00366AD3"/>
    <w:rsid w:val="00366BE4"/>
    <w:rsid w:val="00366E50"/>
    <w:rsid w:val="0036721B"/>
    <w:rsid w:val="003711D1"/>
    <w:rsid w:val="003729F7"/>
    <w:rsid w:val="00375DBA"/>
    <w:rsid w:val="0037775C"/>
    <w:rsid w:val="00380F78"/>
    <w:rsid w:val="00381784"/>
    <w:rsid w:val="00385CBE"/>
    <w:rsid w:val="0038717B"/>
    <w:rsid w:val="00387BF8"/>
    <w:rsid w:val="00391353"/>
    <w:rsid w:val="003933C1"/>
    <w:rsid w:val="003960D2"/>
    <w:rsid w:val="00396203"/>
    <w:rsid w:val="00397DE1"/>
    <w:rsid w:val="003A03CB"/>
    <w:rsid w:val="003A1FA1"/>
    <w:rsid w:val="003A3009"/>
    <w:rsid w:val="003A3749"/>
    <w:rsid w:val="003A3C3B"/>
    <w:rsid w:val="003A4995"/>
    <w:rsid w:val="003A5E67"/>
    <w:rsid w:val="003A634D"/>
    <w:rsid w:val="003A7D32"/>
    <w:rsid w:val="003B0A14"/>
    <w:rsid w:val="003B407B"/>
    <w:rsid w:val="003B4616"/>
    <w:rsid w:val="003B48E5"/>
    <w:rsid w:val="003B4A12"/>
    <w:rsid w:val="003B5A31"/>
    <w:rsid w:val="003B631D"/>
    <w:rsid w:val="003B7303"/>
    <w:rsid w:val="003B7D73"/>
    <w:rsid w:val="003B7E40"/>
    <w:rsid w:val="003C0181"/>
    <w:rsid w:val="003C1A73"/>
    <w:rsid w:val="003C2132"/>
    <w:rsid w:val="003C2961"/>
    <w:rsid w:val="003C5284"/>
    <w:rsid w:val="003C56FB"/>
    <w:rsid w:val="003C7200"/>
    <w:rsid w:val="003C7A2B"/>
    <w:rsid w:val="003D07E5"/>
    <w:rsid w:val="003D2B02"/>
    <w:rsid w:val="003D5B17"/>
    <w:rsid w:val="003D6165"/>
    <w:rsid w:val="003D6425"/>
    <w:rsid w:val="003E1005"/>
    <w:rsid w:val="003E16FA"/>
    <w:rsid w:val="003E5B38"/>
    <w:rsid w:val="003E5BD8"/>
    <w:rsid w:val="003E745C"/>
    <w:rsid w:val="003E7F43"/>
    <w:rsid w:val="003F1442"/>
    <w:rsid w:val="003F2661"/>
    <w:rsid w:val="003F4B10"/>
    <w:rsid w:val="00404303"/>
    <w:rsid w:val="00405927"/>
    <w:rsid w:val="004073B3"/>
    <w:rsid w:val="00407A6E"/>
    <w:rsid w:val="00407B38"/>
    <w:rsid w:val="00410683"/>
    <w:rsid w:val="00411AF1"/>
    <w:rsid w:val="00411C23"/>
    <w:rsid w:val="00411CAC"/>
    <w:rsid w:val="00414F0F"/>
    <w:rsid w:val="00417C31"/>
    <w:rsid w:val="00417DCD"/>
    <w:rsid w:val="00417E5D"/>
    <w:rsid w:val="00421A62"/>
    <w:rsid w:val="004223CC"/>
    <w:rsid w:val="00423638"/>
    <w:rsid w:val="004237F2"/>
    <w:rsid w:val="00426DE8"/>
    <w:rsid w:val="004309E0"/>
    <w:rsid w:val="00431397"/>
    <w:rsid w:val="00431EF2"/>
    <w:rsid w:val="00432383"/>
    <w:rsid w:val="00432821"/>
    <w:rsid w:val="00432C6A"/>
    <w:rsid w:val="00444F6D"/>
    <w:rsid w:val="004452F6"/>
    <w:rsid w:val="004458C4"/>
    <w:rsid w:val="00446C3C"/>
    <w:rsid w:val="00451396"/>
    <w:rsid w:val="00451B87"/>
    <w:rsid w:val="00454FDF"/>
    <w:rsid w:val="00460070"/>
    <w:rsid w:val="00460733"/>
    <w:rsid w:val="00460D93"/>
    <w:rsid w:val="00460E3A"/>
    <w:rsid w:val="00461306"/>
    <w:rsid w:val="00461F0A"/>
    <w:rsid w:val="004627A9"/>
    <w:rsid w:val="00462934"/>
    <w:rsid w:val="0046483F"/>
    <w:rsid w:val="00464D9C"/>
    <w:rsid w:val="00465E04"/>
    <w:rsid w:val="00466662"/>
    <w:rsid w:val="00466988"/>
    <w:rsid w:val="0047138E"/>
    <w:rsid w:val="00471A0C"/>
    <w:rsid w:val="00472AB9"/>
    <w:rsid w:val="0047394D"/>
    <w:rsid w:val="00473DA8"/>
    <w:rsid w:val="0047570A"/>
    <w:rsid w:val="0047775E"/>
    <w:rsid w:val="00482528"/>
    <w:rsid w:val="00482B19"/>
    <w:rsid w:val="004833DA"/>
    <w:rsid w:val="00483DCE"/>
    <w:rsid w:val="00484795"/>
    <w:rsid w:val="00484B19"/>
    <w:rsid w:val="00486452"/>
    <w:rsid w:val="004868A9"/>
    <w:rsid w:val="00486E2A"/>
    <w:rsid w:val="00493AA1"/>
    <w:rsid w:val="00497551"/>
    <w:rsid w:val="00497598"/>
    <w:rsid w:val="004A087A"/>
    <w:rsid w:val="004A1A16"/>
    <w:rsid w:val="004A276F"/>
    <w:rsid w:val="004A31D5"/>
    <w:rsid w:val="004A39A8"/>
    <w:rsid w:val="004A3E5F"/>
    <w:rsid w:val="004A4107"/>
    <w:rsid w:val="004A4908"/>
    <w:rsid w:val="004A494F"/>
    <w:rsid w:val="004A7E0A"/>
    <w:rsid w:val="004B22D6"/>
    <w:rsid w:val="004B2DF6"/>
    <w:rsid w:val="004B3039"/>
    <w:rsid w:val="004B3193"/>
    <w:rsid w:val="004B5216"/>
    <w:rsid w:val="004B53F6"/>
    <w:rsid w:val="004C038A"/>
    <w:rsid w:val="004C2D2C"/>
    <w:rsid w:val="004C7038"/>
    <w:rsid w:val="004C74AF"/>
    <w:rsid w:val="004C7B1E"/>
    <w:rsid w:val="004D254B"/>
    <w:rsid w:val="004D2EBC"/>
    <w:rsid w:val="004D4A43"/>
    <w:rsid w:val="004D5055"/>
    <w:rsid w:val="004D62AA"/>
    <w:rsid w:val="004D6F50"/>
    <w:rsid w:val="004E032B"/>
    <w:rsid w:val="004E03D9"/>
    <w:rsid w:val="004E0A08"/>
    <w:rsid w:val="004E35D3"/>
    <w:rsid w:val="004E4C5D"/>
    <w:rsid w:val="004E67D0"/>
    <w:rsid w:val="004F28BA"/>
    <w:rsid w:val="004F2F56"/>
    <w:rsid w:val="004F3F60"/>
    <w:rsid w:val="004F440B"/>
    <w:rsid w:val="004F5A13"/>
    <w:rsid w:val="004F63CF"/>
    <w:rsid w:val="00502BE1"/>
    <w:rsid w:val="00505C66"/>
    <w:rsid w:val="00507094"/>
    <w:rsid w:val="00512FF9"/>
    <w:rsid w:val="0051423F"/>
    <w:rsid w:val="00517A05"/>
    <w:rsid w:val="005206BC"/>
    <w:rsid w:val="0052111C"/>
    <w:rsid w:val="005217C0"/>
    <w:rsid w:val="00523189"/>
    <w:rsid w:val="00524880"/>
    <w:rsid w:val="00526478"/>
    <w:rsid w:val="00527454"/>
    <w:rsid w:val="00527D2B"/>
    <w:rsid w:val="00530065"/>
    <w:rsid w:val="00530AC5"/>
    <w:rsid w:val="0053293C"/>
    <w:rsid w:val="00535006"/>
    <w:rsid w:val="005359D9"/>
    <w:rsid w:val="00535DD9"/>
    <w:rsid w:val="005360D8"/>
    <w:rsid w:val="00536214"/>
    <w:rsid w:val="005368B1"/>
    <w:rsid w:val="00536C07"/>
    <w:rsid w:val="005376BC"/>
    <w:rsid w:val="00540756"/>
    <w:rsid w:val="005446CC"/>
    <w:rsid w:val="00545300"/>
    <w:rsid w:val="00546BE3"/>
    <w:rsid w:val="0055097C"/>
    <w:rsid w:val="00553329"/>
    <w:rsid w:val="005538BC"/>
    <w:rsid w:val="00554036"/>
    <w:rsid w:val="005550FD"/>
    <w:rsid w:val="00555519"/>
    <w:rsid w:val="005570A4"/>
    <w:rsid w:val="0055724A"/>
    <w:rsid w:val="00557A83"/>
    <w:rsid w:val="005611BC"/>
    <w:rsid w:val="0056196E"/>
    <w:rsid w:val="00561B9C"/>
    <w:rsid w:val="00563775"/>
    <w:rsid w:val="00565BAF"/>
    <w:rsid w:val="00567E9D"/>
    <w:rsid w:val="0057087C"/>
    <w:rsid w:val="00570AEA"/>
    <w:rsid w:val="0057192B"/>
    <w:rsid w:val="00572909"/>
    <w:rsid w:val="00572B10"/>
    <w:rsid w:val="00573856"/>
    <w:rsid w:val="00580926"/>
    <w:rsid w:val="00581815"/>
    <w:rsid w:val="00581942"/>
    <w:rsid w:val="00581A68"/>
    <w:rsid w:val="005826A5"/>
    <w:rsid w:val="005832F1"/>
    <w:rsid w:val="005850D1"/>
    <w:rsid w:val="0058566E"/>
    <w:rsid w:val="00586A31"/>
    <w:rsid w:val="00586A7B"/>
    <w:rsid w:val="005874FD"/>
    <w:rsid w:val="005906C9"/>
    <w:rsid w:val="005908AD"/>
    <w:rsid w:val="00590B65"/>
    <w:rsid w:val="00591A3C"/>
    <w:rsid w:val="00592C02"/>
    <w:rsid w:val="00595F79"/>
    <w:rsid w:val="005A1AF8"/>
    <w:rsid w:val="005A26B2"/>
    <w:rsid w:val="005A5450"/>
    <w:rsid w:val="005A5781"/>
    <w:rsid w:val="005A57E9"/>
    <w:rsid w:val="005A7749"/>
    <w:rsid w:val="005B12A7"/>
    <w:rsid w:val="005B167B"/>
    <w:rsid w:val="005B32FB"/>
    <w:rsid w:val="005B4839"/>
    <w:rsid w:val="005B4DCA"/>
    <w:rsid w:val="005B5078"/>
    <w:rsid w:val="005B542B"/>
    <w:rsid w:val="005C2381"/>
    <w:rsid w:val="005C2765"/>
    <w:rsid w:val="005C314A"/>
    <w:rsid w:val="005C3AB5"/>
    <w:rsid w:val="005C4B4A"/>
    <w:rsid w:val="005C55AC"/>
    <w:rsid w:val="005C6897"/>
    <w:rsid w:val="005D1153"/>
    <w:rsid w:val="005D2FDB"/>
    <w:rsid w:val="005D78C7"/>
    <w:rsid w:val="005E4997"/>
    <w:rsid w:val="005E538A"/>
    <w:rsid w:val="005E7D6F"/>
    <w:rsid w:val="005F1CD0"/>
    <w:rsid w:val="005F411B"/>
    <w:rsid w:val="005F572F"/>
    <w:rsid w:val="0060077B"/>
    <w:rsid w:val="00601B98"/>
    <w:rsid w:val="00601FDF"/>
    <w:rsid w:val="006021D1"/>
    <w:rsid w:val="00603226"/>
    <w:rsid w:val="006035E8"/>
    <w:rsid w:val="00603760"/>
    <w:rsid w:val="006074A5"/>
    <w:rsid w:val="006104F1"/>
    <w:rsid w:val="006107AF"/>
    <w:rsid w:val="00610C78"/>
    <w:rsid w:val="00610FF1"/>
    <w:rsid w:val="00611E50"/>
    <w:rsid w:val="00614B78"/>
    <w:rsid w:val="00617046"/>
    <w:rsid w:val="00617329"/>
    <w:rsid w:val="00621954"/>
    <w:rsid w:val="00622575"/>
    <w:rsid w:val="00622D58"/>
    <w:rsid w:val="006256D3"/>
    <w:rsid w:val="00631A76"/>
    <w:rsid w:val="006326DA"/>
    <w:rsid w:val="00633612"/>
    <w:rsid w:val="00633B05"/>
    <w:rsid w:val="006347C5"/>
    <w:rsid w:val="00634B44"/>
    <w:rsid w:val="00642A6D"/>
    <w:rsid w:val="00645565"/>
    <w:rsid w:val="006457C8"/>
    <w:rsid w:val="00646EC1"/>
    <w:rsid w:val="00651083"/>
    <w:rsid w:val="00653153"/>
    <w:rsid w:val="00655FE8"/>
    <w:rsid w:val="006613CA"/>
    <w:rsid w:val="00662036"/>
    <w:rsid w:val="0066351B"/>
    <w:rsid w:val="00664E07"/>
    <w:rsid w:val="00665237"/>
    <w:rsid w:val="00665BF6"/>
    <w:rsid w:val="006667D2"/>
    <w:rsid w:val="00667201"/>
    <w:rsid w:val="00670C06"/>
    <w:rsid w:val="00670D5F"/>
    <w:rsid w:val="00673CEA"/>
    <w:rsid w:val="00674689"/>
    <w:rsid w:val="006746C7"/>
    <w:rsid w:val="006769E9"/>
    <w:rsid w:val="00680282"/>
    <w:rsid w:val="0068031E"/>
    <w:rsid w:val="00681D60"/>
    <w:rsid w:val="00682814"/>
    <w:rsid w:val="006853A8"/>
    <w:rsid w:val="0068552B"/>
    <w:rsid w:val="00686FBD"/>
    <w:rsid w:val="00687258"/>
    <w:rsid w:val="0068754E"/>
    <w:rsid w:val="00687797"/>
    <w:rsid w:val="006900D5"/>
    <w:rsid w:val="00691436"/>
    <w:rsid w:val="00691850"/>
    <w:rsid w:val="0069284C"/>
    <w:rsid w:val="00695DF8"/>
    <w:rsid w:val="00696BA9"/>
    <w:rsid w:val="00697070"/>
    <w:rsid w:val="0069727E"/>
    <w:rsid w:val="006A31BB"/>
    <w:rsid w:val="006A368B"/>
    <w:rsid w:val="006A4B6F"/>
    <w:rsid w:val="006A621A"/>
    <w:rsid w:val="006B05B0"/>
    <w:rsid w:val="006B09F3"/>
    <w:rsid w:val="006B1B44"/>
    <w:rsid w:val="006B1BE3"/>
    <w:rsid w:val="006B5201"/>
    <w:rsid w:val="006C0797"/>
    <w:rsid w:val="006C1599"/>
    <w:rsid w:val="006C380F"/>
    <w:rsid w:val="006C4DCD"/>
    <w:rsid w:val="006C5766"/>
    <w:rsid w:val="006C7E30"/>
    <w:rsid w:val="006D0D8D"/>
    <w:rsid w:val="006D1D20"/>
    <w:rsid w:val="006D261B"/>
    <w:rsid w:val="006D26E2"/>
    <w:rsid w:val="006D2C3F"/>
    <w:rsid w:val="006D4989"/>
    <w:rsid w:val="006E12E7"/>
    <w:rsid w:val="006E384F"/>
    <w:rsid w:val="006F10C1"/>
    <w:rsid w:val="006F3266"/>
    <w:rsid w:val="006F3CD2"/>
    <w:rsid w:val="006F761F"/>
    <w:rsid w:val="006F7847"/>
    <w:rsid w:val="007001DA"/>
    <w:rsid w:val="00702D98"/>
    <w:rsid w:val="00703F04"/>
    <w:rsid w:val="007048F0"/>
    <w:rsid w:val="00706835"/>
    <w:rsid w:val="00707137"/>
    <w:rsid w:val="00711B6A"/>
    <w:rsid w:val="00712D21"/>
    <w:rsid w:val="00715C2E"/>
    <w:rsid w:val="00716036"/>
    <w:rsid w:val="00717623"/>
    <w:rsid w:val="007204C9"/>
    <w:rsid w:val="00721826"/>
    <w:rsid w:val="00721E00"/>
    <w:rsid w:val="00722373"/>
    <w:rsid w:val="00722697"/>
    <w:rsid w:val="00726C1B"/>
    <w:rsid w:val="00727E21"/>
    <w:rsid w:val="00727F4A"/>
    <w:rsid w:val="00734D7C"/>
    <w:rsid w:val="0073753A"/>
    <w:rsid w:val="007412E9"/>
    <w:rsid w:val="007431A9"/>
    <w:rsid w:val="007435BF"/>
    <w:rsid w:val="00744D28"/>
    <w:rsid w:val="007455C7"/>
    <w:rsid w:val="007532D2"/>
    <w:rsid w:val="0075353B"/>
    <w:rsid w:val="00753A01"/>
    <w:rsid w:val="00754543"/>
    <w:rsid w:val="00754700"/>
    <w:rsid w:val="0075513F"/>
    <w:rsid w:val="00755FA2"/>
    <w:rsid w:val="0075770F"/>
    <w:rsid w:val="007636C0"/>
    <w:rsid w:val="0076494F"/>
    <w:rsid w:val="0076557E"/>
    <w:rsid w:val="0076607D"/>
    <w:rsid w:val="00774A5E"/>
    <w:rsid w:val="00774B69"/>
    <w:rsid w:val="007754C0"/>
    <w:rsid w:val="00777DA1"/>
    <w:rsid w:val="00780648"/>
    <w:rsid w:val="00780E73"/>
    <w:rsid w:val="00781E83"/>
    <w:rsid w:val="0078231A"/>
    <w:rsid w:val="00783482"/>
    <w:rsid w:val="0078399D"/>
    <w:rsid w:val="00784491"/>
    <w:rsid w:val="00787E08"/>
    <w:rsid w:val="007901EB"/>
    <w:rsid w:val="00791656"/>
    <w:rsid w:val="00792BD4"/>
    <w:rsid w:val="0079366F"/>
    <w:rsid w:val="00793941"/>
    <w:rsid w:val="0079399F"/>
    <w:rsid w:val="00793F4A"/>
    <w:rsid w:val="007A0588"/>
    <w:rsid w:val="007A148D"/>
    <w:rsid w:val="007A21F2"/>
    <w:rsid w:val="007A3D3D"/>
    <w:rsid w:val="007A50BE"/>
    <w:rsid w:val="007A5887"/>
    <w:rsid w:val="007A5CB7"/>
    <w:rsid w:val="007A7287"/>
    <w:rsid w:val="007B21F1"/>
    <w:rsid w:val="007B29EB"/>
    <w:rsid w:val="007B3DB3"/>
    <w:rsid w:val="007B516B"/>
    <w:rsid w:val="007B5CE6"/>
    <w:rsid w:val="007B6200"/>
    <w:rsid w:val="007B7236"/>
    <w:rsid w:val="007C03D4"/>
    <w:rsid w:val="007C201F"/>
    <w:rsid w:val="007C53AA"/>
    <w:rsid w:val="007C7EF4"/>
    <w:rsid w:val="007D04B3"/>
    <w:rsid w:val="007D0FBB"/>
    <w:rsid w:val="007D38F9"/>
    <w:rsid w:val="007D487C"/>
    <w:rsid w:val="007D4DFA"/>
    <w:rsid w:val="007D5CF6"/>
    <w:rsid w:val="007D65CB"/>
    <w:rsid w:val="007D6A0A"/>
    <w:rsid w:val="007E2599"/>
    <w:rsid w:val="007E3323"/>
    <w:rsid w:val="007E3703"/>
    <w:rsid w:val="007E4148"/>
    <w:rsid w:val="007E513D"/>
    <w:rsid w:val="007E5DD6"/>
    <w:rsid w:val="007E651A"/>
    <w:rsid w:val="007F0318"/>
    <w:rsid w:val="007F045D"/>
    <w:rsid w:val="007F1FD8"/>
    <w:rsid w:val="007F3307"/>
    <w:rsid w:val="007F5E85"/>
    <w:rsid w:val="007F63E3"/>
    <w:rsid w:val="007F7CAA"/>
    <w:rsid w:val="00801091"/>
    <w:rsid w:val="00803B0E"/>
    <w:rsid w:val="00803D1E"/>
    <w:rsid w:val="00806056"/>
    <w:rsid w:val="0080745F"/>
    <w:rsid w:val="0081083C"/>
    <w:rsid w:val="00810848"/>
    <w:rsid w:val="0081250A"/>
    <w:rsid w:val="00812B41"/>
    <w:rsid w:val="00817E22"/>
    <w:rsid w:val="008208CF"/>
    <w:rsid w:val="00820AED"/>
    <w:rsid w:val="008217ED"/>
    <w:rsid w:val="00822591"/>
    <w:rsid w:val="0082319F"/>
    <w:rsid w:val="0082789C"/>
    <w:rsid w:val="00827DE9"/>
    <w:rsid w:val="008332A4"/>
    <w:rsid w:val="008335AF"/>
    <w:rsid w:val="0083450B"/>
    <w:rsid w:val="00834FF3"/>
    <w:rsid w:val="00835678"/>
    <w:rsid w:val="00835B9F"/>
    <w:rsid w:val="0083732E"/>
    <w:rsid w:val="0084054A"/>
    <w:rsid w:val="00840AF5"/>
    <w:rsid w:val="008422D0"/>
    <w:rsid w:val="00843E66"/>
    <w:rsid w:val="00845CB2"/>
    <w:rsid w:val="008469CA"/>
    <w:rsid w:val="00847FF2"/>
    <w:rsid w:val="00850133"/>
    <w:rsid w:val="00850816"/>
    <w:rsid w:val="00854849"/>
    <w:rsid w:val="008574F8"/>
    <w:rsid w:val="008607AC"/>
    <w:rsid w:val="00861179"/>
    <w:rsid w:val="00861352"/>
    <w:rsid w:val="00861526"/>
    <w:rsid w:val="00861ED4"/>
    <w:rsid w:val="00862A5B"/>
    <w:rsid w:val="00862BDF"/>
    <w:rsid w:val="0086410A"/>
    <w:rsid w:val="00864282"/>
    <w:rsid w:val="008651BB"/>
    <w:rsid w:val="00865CC7"/>
    <w:rsid w:val="00872099"/>
    <w:rsid w:val="008734BB"/>
    <w:rsid w:val="00873C3B"/>
    <w:rsid w:val="00874582"/>
    <w:rsid w:val="00874C1D"/>
    <w:rsid w:val="00875177"/>
    <w:rsid w:val="00875474"/>
    <w:rsid w:val="0087612B"/>
    <w:rsid w:val="00880EFC"/>
    <w:rsid w:val="00881570"/>
    <w:rsid w:val="0088381F"/>
    <w:rsid w:val="00886ABD"/>
    <w:rsid w:val="00886D42"/>
    <w:rsid w:val="008922B4"/>
    <w:rsid w:val="00892F57"/>
    <w:rsid w:val="00894AD7"/>
    <w:rsid w:val="00896AD9"/>
    <w:rsid w:val="00896AF1"/>
    <w:rsid w:val="00896BF5"/>
    <w:rsid w:val="008979E9"/>
    <w:rsid w:val="008A0F9D"/>
    <w:rsid w:val="008A669E"/>
    <w:rsid w:val="008B27A9"/>
    <w:rsid w:val="008B30D0"/>
    <w:rsid w:val="008B32E0"/>
    <w:rsid w:val="008B444F"/>
    <w:rsid w:val="008C12C5"/>
    <w:rsid w:val="008C141B"/>
    <w:rsid w:val="008C4611"/>
    <w:rsid w:val="008C5B34"/>
    <w:rsid w:val="008C5B5D"/>
    <w:rsid w:val="008C6391"/>
    <w:rsid w:val="008C6683"/>
    <w:rsid w:val="008C6E8B"/>
    <w:rsid w:val="008D086B"/>
    <w:rsid w:val="008D17E6"/>
    <w:rsid w:val="008D2079"/>
    <w:rsid w:val="008D2B10"/>
    <w:rsid w:val="008D5703"/>
    <w:rsid w:val="008D6085"/>
    <w:rsid w:val="008E3337"/>
    <w:rsid w:val="008E6B23"/>
    <w:rsid w:val="008F06A4"/>
    <w:rsid w:val="008F0F98"/>
    <w:rsid w:val="008F26BF"/>
    <w:rsid w:val="008F29D2"/>
    <w:rsid w:val="008F2D7F"/>
    <w:rsid w:val="008F4EB8"/>
    <w:rsid w:val="008F5A2A"/>
    <w:rsid w:val="008F65B5"/>
    <w:rsid w:val="008F6887"/>
    <w:rsid w:val="008F7203"/>
    <w:rsid w:val="009019FD"/>
    <w:rsid w:val="00902F4C"/>
    <w:rsid w:val="00903BEF"/>
    <w:rsid w:val="00904DD6"/>
    <w:rsid w:val="00904EB4"/>
    <w:rsid w:val="009060E9"/>
    <w:rsid w:val="00907E34"/>
    <w:rsid w:val="00910DC3"/>
    <w:rsid w:val="009116B0"/>
    <w:rsid w:val="00913241"/>
    <w:rsid w:val="00914472"/>
    <w:rsid w:val="009175B1"/>
    <w:rsid w:val="00920294"/>
    <w:rsid w:val="00920CC9"/>
    <w:rsid w:val="009216E0"/>
    <w:rsid w:val="009224F5"/>
    <w:rsid w:val="009230A4"/>
    <w:rsid w:val="00923108"/>
    <w:rsid w:val="00925BB9"/>
    <w:rsid w:val="00925E0E"/>
    <w:rsid w:val="00927B3A"/>
    <w:rsid w:val="00932040"/>
    <w:rsid w:val="0093711C"/>
    <w:rsid w:val="0093750E"/>
    <w:rsid w:val="009378FE"/>
    <w:rsid w:val="009404FC"/>
    <w:rsid w:val="0094361B"/>
    <w:rsid w:val="0094438E"/>
    <w:rsid w:val="00944E51"/>
    <w:rsid w:val="00945618"/>
    <w:rsid w:val="009462C3"/>
    <w:rsid w:val="009502DF"/>
    <w:rsid w:val="0095032A"/>
    <w:rsid w:val="00950B33"/>
    <w:rsid w:val="009510F6"/>
    <w:rsid w:val="00951291"/>
    <w:rsid w:val="00951BE1"/>
    <w:rsid w:val="009539C8"/>
    <w:rsid w:val="0095763E"/>
    <w:rsid w:val="00963685"/>
    <w:rsid w:val="00966298"/>
    <w:rsid w:val="00966DE6"/>
    <w:rsid w:val="00967A71"/>
    <w:rsid w:val="009707C7"/>
    <w:rsid w:val="009710CE"/>
    <w:rsid w:val="009729F7"/>
    <w:rsid w:val="009739E6"/>
    <w:rsid w:val="009743D2"/>
    <w:rsid w:val="00974678"/>
    <w:rsid w:val="0097508F"/>
    <w:rsid w:val="00982677"/>
    <w:rsid w:val="009833E5"/>
    <w:rsid w:val="00985AA6"/>
    <w:rsid w:val="009871A3"/>
    <w:rsid w:val="00990032"/>
    <w:rsid w:val="00991113"/>
    <w:rsid w:val="0099611F"/>
    <w:rsid w:val="00996D31"/>
    <w:rsid w:val="009A01F4"/>
    <w:rsid w:val="009A068A"/>
    <w:rsid w:val="009A2022"/>
    <w:rsid w:val="009A2ECA"/>
    <w:rsid w:val="009A4FCA"/>
    <w:rsid w:val="009A5F4D"/>
    <w:rsid w:val="009A7C96"/>
    <w:rsid w:val="009A7FB2"/>
    <w:rsid w:val="009B1312"/>
    <w:rsid w:val="009B2512"/>
    <w:rsid w:val="009B3250"/>
    <w:rsid w:val="009B3894"/>
    <w:rsid w:val="009B437C"/>
    <w:rsid w:val="009B4B74"/>
    <w:rsid w:val="009B5455"/>
    <w:rsid w:val="009B7A68"/>
    <w:rsid w:val="009C5F37"/>
    <w:rsid w:val="009C5FF0"/>
    <w:rsid w:val="009C6D7F"/>
    <w:rsid w:val="009C6F8C"/>
    <w:rsid w:val="009C76EC"/>
    <w:rsid w:val="009D1F64"/>
    <w:rsid w:val="009D2957"/>
    <w:rsid w:val="009D3805"/>
    <w:rsid w:val="009D384C"/>
    <w:rsid w:val="009D43DB"/>
    <w:rsid w:val="009D53B4"/>
    <w:rsid w:val="009D651C"/>
    <w:rsid w:val="009D7161"/>
    <w:rsid w:val="009D7591"/>
    <w:rsid w:val="009D76BD"/>
    <w:rsid w:val="009E01D5"/>
    <w:rsid w:val="009E2236"/>
    <w:rsid w:val="009E2361"/>
    <w:rsid w:val="009E2DB2"/>
    <w:rsid w:val="009E339E"/>
    <w:rsid w:val="009E51F0"/>
    <w:rsid w:val="009E6DA0"/>
    <w:rsid w:val="009F0372"/>
    <w:rsid w:val="009F0437"/>
    <w:rsid w:val="009F17A7"/>
    <w:rsid w:val="009F214B"/>
    <w:rsid w:val="009F262D"/>
    <w:rsid w:val="009F342F"/>
    <w:rsid w:val="009F3C50"/>
    <w:rsid w:val="009F4242"/>
    <w:rsid w:val="009F4276"/>
    <w:rsid w:val="009F5F0C"/>
    <w:rsid w:val="009F6DDE"/>
    <w:rsid w:val="00A00210"/>
    <w:rsid w:val="00A02383"/>
    <w:rsid w:val="00A026AA"/>
    <w:rsid w:val="00A02D05"/>
    <w:rsid w:val="00A02DAC"/>
    <w:rsid w:val="00A04F77"/>
    <w:rsid w:val="00A05512"/>
    <w:rsid w:val="00A075D3"/>
    <w:rsid w:val="00A10F2F"/>
    <w:rsid w:val="00A12F07"/>
    <w:rsid w:val="00A130E0"/>
    <w:rsid w:val="00A134E6"/>
    <w:rsid w:val="00A161CF"/>
    <w:rsid w:val="00A20D5A"/>
    <w:rsid w:val="00A21209"/>
    <w:rsid w:val="00A2198E"/>
    <w:rsid w:val="00A227D9"/>
    <w:rsid w:val="00A25198"/>
    <w:rsid w:val="00A26131"/>
    <w:rsid w:val="00A26165"/>
    <w:rsid w:val="00A2674E"/>
    <w:rsid w:val="00A26BA7"/>
    <w:rsid w:val="00A271BD"/>
    <w:rsid w:val="00A322EB"/>
    <w:rsid w:val="00A345A9"/>
    <w:rsid w:val="00A35622"/>
    <w:rsid w:val="00A35EE7"/>
    <w:rsid w:val="00A36BA5"/>
    <w:rsid w:val="00A37127"/>
    <w:rsid w:val="00A37F87"/>
    <w:rsid w:val="00A407DA"/>
    <w:rsid w:val="00A40C70"/>
    <w:rsid w:val="00A422F4"/>
    <w:rsid w:val="00A428DD"/>
    <w:rsid w:val="00A44341"/>
    <w:rsid w:val="00A4435B"/>
    <w:rsid w:val="00A4437E"/>
    <w:rsid w:val="00A44F43"/>
    <w:rsid w:val="00A466CF"/>
    <w:rsid w:val="00A51684"/>
    <w:rsid w:val="00A52BDA"/>
    <w:rsid w:val="00A54711"/>
    <w:rsid w:val="00A54D26"/>
    <w:rsid w:val="00A552AD"/>
    <w:rsid w:val="00A57BDB"/>
    <w:rsid w:val="00A6152F"/>
    <w:rsid w:val="00A62BAD"/>
    <w:rsid w:val="00A631D8"/>
    <w:rsid w:val="00A63545"/>
    <w:rsid w:val="00A64ABF"/>
    <w:rsid w:val="00A64D19"/>
    <w:rsid w:val="00A6745B"/>
    <w:rsid w:val="00A71242"/>
    <w:rsid w:val="00A7271C"/>
    <w:rsid w:val="00A73CAA"/>
    <w:rsid w:val="00A73FDC"/>
    <w:rsid w:val="00A74C0D"/>
    <w:rsid w:val="00A75010"/>
    <w:rsid w:val="00A76259"/>
    <w:rsid w:val="00A77079"/>
    <w:rsid w:val="00A80D80"/>
    <w:rsid w:val="00A81239"/>
    <w:rsid w:val="00A84E53"/>
    <w:rsid w:val="00A84E92"/>
    <w:rsid w:val="00A8552F"/>
    <w:rsid w:val="00A8596F"/>
    <w:rsid w:val="00A86178"/>
    <w:rsid w:val="00A864CD"/>
    <w:rsid w:val="00A870E7"/>
    <w:rsid w:val="00A90158"/>
    <w:rsid w:val="00A913B2"/>
    <w:rsid w:val="00A925CA"/>
    <w:rsid w:val="00A9273C"/>
    <w:rsid w:val="00A92EBC"/>
    <w:rsid w:val="00A944D9"/>
    <w:rsid w:val="00AA1330"/>
    <w:rsid w:val="00AA200F"/>
    <w:rsid w:val="00AA2FAF"/>
    <w:rsid w:val="00AA55FD"/>
    <w:rsid w:val="00AA58FB"/>
    <w:rsid w:val="00AA5C5F"/>
    <w:rsid w:val="00AA7525"/>
    <w:rsid w:val="00AB0793"/>
    <w:rsid w:val="00AB1053"/>
    <w:rsid w:val="00AB1C2C"/>
    <w:rsid w:val="00AB2663"/>
    <w:rsid w:val="00AB4390"/>
    <w:rsid w:val="00AB4814"/>
    <w:rsid w:val="00AB6C1A"/>
    <w:rsid w:val="00AC05C3"/>
    <w:rsid w:val="00AC2A39"/>
    <w:rsid w:val="00AC3FA0"/>
    <w:rsid w:val="00AC4270"/>
    <w:rsid w:val="00AC5003"/>
    <w:rsid w:val="00AC6040"/>
    <w:rsid w:val="00AC60AE"/>
    <w:rsid w:val="00AD12D2"/>
    <w:rsid w:val="00AD2429"/>
    <w:rsid w:val="00AD41B0"/>
    <w:rsid w:val="00AD475C"/>
    <w:rsid w:val="00AD54A9"/>
    <w:rsid w:val="00AD7961"/>
    <w:rsid w:val="00AE0A5D"/>
    <w:rsid w:val="00AE1661"/>
    <w:rsid w:val="00AE42E4"/>
    <w:rsid w:val="00AF0616"/>
    <w:rsid w:val="00AF27F3"/>
    <w:rsid w:val="00AF2DFD"/>
    <w:rsid w:val="00AF65CE"/>
    <w:rsid w:val="00AF79DA"/>
    <w:rsid w:val="00B00756"/>
    <w:rsid w:val="00B022E6"/>
    <w:rsid w:val="00B06AAA"/>
    <w:rsid w:val="00B0771D"/>
    <w:rsid w:val="00B07E08"/>
    <w:rsid w:val="00B109A4"/>
    <w:rsid w:val="00B12874"/>
    <w:rsid w:val="00B13B0E"/>
    <w:rsid w:val="00B155EB"/>
    <w:rsid w:val="00B2058A"/>
    <w:rsid w:val="00B210B1"/>
    <w:rsid w:val="00B21CB2"/>
    <w:rsid w:val="00B225DE"/>
    <w:rsid w:val="00B22AD4"/>
    <w:rsid w:val="00B22F96"/>
    <w:rsid w:val="00B23426"/>
    <w:rsid w:val="00B23756"/>
    <w:rsid w:val="00B244BA"/>
    <w:rsid w:val="00B24AE2"/>
    <w:rsid w:val="00B30D0A"/>
    <w:rsid w:val="00B34E32"/>
    <w:rsid w:val="00B361E0"/>
    <w:rsid w:val="00B411D3"/>
    <w:rsid w:val="00B4253B"/>
    <w:rsid w:val="00B43A82"/>
    <w:rsid w:val="00B4464D"/>
    <w:rsid w:val="00B46404"/>
    <w:rsid w:val="00B50361"/>
    <w:rsid w:val="00B509DC"/>
    <w:rsid w:val="00B53372"/>
    <w:rsid w:val="00B539E6"/>
    <w:rsid w:val="00B53BF5"/>
    <w:rsid w:val="00B55152"/>
    <w:rsid w:val="00B552FA"/>
    <w:rsid w:val="00B579B2"/>
    <w:rsid w:val="00B602F0"/>
    <w:rsid w:val="00B615B4"/>
    <w:rsid w:val="00B63F66"/>
    <w:rsid w:val="00B64A67"/>
    <w:rsid w:val="00B72CC8"/>
    <w:rsid w:val="00B74DF0"/>
    <w:rsid w:val="00B7799E"/>
    <w:rsid w:val="00B77E4B"/>
    <w:rsid w:val="00B81771"/>
    <w:rsid w:val="00B82996"/>
    <w:rsid w:val="00B82E64"/>
    <w:rsid w:val="00B83815"/>
    <w:rsid w:val="00B83C22"/>
    <w:rsid w:val="00B850A4"/>
    <w:rsid w:val="00B86289"/>
    <w:rsid w:val="00B86296"/>
    <w:rsid w:val="00B87357"/>
    <w:rsid w:val="00B91050"/>
    <w:rsid w:val="00B9125E"/>
    <w:rsid w:val="00B9238C"/>
    <w:rsid w:val="00B9663B"/>
    <w:rsid w:val="00BA2C86"/>
    <w:rsid w:val="00BA32C7"/>
    <w:rsid w:val="00BA76BB"/>
    <w:rsid w:val="00BB2930"/>
    <w:rsid w:val="00BB3F37"/>
    <w:rsid w:val="00BB5C4E"/>
    <w:rsid w:val="00BC04AB"/>
    <w:rsid w:val="00BC075F"/>
    <w:rsid w:val="00BC1F9B"/>
    <w:rsid w:val="00BC3B63"/>
    <w:rsid w:val="00BD0997"/>
    <w:rsid w:val="00BD18AC"/>
    <w:rsid w:val="00BD21B4"/>
    <w:rsid w:val="00BD2882"/>
    <w:rsid w:val="00BD2A95"/>
    <w:rsid w:val="00BD4B5F"/>
    <w:rsid w:val="00BE02F8"/>
    <w:rsid w:val="00BE03A7"/>
    <w:rsid w:val="00BF1C03"/>
    <w:rsid w:val="00BF2847"/>
    <w:rsid w:val="00BF3123"/>
    <w:rsid w:val="00BF5BFF"/>
    <w:rsid w:val="00BF6768"/>
    <w:rsid w:val="00BF6776"/>
    <w:rsid w:val="00C00E6D"/>
    <w:rsid w:val="00C0103D"/>
    <w:rsid w:val="00C01191"/>
    <w:rsid w:val="00C01C47"/>
    <w:rsid w:val="00C02BAE"/>
    <w:rsid w:val="00C03602"/>
    <w:rsid w:val="00C05392"/>
    <w:rsid w:val="00C066E1"/>
    <w:rsid w:val="00C1117C"/>
    <w:rsid w:val="00C1286F"/>
    <w:rsid w:val="00C12F24"/>
    <w:rsid w:val="00C13337"/>
    <w:rsid w:val="00C13CFF"/>
    <w:rsid w:val="00C14C2F"/>
    <w:rsid w:val="00C200EE"/>
    <w:rsid w:val="00C20A22"/>
    <w:rsid w:val="00C20B79"/>
    <w:rsid w:val="00C211C2"/>
    <w:rsid w:val="00C21EB5"/>
    <w:rsid w:val="00C24D16"/>
    <w:rsid w:val="00C26BA8"/>
    <w:rsid w:val="00C26BBD"/>
    <w:rsid w:val="00C31126"/>
    <w:rsid w:val="00C31CFB"/>
    <w:rsid w:val="00C32691"/>
    <w:rsid w:val="00C32A16"/>
    <w:rsid w:val="00C32CD7"/>
    <w:rsid w:val="00C33BB8"/>
    <w:rsid w:val="00C34B87"/>
    <w:rsid w:val="00C35319"/>
    <w:rsid w:val="00C3632F"/>
    <w:rsid w:val="00C372DF"/>
    <w:rsid w:val="00C4054D"/>
    <w:rsid w:val="00C40EBB"/>
    <w:rsid w:val="00C42604"/>
    <w:rsid w:val="00C452EE"/>
    <w:rsid w:val="00C47268"/>
    <w:rsid w:val="00C5100F"/>
    <w:rsid w:val="00C53588"/>
    <w:rsid w:val="00C55C00"/>
    <w:rsid w:val="00C56C2D"/>
    <w:rsid w:val="00C62521"/>
    <w:rsid w:val="00C628AC"/>
    <w:rsid w:val="00C62B0A"/>
    <w:rsid w:val="00C64A13"/>
    <w:rsid w:val="00C72EE2"/>
    <w:rsid w:val="00C73773"/>
    <w:rsid w:val="00C74050"/>
    <w:rsid w:val="00C75930"/>
    <w:rsid w:val="00C769A6"/>
    <w:rsid w:val="00C80812"/>
    <w:rsid w:val="00C82223"/>
    <w:rsid w:val="00C833F4"/>
    <w:rsid w:val="00C83C47"/>
    <w:rsid w:val="00C83D90"/>
    <w:rsid w:val="00C84740"/>
    <w:rsid w:val="00C8610E"/>
    <w:rsid w:val="00C901AD"/>
    <w:rsid w:val="00C90C06"/>
    <w:rsid w:val="00C90CFB"/>
    <w:rsid w:val="00C95822"/>
    <w:rsid w:val="00C96C31"/>
    <w:rsid w:val="00C973E0"/>
    <w:rsid w:val="00CA01E7"/>
    <w:rsid w:val="00CA09CE"/>
    <w:rsid w:val="00CA0BC4"/>
    <w:rsid w:val="00CA0C45"/>
    <w:rsid w:val="00CA3B80"/>
    <w:rsid w:val="00CA4272"/>
    <w:rsid w:val="00CA4A34"/>
    <w:rsid w:val="00CA78A1"/>
    <w:rsid w:val="00CA7B4B"/>
    <w:rsid w:val="00CB38A6"/>
    <w:rsid w:val="00CB547D"/>
    <w:rsid w:val="00CB60BF"/>
    <w:rsid w:val="00CB61AF"/>
    <w:rsid w:val="00CB75A7"/>
    <w:rsid w:val="00CC37B8"/>
    <w:rsid w:val="00CC3F79"/>
    <w:rsid w:val="00CC4A57"/>
    <w:rsid w:val="00CC6112"/>
    <w:rsid w:val="00CD1CA4"/>
    <w:rsid w:val="00CD1D91"/>
    <w:rsid w:val="00CD23F5"/>
    <w:rsid w:val="00CD4DF2"/>
    <w:rsid w:val="00CD4F7B"/>
    <w:rsid w:val="00CD619B"/>
    <w:rsid w:val="00CD6C68"/>
    <w:rsid w:val="00CD700B"/>
    <w:rsid w:val="00CE170D"/>
    <w:rsid w:val="00CE1ADF"/>
    <w:rsid w:val="00CE66D2"/>
    <w:rsid w:val="00CE7C59"/>
    <w:rsid w:val="00CE7E32"/>
    <w:rsid w:val="00CF0768"/>
    <w:rsid w:val="00CF1169"/>
    <w:rsid w:val="00CF3F3A"/>
    <w:rsid w:val="00CF44D5"/>
    <w:rsid w:val="00CF4988"/>
    <w:rsid w:val="00CF71F0"/>
    <w:rsid w:val="00D0090B"/>
    <w:rsid w:val="00D014B4"/>
    <w:rsid w:val="00D01908"/>
    <w:rsid w:val="00D02E24"/>
    <w:rsid w:val="00D02EB4"/>
    <w:rsid w:val="00D05808"/>
    <w:rsid w:val="00D05A26"/>
    <w:rsid w:val="00D1140F"/>
    <w:rsid w:val="00D15DFD"/>
    <w:rsid w:val="00D21A0E"/>
    <w:rsid w:val="00D227DA"/>
    <w:rsid w:val="00D23360"/>
    <w:rsid w:val="00D2393C"/>
    <w:rsid w:val="00D24F72"/>
    <w:rsid w:val="00D271D2"/>
    <w:rsid w:val="00D27269"/>
    <w:rsid w:val="00D27561"/>
    <w:rsid w:val="00D30C14"/>
    <w:rsid w:val="00D325FA"/>
    <w:rsid w:val="00D32F62"/>
    <w:rsid w:val="00D33B29"/>
    <w:rsid w:val="00D354C5"/>
    <w:rsid w:val="00D3681C"/>
    <w:rsid w:val="00D40209"/>
    <w:rsid w:val="00D4053C"/>
    <w:rsid w:val="00D4361B"/>
    <w:rsid w:val="00D46147"/>
    <w:rsid w:val="00D4625E"/>
    <w:rsid w:val="00D46E36"/>
    <w:rsid w:val="00D531E0"/>
    <w:rsid w:val="00D53B85"/>
    <w:rsid w:val="00D567D3"/>
    <w:rsid w:val="00D62925"/>
    <w:rsid w:val="00D63311"/>
    <w:rsid w:val="00D64482"/>
    <w:rsid w:val="00D649CF"/>
    <w:rsid w:val="00D65076"/>
    <w:rsid w:val="00D65BF1"/>
    <w:rsid w:val="00D664C9"/>
    <w:rsid w:val="00D66C79"/>
    <w:rsid w:val="00D67437"/>
    <w:rsid w:val="00D7025B"/>
    <w:rsid w:val="00D71A37"/>
    <w:rsid w:val="00D72D2A"/>
    <w:rsid w:val="00D73E8D"/>
    <w:rsid w:val="00D76B65"/>
    <w:rsid w:val="00D775D3"/>
    <w:rsid w:val="00D8061D"/>
    <w:rsid w:val="00D8097F"/>
    <w:rsid w:val="00D8158D"/>
    <w:rsid w:val="00D8202B"/>
    <w:rsid w:val="00D826F1"/>
    <w:rsid w:val="00D83F21"/>
    <w:rsid w:val="00D8429E"/>
    <w:rsid w:val="00D84566"/>
    <w:rsid w:val="00D85381"/>
    <w:rsid w:val="00D92161"/>
    <w:rsid w:val="00D93EA7"/>
    <w:rsid w:val="00D946C0"/>
    <w:rsid w:val="00D9485A"/>
    <w:rsid w:val="00D94C27"/>
    <w:rsid w:val="00D953F1"/>
    <w:rsid w:val="00D9571D"/>
    <w:rsid w:val="00D9637E"/>
    <w:rsid w:val="00D974CE"/>
    <w:rsid w:val="00DA19B9"/>
    <w:rsid w:val="00DA3111"/>
    <w:rsid w:val="00DA3554"/>
    <w:rsid w:val="00DA4112"/>
    <w:rsid w:val="00DA4D70"/>
    <w:rsid w:val="00DA6270"/>
    <w:rsid w:val="00DA7735"/>
    <w:rsid w:val="00DA7E05"/>
    <w:rsid w:val="00DB22BB"/>
    <w:rsid w:val="00DB25D0"/>
    <w:rsid w:val="00DB2812"/>
    <w:rsid w:val="00DB2F8F"/>
    <w:rsid w:val="00DB4480"/>
    <w:rsid w:val="00DB45F3"/>
    <w:rsid w:val="00DB6BC9"/>
    <w:rsid w:val="00DC3A3E"/>
    <w:rsid w:val="00DC3C9C"/>
    <w:rsid w:val="00DC6925"/>
    <w:rsid w:val="00DC6965"/>
    <w:rsid w:val="00DC76D6"/>
    <w:rsid w:val="00DD137E"/>
    <w:rsid w:val="00DD3D6E"/>
    <w:rsid w:val="00DD5B72"/>
    <w:rsid w:val="00DD5FB0"/>
    <w:rsid w:val="00DD7D5D"/>
    <w:rsid w:val="00DE005B"/>
    <w:rsid w:val="00DE0FB1"/>
    <w:rsid w:val="00DE3B7E"/>
    <w:rsid w:val="00DE4E3F"/>
    <w:rsid w:val="00DE4E5D"/>
    <w:rsid w:val="00DE4FAB"/>
    <w:rsid w:val="00DE6596"/>
    <w:rsid w:val="00DF08C8"/>
    <w:rsid w:val="00DF3C94"/>
    <w:rsid w:val="00DF4AC4"/>
    <w:rsid w:val="00DF553E"/>
    <w:rsid w:val="00DF6724"/>
    <w:rsid w:val="00DF6762"/>
    <w:rsid w:val="00DF67FB"/>
    <w:rsid w:val="00E01546"/>
    <w:rsid w:val="00E02F9D"/>
    <w:rsid w:val="00E03953"/>
    <w:rsid w:val="00E055EB"/>
    <w:rsid w:val="00E05D91"/>
    <w:rsid w:val="00E07776"/>
    <w:rsid w:val="00E112A1"/>
    <w:rsid w:val="00E11A7B"/>
    <w:rsid w:val="00E13A36"/>
    <w:rsid w:val="00E13D21"/>
    <w:rsid w:val="00E14158"/>
    <w:rsid w:val="00E14FDA"/>
    <w:rsid w:val="00E1658D"/>
    <w:rsid w:val="00E165D4"/>
    <w:rsid w:val="00E16A64"/>
    <w:rsid w:val="00E208DF"/>
    <w:rsid w:val="00E2175E"/>
    <w:rsid w:val="00E226D2"/>
    <w:rsid w:val="00E23EE3"/>
    <w:rsid w:val="00E24A0C"/>
    <w:rsid w:val="00E25E15"/>
    <w:rsid w:val="00E269BD"/>
    <w:rsid w:val="00E3211A"/>
    <w:rsid w:val="00E32FC6"/>
    <w:rsid w:val="00E4060A"/>
    <w:rsid w:val="00E41848"/>
    <w:rsid w:val="00E41BBA"/>
    <w:rsid w:val="00E439F6"/>
    <w:rsid w:val="00E46146"/>
    <w:rsid w:val="00E46A2B"/>
    <w:rsid w:val="00E47660"/>
    <w:rsid w:val="00E50655"/>
    <w:rsid w:val="00E548E7"/>
    <w:rsid w:val="00E55532"/>
    <w:rsid w:val="00E6773B"/>
    <w:rsid w:val="00E678D7"/>
    <w:rsid w:val="00E70B7E"/>
    <w:rsid w:val="00E71937"/>
    <w:rsid w:val="00E77C0F"/>
    <w:rsid w:val="00E804DD"/>
    <w:rsid w:val="00E81FE7"/>
    <w:rsid w:val="00E82BD6"/>
    <w:rsid w:val="00E830A1"/>
    <w:rsid w:val="00E83D0F"/>
    <w:rsid w:val="00E848EC"/>
    <w:rsid w:val="00E84C1F"/>
    <w:rsid w:val="00E852D5"/>
    <w:rsid w:val="00E8656A"/>
    <w:rsid w:val="00E9137E"/>
    <w:rsid w:val="00E92658"/>
    <w:rsid w:val="00E958B9"/>
    <w:rsid w:val="00E95BEA"/>
    <w:rsid w:val="00E96C46"/>
    <w:rsid w:val="00E97DCF"/>
    <w:rsid w:val="00EA1721"/>
    <w:rsid w:val="00EA177C"/>
    <w:rsid w:val="00EA1C6F"/>
    <w:rsid w:val="00EA3F32"/>
    <w:rsid w:val="00EA43BC"/>
    <w:rsid w:val="00EA55C6"/>
    <w:rsid w:val="00EA780A"/>
    <w:rsid w:val="00EA7FD0"/>
    <w:rsid w:val="00EB1452"/>
    <w:rsid w:val="00EB1A58"/>
    <w:rsid w:val="00EB2DE1"/>
    <w:rsid w:val="00EB3671"/>
    <w:rsid w:val="00EB4FE9"/>
    <w:rsid w:val="00EB51E4"/>
    <w:rsid w:val="00EB7618"/>
    <w:rsid w:val="00EC0675"/>
    <w:rsid w:val="00EC0F74"/>
    <w:rsid w:val="00EC4402"/>
    <w:rsid w:val="00EC45B9"/>
    <w:rsid w:val="00EC4BE8"/>
    <w:rsid w:val="00EC643E"/>
    <w:rsid w:val="00EC6D4A"/>
    <w:rsid w:val="00EC7425"/>
    <w:rsid w:val="00ED48D4"/>
    <w:rsid w:val="00ED5267"/>
    <w:rsid w:val="00ED7FD1"/>
    <w:rsid w:val="00EE00CA"/>
    <w:rsid w:val="00EE2113"/>
    <w:rsid w:val="00EE508D"/>
    <w:rsid w:val="00EE6C37"/>
    <w:rsid w:val="00EF1833"/>
    <w:rsid w:val="00EF39B3"/>
    <w:rsid w:val="00EF6333"/>
    <w:rsid w:val="00EF69E9"/>
    <w:rsid w:val="00EF6CAF"/>
    <w:rsid w:val="00EF6D9B"/>
    <w:rsid w:val="00EF6F5C"/>
    <w:rsid w:val="00EF74B1"/>
    <w:rsid w:val="00EF7818"/>
    <w:rsid w:val="00F00EF0"/>
    <w:rsid w:val="00F02B64"/>
    <w:rsid w:val="00F02CD8"/>
    <w:rsid w:val="00F04D23"/>
    <w:rsid w:val="00F11033"/>
    <w:rsid w:val="00F11D7C"/>
    <w:rsid w:val="00F122F0"/>
    <w:rsid w:val="00F13A53"/>
    <w:rsid w:val="00F1613F"/>
    <w:rsid w:val="00F16FD1"/>
    <w:rsid w:val="00F17C1F"/>
    <w:rsid w:val="00F20540"/>
    <w:rsid w:val="00F20AF2"/>
    <w:rsid w:val="00F21038"/>
    <w:rsid w:val="00F22BFF"/>
    <w:rsid w:val="00F24F6E"/>
    <w:rsid w:val="00F2541F"/>
    <w:rsid w:val="00F27980"/>
    <w:rsid w:val="00F3118C"/>
    <w:rsid w:val="00F312CF"/>
    <w:rsid w:val="00F3230D"/>
    <w:rsid w:val="00F32357"/>
    <w:rsid w:val="00F33330"/>
    <w:rsid w:val="00F34D21"/>
    <w:rsid w:val="00F40914"/>
    <w:rsid w:val="00F41AA2"/>
    <w:rsid w:val="00F42F8C"/>
    <w:rsid w:val="00F4364E"/>
    <w:rsid w:val="00F454A9"/>
    <w:rsid w:val="00F459E6"/>
    <w:rsid w:val="00F46BAA"/>
    <w:rsid w:val="00F52734"/>
    <w:rsid w:val="00F551CE"/>
    <w:rsid w:val="00F5626E"/>
    <w:rsid w:val="00F57BE0"/>
    <w:rsid w:val="00F60C1A"/>
    <w:rsid w:val="00F641FB"/>
    <w:rsid w:val="00F660DB"/>
    <w:rsid w:val="00F661DD"/>
    <w:rsid w:val="00F662B5"/>
    <w:rsid w:val="00F665A4"/>
    <w:rsid w:val="00F6694B"/>
    <w:rsid w:val="00F70146"/>
    <w:rsid w:val="00F708B9"/>
    <w:rsid w:val="00F70F99"/>
    <w:rsid w:val="00F719C9"/>
    <w:rsid w:val="00F72170"/>
    <w:rsid w:val="00F730AB"/>
    <w:rsid w:val="00F7315A"/>
    <w:rsid w:val="00F73812"/>
    <w:rsid w:val="00F746CE"/>
    <w:rsid w:val="00F76666"/>
    <w:rsid w:val="00F831DB"/>
    <w:rsid w:val="00F84B2C"/>
    <w:rsid w:val="00F84F17"/>
    <w:rsid w:val="00F8629D"/>
    <w:rsid w:val="00F86FEF"/>
    <w:rsid w:val="00F874D8"/>
    <w:rsid w:val="00F87654"/>
    <w:rsid w:val="00F917FA"/>
    <w:rsid w:val="00F928CD"/>
    <w:rsid w:val="00F966E5"/>
    <w:rsid w:val="00FA04C5"/>
    <w:rsid w:val="00FA1171"/>
    <w:rsid w:val="00FA1CA2"/>
    <w:rsid w:val="00FA467E"/>
    <w:rsid w:val="00FA5DF5"/>
    <w:rsid w:val="00FA6D15"/>
    <w:rsid w:val="00FA6DB0"/>
    <w:rsid w:val="00FA6E7C"/>
    <w:rsid w:val="00FA7B3B"/>
    <w:rsid w:val="00FB1BA0"/>
    <w:rsid w:val="00FB53A3"/>
    <w:rsid w:val="00FB5A76"/>
    <w:rsid w:val="00FB5C42"/>
    <w:rsid w:val="00FB724E"/>
    <w:rsid w:val="00FB7E26"/>
    <w:rsid w:val="00FC2481"/>
    <w:rsid w:val="00FC5CB7"/>
    <w:rsid w:val="00FD045B"/>
    <w:rsid w:val="00FD0BD2"/>
    <w:rsid w:val="00FD2789"/>
    <w:rsid w:val="00FD594A"/>
    <w:rsid w:val="00FE01E9"/>
    <w:rsid w:val="00FE121B"/>
    <w:rsid w:val="00FE14B3"/>
    <w:rsid w:val="00FE3BC4"/>
    <w:rsid w:val="00FE4DA3"/>
    <w:rsid w:val="00FE50BD"/>
    <w:rsid w:val="00FF0DB5"/>
    <w:rsid w:val="00FF319B"/>
    <w:rsid w:val="00FF39F8"/>
    <w:rsid w:val="00FF3E2B"/>
    <w:rsid w:val="00FF49C7"/>
    <w:rsid w:val="00FF670A"/>
    <w:rsid w:val="00FF70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62A7F7-9F60-4FA7-A6B5-01474277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148"/>
    <w:rPr>
      <w:sz w:val="24"/>
      <w:szCs w:val="24"/>
      <w:lang w:val="es-ES" w:eastAsia="es-ES"/>
    </w:rPr>
  </w:style>
  <w:style w:type="paragraph" w:styleId="Ttulo1">
    <w:name w:val="heading 1"/>
    <w:basedOn w:val="Normal"/>
    <w:next w:val="Normal"/>
    <w:link w:val="Ttulo1Car"/>
    <w:qFormat/>
    <w:rsid w:val="004A494F"/>
    <w:pPr>
      <w:keepNext/>
      <w:spacing w:before="360"/>
      <w:jc w:val="right"/>
      <w:outlineLvl w:val="0"/>
    </w:pPr>
    <w:rPr>
      <w:rFonts w:ascii="Arial" w:hAnsi="Arial" w:cs="Arial"/>
      <w:b/>
      <w:bCs/>
    </w:rPr>
  </w:style>
  <w:style w:type="paragraph" w:styleId="Ttulo2">
    <w:name w:val="heading 2"/>
    <w:basedOn w:val="Normal"/>
    <w:next w:val="Normal"/>
    <w:qFormat/>
    <w:rsid w:val="00B509DC"/>
    <w:pPr>
      <w:keepNext/>
      <w:spacing w:before="360"/>
      <w:jc w:val="both"/>
      <w:outlineLvl w:val="1"/>
    </w:pPr>
    <w:rPr>
      <w:rFonts w:ascii="Arial" w:hAnsi="Arial"/>
      <w:i/>
      <w:szCs w:val="20"/>
    </w:rPr>
  </w:style>
  <w:style w:type="paragraph" w:styleId="Ttulo3">
    <w:name w:val="heading 3"/>
    <w:basedOn w:val="Normal"/>
    <w:next w:val="Normal"/>
    <w:link w:val="Ttulo3Car"/>
    <w:qFormat/>
    <w:rsid w:val="00B509DC"/>
    <w:pPr>
      <w:keepNext/>
      <w:spacing w:before="240"/>
      <w:jc w:val="both"/>
      <w:outlineLvl w:val="2"/>
    </w:pPr>
    <w:rPr>
      <w:b/>
      <w:szCs w:val="20"/>
    </w:rPr>
  </w:style>
  <w:style w:type="paragraph" w:styleId="Ttulo4">
    <w:name w:val="heading 4"/>
    <w:basedOn w:val="Normal"/>
    <w:next w:val="Normal"/>
    <w:qFormat/>
    <w:rsid w:val="001D6523"/>
    <w:pPr>
      <w:keepNext/>
      <w:outlineLvl w:val="3"/>
    </w:pPr>
    <w:rPr>
      <w:rFonts w:ascii="Arial Narrow" w:hAnsi="Arial Narrow"/>
      <w:szCs w:val="20"/>
    </w:rPr>
  </w:style>
  <w:style w:type="paragraph" w:styleId="Ttulo5">
    <w:name w:val="heading 5"/>
    <w:basedOn w:val="Normal"/>
    <w:next w:val="Normal"/>
    <w:qFormat/>
    <w:rsid w:val="001D6523"/>
    <w:pPr>
      <w:keepNext/>
      <w:outlineLvl w:val="4"/>
    </w:pPr>
    <w:rPr>
      <w:rFonts w:ascii="Arial Narrow" w:hAnsi="Arial Narrow"/>
      <w:b/>
      <w:szCs w:val="20"/>
    </w:rPr>
  </w:style>
  <w:style w:type="paragraph" w:styleId="Ttulo6">
    <w:name w:val="heading 6"/>
    <w:basedOn w:val="Normal"/>
    <w:next w:val="Normal"/>
    <w:qFormat/>
    <w:rsid w:val="001D6523"/>
    <w:pPr>
      <w:keepNext/>
      <w:spacing w:line="360" w:lineRule="auto"/>
      <w:jc w:val="both"/>
      <w:outlineLvl w:val="5"/>
    </w:pPr>
    <w:rPr>
      <w:rFonts w:ascii="Arial" w:hAnsi="Arial" w:cs="Arial"/>
      <w:b/>
      <w:sz w:val="22"/>
    </w:rPr>
  </w:style>
  <w:style w:type="paragraph" w:styleId="Ttulo7">
    <w:name w:val="heading 7"/>
    <w:basedOn w:val="Normal"/>
    <w:next w:val="Normal"/>
    <w:qFormat/>
    <w:rsid w:val="001D6523"/>
    <w:pPr>
      <w:keepNext/>
      <w:jc w:val="center"/>
      <w:outlineLvl w:val="6"/>
    </w:pPr>
    <w:rPr>
      <w:rFonts w:ascii="Arial" w:hAnsi="Arial" w:cs="Arial"/>
      <w:b/>
      <w:bCs/>
      <w:snapToGrid w:val="0"/>
      <w:sz w:val="22"/>
    </w:rPr>
  </w:style>
  <w:style w:type="paragraph" w:styleId="Ttulo8">
    <w:name w:val="heading 8"/>
    <w:basedOn w:val="Normal"/>
    <w:next w:val="Normal"/>
    <w:qFormat/>
    <w:rsid w:val="001D6523"/>
    <w:pPr>
      <w:keepNext/>
      <w:spacing w:line="360" w:lineRule="auto"/>
      <w:ind w:firstLine="2268"/>
      <w:jc w:val="both"/>
      <w:outlineLvl w:val="7"/>
    </w:pPr>
    <w:rPr>
      <w:rFonts w:ascii="Arial" w:hAnsi="Arial" w:cs="Arial"/>
      <w:snapToGrid w:val="0"/>
      <w:sz w:val="22"/>
      <w:u w:val="singl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1D6523"/>
    <w:pPr>
      <w:spacing w:line="360" w:lineRule="auto"/>
      <w:jc w:val="both"/>
    </w:pPr>
    <w:rPr>
      <w:rFonts w:ascii="Arial" w:hAnsi="Arial" w:cs="Arial"/>
      <w:sz w:val="22"/>
    </w:rPr>
  </w:style>
  <w:style w:type="paragraph" w:styleId="Sangra2detindependiente">
    <w:name w:val="Body Text Indent 2"/>
    <w:basedOn w:val="Normal"/>
    <w:rsid w:val="001D6523"/>
    <w:pPr>
      <w:ind w:right="51" w:firstLine="1418"/>
      <w:jc w:val="both"/>
    </w:pPr>
    <w:rPr>
      <w:rFonts w:ascii="Arial" w:hAnsi="Arial" w:cs="Arial"/>
      <w:szCs w:val="20"/>
      <w:lang w:val="es-ES_tradnl"/>
    </w:rPr>
  </w:style>
  <w:style w:type="paragraph" w:styleId="Textoindependiente">
    <w:name w:val="Body Text"/>
    <w:basedOn w:val="Normal"/>
    <w:rsid w:val="001D6523"/>
    <w:pPr>
      <w:tabs>
        <w:tab w:val="left" w:pos="2340"/>
      </w:tabs>
    </w:pPr>
    <w:rPr>
      <w:rFonts w:ascii="Arial" w:hAnsi="Arial" w:cs="Arial"/>
      <w:sz w:val="22"/>
    </w:rPr>
  </w:style>
  <w:style w:type="paragraph" w:styleId="Textoindependiente3">
    <w:name w:val="Body Text 3"/>
    <w:basedOn w:val="Normal"/>
    <w:rsid w:val="001D6523"/>
    <w:pPr>
      <w:tabs>
        <w:tab w:val="left" w:pos="2340"/>
      </w:tabs>
      <w:jc w:val="both"/>
    </w:pPr>
    <w:rPr>
      <w:rFonts w:ascii="Arial" w:hAnsi="Arial" w:cs="Arial"/>
      <w:b/>
      <w:bCs/>
      <w:sz w:val="22"/>
    </w:rPr>
  </w:style>
  <w:style w:type="paragraph" w:styleId="Textonotapie">
    <w:name w:val="footnote text"/>
    <w:aliases w:val="Footnote Text Char Char Char Char,Footnote Text Char Char Char,Footnote Text.SES,Footnote Text Char Char Char Char Char,Footnote reference,FA Fu,Footnote Text Char,Footnote Text Char Char Char Char Char Char Char Char"/>
    <w:basedOn w:val="Normal"/>
    <w:link w:val="TextonotapieCar"/>
    <w:uiPriority w:val="99"/>
    <w:rsid w:val="001D6523"/>
    <w:rPr>
      <w:sz w:val="20"/>
      <w:szCs w:val="20"/>
    </w:rPr>
  </w:style>
  <w:style w:type="character" w:styleId="Refdenotaalpie">
    <w:name w:val="footnote reference"/>
    <w:uiPriority w:val="99"/>
    <w:rsid w:val="001D6523"/>
    <w:rPr>
      <w:vertAlign w:val="superscript"/>
    </w:rPr>
  </w:style>
  <w:style w:type="paragraph" w:styleId="Encabezado">
    <w:name w:val="header"/>
    <w:basedOn w:val="Normal"/>
    <w:link w:val="EncabezadoCar"/>
    <w:rsid w:val="001D6523"/>
    <w:pPr>
      <w:tabs>
        <w:tab w:val="center" w:pos="4419"/>
        <w:tab w:val="right" w:pos="8838"/>
      </w:tabs>
    </w:pPr>
  </w:style>
  <w:style w:type="paragraph" w:styleId="Piedepgina">
    <w:name w:val="footer"/>
    <w:basedOn w:val="Normal"/>
    <w:link w:val="PiedepginaCar"/>
    <w:uiPriority w:val="99"/>
    <w:rsid w:val="001D6523"/>
    <w:pPr>
      <w:tabs>
        <w:tab w:val="center" w:pos="4419"/>
        <w:tab w:val="right" w:pos="8838"/>
      </w:tabs>
    </w:pPr>
  </w:style>
  <w:style w:type="character" w:styleId="Nmerodepgina">
    <w:name w:val="page number"/>
    <w:basedOn w:val="Fuentedeprrafopredeter"/>
    <w:rsid w:val="001D6523"/>
  </w:style>
  <w:style w:type="paragraph" w:styleId="Sangradetextonormal">
    <w:name w:val="Body Text Indent"/>
    <w:basedOn w:val="Normal"/>
    <w:rsid w:val="001D6523"/>
    <w:pPr>
      <w:spacing w:before="120" w:after="120" w:line="360" w:lineRule="auto"/>
      <w:ind w:firstLine="709"/>
      <w:jc w:val="both"/>
    </w:pPr>
    <w:rPr>
      <w:rFonts w:ascii="Arial" w:hAnsi="Arial"/>
      <w:sz w:val="22"/>
    </w:rPr>
  </w:style>
  <w:style w:type="paragraph" w:styleId="Sangra3detindependiente">
    <w:name w:val="Body Text Indent 3"/>
    <w:basedOn w:val="Normal"/>
    <w:rsid w:val="001D6523"/>
    <w:pPr>
      <w:spacing w:line="360" w:lineRule="auto"/>
      <w:ind w:firstLine="2268"/>
      <w:jc w:val="both"/>
    </w:pPr>
    <w:rPr>
      <w:rFonts w:ascii="Arial" w:hAnsi="Arial" w:cs="Arial"/>
      <w:sz w:val="22"/>
    </w:rPr>
  </w:style>
  <w:style w:type="paragraph" w:styleId="Textodebloque">
    <w:name w:val="Block Text"/>
    <w:basedOn w:val="Normal"/>
    <w:rsid w:val="001D6523"/>
    <w:pPr>
      <w:spacing w:line="360" w:lineRule="auto"/>
      <w:ind w:left="1260" w:right="2000"/>
      <w:jc w:val="both"/>
    </w:pPr>
    <w:rPr>
      <w:rFonts w:ascii="Arial" w:hAnsi="Arial" w:cs="Arial"/>
      <w:snapToGrid w:val="0"/>
      <w:sz w:val="22"/>
    </w:rPr>
  </w:style>
  <w:style w:type="paragraph" w:styleId="Textocomentario">
    <w:name w:val="annotation text"/>
    <w:basedOn w:val="Normal"/>
    <w:semiHidden/>
    <w:rsid w:val="001D6523"/>
    <w:rPr>
      <w:sz w:val="20"/>
      <w:szCs w:val="20"/>
    </w:rPr>
  </w:style>
  <w:style w:type="character" w:styleId="Refdecomentario">
    <w:name w:val="annotation reference"/>
    <w:semiHidden/>
    <w:rsid w:val="001D6523"/>
    <w:rPr>
      <w:sz w:val="16"/>
    </w:rPr>
  </w:style>
  <w:style w:type="paragraph" w:customStyle="1" w:styleId="personal">
    <w:name w:val="personal"/>
    <w:basedOn w:val="Normal"/>
    <w:rsid w:val="001D6523"/>
    <w:pPr>
      <w:jc w:val="both"/>
    </w:pPr>
    <w:rPr>
      <w:rFonts w:ascii="Arial" w:hAnsi="Arial"/>
      <w:spacing w:val="6"/>
      <w:szCs w:val="20"/>
      <w:lang w:val="es-ES_tradnl"/>
    </w:rPr>
  </w:style>
  <w:style w:type="paragraph" w:styleId="Textodeglobo">
    <w:name w:val="Balloon Text"/>
    <w:basedOn w:val="Normal"/>
    <w:link w:val="TextodegloboCar"/>
    <w:rsid w:val="00366BE4"/>
    <w:rPr>
      <w:rFonts w:ascii="Tahoma" w:hAnsi="Tahoma" w:cs="Tahoma"/>
      <w:sz w:val="16"/>
      <w:szCs w:val="16"/>
    </w:rPr>
  </w:style>
  <w:style w:type="character" w:styleId="Hipervnculo">
    <w:name w:val="Hyperlink"/>
    <w:uiPriority w:val="99"/>
    <w:rsid w:val="00F02CD8"/>
    <w:rPr>
      <w:color w:val="0000FF"/>
      <w:u w:val="single"/>
    </w:rPr>
  </w:style>
  <w:style w:type="paragraph" w:styleId="TDC1">
    <w:name w:val="toc 1"/>
    <w:basedOn w:val="Normal"/>
    <w:next w:val="Normal"/>
    <w:autoRedefine/>
    <w:uiPriority w:val="39"/>
    <w:rsid w:val="00272722"/>
    <w:pPr>
      <w:spacing w:before="120" w:after="120"/>
    </w:pPr>
    <w:rPr>
      <w:rFonts w:ascii="Calibri" w:hAnsi="Calibri"/>
      <w:b/>
      <w:bCs/>
      <w:caps/>
      <w:sz w:val="20"/>
      <w:szCs w:val="20"/>
    </w:rPr>
  </w:style>
  <w:style w:type="paragraph" w:styleId="TDC2">
    <w:name w:val="toc 2"/>
    <w:basedOn w:val="Normal"/>
    <w:next w:val="Normal"/>
    <w:autoRedefine/>
    <w:uiPriority w:val="39"/>
    <w:rsid w:val="00272722"/>
    <w:pPr>
      <w:ind w:left="240"/>
    </w:pPr>
    <w:rPr>
      <w:rFonts w:ascii="Calibri" w:hAnsi="Calibri"/>
      <w:smallCaps/>
      <w:sz w:val="20"/>
      <w:szCs w:val="20"/>
    </w:rPr>
  </w:style>
  <w:style w:type="paragraph" w:styleId="TDC3">
    <w:name w:val="toc 3"/>
    <w:basedOn w:val="Normal"/>
    <w:next w:val="Normal"/>
    <w:autoRedefine/>
    <w:uiPriority w:val="39"/>
    <w:rsid w:val="00272722"/>
    <w:pPr>
      <w:ind w:left="480"/>
    </w:pPr>
    <w:rPr>
      <w:rFonts w:ascii="Calibri" w:hAnsi="Calibri"/>
      <w:i/>
      <w:iCs/>
      <w:sz w:val="20"/>
      <w:szCs w:val="20"/>
    </w:rPr>
  </w:style>
  <w:style w:type="paragraph" w:styleId="TDC4">
    <w:name w:val="toc 4"/>
    <w:basedOn w:val="Normal"/>
    <w:next w:val="Normal"/>
    <w:autoRedefine/>
    <w:semiHidden/>
    <w:rsid w:val="00272722"/>
    <w:pPr>
      <w:ind w:left="720"/>
    </w:pPr>
    <w:rPr>
      <w:rFonts w:ascii="Calibri" w:hAnsi="Calibri"/>
      <w:sz w:val="18"/>
      <w:szCs w:val="18"/>
    </w:rPr>
  </w:style>
  <w:style w:type="paragraph" w:styleId="TDC5">
    <w:name w:val="toc 5"/>
    <w:basedOn w:val="Normal"/>
    <w:next w:val="Normal"/>
    <w:autoRedefine/>
    <w:semiHidden/>
    <w:rsid w:val="00272722"/>
    <w:pPr>
      <w:ind w:left="960"/>
    </w:pPr>
    <w:rPr>
      <w:rFonts w:ascii="Calibri" w:hAnsi="Calibri"/>
      <w:sz w:val="18"/>
      <w:szCs w:val="18"/>
    </w:rPr>
  </w:style>
  <w:style w:type="paragraph" w:styleId="TDC6">
    <w:name w:val="toc 6"/>
    <w:basedOn w:val="Normal"/>
    <w:next w:val="Normal"/>
    <w:autoRedefine/>
    <w:semiHidden/>
    <w:rsid w:val="00272722"/>
    <w:pPr>
      <w:ind w:left="1200"/>
    </w:pPr>
    <w:rPr>
      <w:rFonts w:ascii="Calibri" w:hAnsi="Calibri"/>
      <w:sz w:val="18"/>
      <w:szCs w:val="18"/>
    </w:rPr>
  </w:style>
  <w:style w:type="paragraph" w:styleId="TDC7">
    <w:name w:val="toc 7"/>
    <w:basedOn w:val="Normal"/>
    <w:next w:val="Normal"/>
    <w:autoRedefine/>
    <w:semiHidden/>
    <w:rsid w:val="00272722"/>
    <w:pPr>
      <w:ind w:left="1440"/>
    </w:pPr>
    <w:rPr>
      <w:rFonts w:ascii="Calibri" w:hAnsi="Calibri"/>
      <w:sz w:val="18"/>
      <w:szCs w:val="18"/>
    </w:rPr>
  </w:style>
  <w:style w:type="paragraph" w:styleId="TDC8">
    <w:name w:val="toc 8"/>
    <w:basedOn w:val="Normal"/>
    <w:next w:val="Normal"/>
    <w:autoRedefine/>
    <w:semiHidden/>
    <w:rsid w:val="00272722"/>
    <w:pPr>
      <w:ind w:left="1680"/>
    </w:pPr>
    <w:rPr>
      <w:rFonts w:ascii="Calibri" w:hAnsi="Calibri"/>
      <w:sz w:val="18"/>
      <w:szCs w:val="18"/>
    </w:rPr>
  </w:style>
  <w:style w:type="paragraph" w:styleId="TDC9">
    <w:name w:val="toc 9"/>
    <w:basedOn w:val="Normal"/>
    <w:next w:val="Normal"/>
    <w:autoRedefine/>
    <w:semiHidden/>
    <w:rsid w:val="00272722"/>
    <w:pPr>
      <w:ind w:left="1920"/>
    </w:pPr>
    <w:rPr>
      <w:rFonts w:ascii="Calibri" w:hAnsi="Calibri"/>
      <w:sz w:val="18"/>
      <w:szCs w:val="18"/>
    </w:rPr>
  </w:style>
  <w:style w:type="paragraph" w:styleId="TtulodeTDC">
    <w:name w:val="TOC Heading"/>
    <w:basedOn w:val="Ttulo1"/>
    <w:next w:val="Normal"/>
    <w:uiPriority w:val="39"/>
    <w:unhideWhenUsed/>
    <w:qFormat/>
    <w:rsid w:val="00D826F1"/>
    <w:pPr>
      <w:keepLines/>
      <w:spacing w:before="240" w:line="259" w:lineRule="auto"/>
      <w:jc w:val="left"/>
      <w:outlineLvl w:val="9"/>
    </w:pPr>
    <w:rPr>
      <w:rFonts w:ascii="Calibri Light" w:hAnsi="Calibri Light" w:cs="Times New Roman"/>
      <w:b w:val="0"/>
      <w:bCs w:val="0"/>
      <w:color w:val="2E74B5"/>
      <w:sz w:val="32"/>
      <w:szCs w:val="32"/>
      <w:lang w:val="es-CL" w:eastAsia="es-CL"/>
    </w:rPr>
  </w:style>
  <w:style w:type="character" w:styleId="Hipervnculovisitado">
    <w:name w:val="FollowedHyperlink"/>
    <w:rsid w:val="00AA5C5F"/>
    <w:rPr>
      <w:color w:val="954F72"/>
      <w:u w:val="single"/>
    </w:rPr>
  </w:style>
  <w:style w:type="table" w:customStyle="1" w:styleId="Tabladelista1clara-nfasis31">
    <w:name w:val="Tabla de lista 1 clara - Énfasis 31"/>
    <w:basedOn w:val="Tablanormal"/>
    <w:uiPriority w:val="46"/>
    <w:rsid w:val="00FB5A76"/>
    <w:rPr>
      <w:rFonts w:ascii="Calibri" w:eastAsia="Calibri" w:hAnsi="Calibri"/>
      <w:sz w:val="22"/>
      <w:szCs w:val="22"/>
      <w:lang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harChar">
    <w:name w:val="Char Char"/>
    <w:basedOn w:val="Normal"/>
    <w:rsid w:val="00F708B9"/>
    <w:pPr>
      <w:spacing w:after="160" w:line="240" w:lineRule="exact"/>
      <w:ind w:left="500"/>
      <w:jc w:val="center"/>
    </w:pPr>
    <w:rPr>
      <w:rFonts w:ascii="Verdana" w:hAnsi="Verdana" w:cs="Arial"/>
      <w:b/>
      <w:sz w:val="20"/>
      <w:szCs w:val="20"/>
      <w:lang w:val="es-VE" w:eastAsia="en-US"/>
    </w:rPr>
  </w:style>
  <w:style w:type="character" w:customStyle="1" w:styleId="Ttulo3Car">
    <w:name w:val="Título 3 Car"/>
    <w:link w:val="Ttulo3"/>
    <w:rsid w:val="00056AFD"/>
    <w:rPr>
      <w:b/>
      <w:sz w:val="24"/>
      <w:lang w:val="es-ES" w:eastAsia="es-ES"/>
    </w:rPr>
  </w:style>
  <w:style w:type="character" w:customStyle="1" w:styleId="EncabezadoCar">
    <w:name w:val="Encabezado Car"/>
    <w:link w:val="Encabezado"/>
    <w:uiPriority w:val="99"/>
    <w:rsid w:val="007E4148"/>
    <w:rPr>
      <w:sz w:val="24"/>
      <w:szCs w:val="24"/>
      <w:lang w:val="es-ES" w:eastAsia="es-ES"/>
    </w:rPr>
  </w:style>
  <w:style w:type="character" w:customStyle="1" w:styleId="Textoindependiente2Car">
    <w:name w:val="Texto independiente 2 Car"/>
    <w:link w:val="Textoindependiente2"/>
    <w:rsid w:val="00E32FC6"/>
    <w:rPr>
      <w:rFonts w:ascii="Arial" w:hAnsi="Arial" w:cs="Arial"/>
      <w:sz w:val="22"/>
      <w:szCs w:val="24"/>
      <w:lang w:val="es-ES" w:eastAsia="es-ES"/>
    </w:rPr>
  </w:style>
  <w:style w:type="paragraph" w:styleId="Sinespaciado">
    <w:name w:val="No Spacing"/>
    <w:uiPriority w:val="1"/>
    <w:qFormat/>
    <w:rsid w:val="00974678"/>
    <w:rPr>
      <w:rFonts w:ascii="Calibri" w:eastAsia="Calibri" w:hAnsi="Calibri"/>
      <w:sz w:val="22"/>
      <w:szCs w:val="22"/>
      <w:lang w:eastAsia="en-US"/>
    </w:rPr>
  </w:style>
  <w:style w:type="paragraph" w:styleId="Prrafodelista">
    <w:name w:val="List Paragraph"/>
    <w:aliases w:val="Bullet List,FooterText,numbered,List Paragraph1,Paragraphe de liste1,Bulletr List Paragraph,列出段落,列出段落1,List Paragraph2,List Paragraph21,Listeafsnit1,Parágrafo da Lista1,リスト段落1,Bullet list,List Paragraph11,Listenabsatz1"/>
    <w:basedOn w:val="Normal"/>
    <w:link w:val="PrrafodelistaCar"/>
    <w:uiPriority w:val="34"/>
    <w:qFormat/>
    <w:rsid w:val="0056196E"/>
    <w:pPr>
      <w:spacing w:after="160" w:line="259" w:lineRule="auto"/>
      <w:ind w:left="720"/>
      <w:contextualSpacing/>
    </w:pPr>
    <w:rPr>
      <w:rFonts w:ascii="Calibri" w:eastAsia="Calibri" w:hAnsi="Calibri"/>
      <w:sz w:val="22"/>
      <w:szCs w:val="22"/>
      <w:lang w:val="es-CL" w:eastAsia="en-US"/>
    </w:rPr>
  </w:style>
  <w:style w:type="paragraph" w:customStyle="1" w:styleId="Estilo3">
    <w:name w:val="Estilo3"/>
    <w:basedOn w:val="Normal"/>
    <w:link w:val="Estilo3Car"/>
    <w:qFormat/>
    <w:rsid w:val="00344B7E"/>
    <w:pPr>
      <w:widowControl w:val="0"/>
      <w:autoSpaceDE w:val="0"/>
      <w:autoSpaceDN w:val="0"/>
      <w:adjustRightInd w:val="0"/>
      <w:jc w:val="both"/>
    </w:pPr>
    <w:rPr>
      <w:rFonts w:ascii="Verdana" w:hAnsi="Verdana"/>
      <w:sz w:val="22"/>
      <w:szCs w:val="22"/>
      <w:lang w:val="es-ES_tradnl"/>
    </w:rPr>
  </w:style>
  <w:style w:type="character" w:customStyle="1" w:styleId="Estilo3Car">
    <w:name w:val="Estilo3 Car"/>
    <w:link w:val="Estilo3"/>
    <w:rsid w:val="00344B7E"/>
    <w:rPr>
      <w:rFonts w:ascii="Verdana" w:hAnsi="Verdana"/>
      <w:sz w:val="22"/>
      <w:szCs w:val="22"/>
      <w:lang w:val="es-ES_tradnl" w:eastAsia="es-ES"/>
    </w:rPr>
  </w:style>
  <w:style w:type="character" w:customStyle="1" w:styleId="TextonotapieCar">
    <w:name w:val="Texto nota pie Car"/>
    <w:aliases w:val="Footnote Text Char Char Char Char Car,Footnote Text Char Char Char Car,Footnote Text.SES Car,Footnote Text Char Char Char Char Char Car,Footnote reference Car,FA Fu Car,Footnote Text Char Car"/>
    <w:basedOn w:val="Fuentedeprrafopredeter"/>
    <w:link w:val="Textonotapie"/>
    <w:uiPriority w:val="99"/>
    <w:rsid w:val="00344B7E"/>
    <w:rPr>
      <w:lang w:val="es-ES" w:eastAsia="es-ES"/>
    </w:rPr>
  </w:style>
  <w:style w:type="character" w:customStyle="1" w:styleId="PiedepginaCar">
    <w:name w:val="Pie de página Car"/>
    <w:basedOn w:val="Fuentedeprrafopredeter"/>
    <w:link w:val="Piedepgina"/>
    <w:uiPriority w:val="99"/>
    <w:rsid w:val="006746C7"/>
    <w:rPr>
      <w:sz w:val="24"/>
      <w:szCs w:val="24"/>
      <w:lang w:val="es-ES" w:eastAsia="es-ES"/>
    </w:rPr>
  </w:style>
  <w:style w:type="character" w:customStyle="1" w:styleId="TextodegloboCar">
    <w:name w:val="Texto de globo Car"/>
    <w:basedOn w:val="Fuentedeprrafopredeter"/>
    <w:link w:val="Textodeglobo"/>
    <w:uiPriority w:val="99"/>
    <w:semiHidden/>
    <w:rsid w:val="006746C7"/>
    <w:rPr>
      <w:rFonts w:ascii="Tahoma" w:hAnsi="Tahoma" w:cs="Tahoma"/>
      <w:sz w:val="16"/>
      <w:szCs w:val="16"/>
      <w:lang w:val="es-ES" w:eastAsia="es-ES"/>
    </w:rPr>
  </w:style>
  <w:style w:type="table" w:styleId="Tablaconcuadrcula">
    <w:name w:val="Table Grid"/>
    <w:basedOn w:val="Tablanormal"/>
    <w:rsid w:val="006746C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61E0"/>
  </w:style>
  <w:style w:type="table" w:customStyle="1" w:styleId="Tablaconcuadrcula1">
    <w:name w:val="Tabla con cuadrícula1"/>
    <w:basedOn w:val="Tablanormal"/>
    <w:uiPriority w:val="39"/>
    <w:rsid w:val="00B361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next w:val="Textodeglobo"/>
    <w:uiPriority w:val="99"/>
    <w:semiHidden/>
    <w:unhideWhenUsed/>
    <w:rsid w:val="00B361E0"/>
    <w:rPr>
      <w:rFonts w:ascii="Segoe UI" w:hAnsi="Segoe UI" w:cs="Segoe UI"/>
      <w:sz w:val="18"/>
      <w:szCs w:val="18"/>
    </w:rPr>
  </w:style>
  <w:style w:type="paragraph" w:customStyle="1" w:styleId="Encabezado1">
    <w:name w:val="Encabezado1"/>
    <w:basedOn w:val="Normal"/>
    <w:next w:val="Encabezado"/>
    <w:uiPriority w:val="99"/>
    <w:unhideWhenUsed/>
    <w:rsid w:val="00B361E0"/>
    <w:pPr>
      <w:tabs>
        <w:tab w:val="center" w:pos="4419"/>
        <w:tab w:val="right" w:pos="8838"/>
      </w:tabs>
    </w:pPr>
    <w:rPr>
      <w:rFonts w:ascii="Calibri" w:eastAsia="Calibri" w:hAnsi="Calibri"/>
      <w:sz w:val="22"/>
      <w:szCs w:val="22"/>
      <w:lang w:val="es-CL" w:eastAsia="en-US"/>
    </w:rPr>
  </w:style>
  <w:style w:type="paragraph" w:customStyle="1" w:styleId="Piedepgina1">
    <w:name w:val="Pie de página1"/>
    <w:basedOn w:val="Normal"/>
    <w:next w:val="Piedepgina"/>
    <w:uiPriority w:val="99"/>
    <w:unhideWhenUsed/>
    <w:rsid w:val="00B361E0"/>
    <w:pPr>
      <w:tabs>
        <w:tab w:val="center" w:pos="4419"/>
        <w:tab w:val="right" w:pos="8838"/>
      </w:tabs>
    </w:pPr>
    <w:rPr>
      <w:rFonts w:ascii="Calibri" w:eastAsia="Calibri" w:hAnsi="Calibri"/>
      <w:sz w:val="22"/>
      <w:szCs w:val="22"/>
      <w:lang w:val="es-CL" w:eastAsia="en-US"/>
    </w:rPr>
  </w:style>
  <w:style w:type="paragraph" w:customStyle="1" w:styleId="Prrafodelista1">
    <w:name w:val="Párrafo de lista1"/>
    <w:basedOn w:val="Normal"/>
    <w:next w:val="Prrafodelista"/>
    <w:uiPriority w:val="34"/>
    <w:qFormat/>
    <w:rsid w:val="00B361E0"/>
    <w:pPr>
      <w:spacing w:after="160" w:line="259" w:lineRule="auto"/>
      <w:ind w:left="720"/>
      <w:contextualSpacing/>
    </w:pPr>
    <w:rPr>
      <w:rFonts w:ascii="Calibri" w:eastAsia="Calibri" w:hAnsi="Calibri"/>
      <w:sz w:val="22"/>
      <w:szCs w:val="22"/>
      <w:lang w:val="es-CL" w:eastAsia="en-US"/>
    </w:rPr>
  </w:style>
  <w:style w:type="paragraph" w:customStyle="1" w:styleId="Textonotapie1">
    <w:name w:val="Texto nota pie1"/>
    <w:basedOn w:val="Normal"/>
    <w:next w:val="Textonotapie"/>
    <w:uiPriority w:val="99"/>
    <w:semiHidden/>
    <w:unhideWhenUsed/>
    <w:rsid w:val="00B361E0"/>
    <w:rPr>
      <w:sz w:val="20"/>
      <w:szCs w:val="20"/>
    </w:rPr>
  </w:style>
  <w:style w:type="character" w:customStyle="1" w:styleId="TextodegloboCar1">
    <w:name w:val="Texto de globo Car1"/>
    <w:basedOn w:val="Fuentedeprrafopredeter"/>
    <w:rsid w:val="00B361E0"/>
    <w:rPr>
      <w:rFonts w:ascii="Tahoma" w:hAnsi="Tahoma" w:cs="Tahoma"/>
      <w:sz w:val="16"/>
      <w:szCs w:val="16"/>
    </w:rPr>
  </w:style>
  <w:style w:type="character" w:customStyle="1" w:styleId="EncabezadoCar1">
    <w:name w:val="Encabezado Car1"/>
    <w:basedOn w:val="Fuentedeprrafopredeter"/>
    <w:rsid w:val="00B361E0"/>
    <w:rPr>
      <w:sz w:val="24"/>
      <w:szCs w:val="24"/>
    </w:rPr>
  </w:style>
  <w:style w:type="character" w:customStyle="1" w:styleId="PiedepginaCar1">
    <w:name w:val="Pie de página Car1"/>
    <w:basedOn w:val="Fuentedeprrafopredeter"/>
    <w:rsid w:val="00B361E0"/>
    <w:rPr>
      <w:sz w:val="24"/>
      <w:szCs w:val="24"/>
    </w:rPr>
  </w:style>
  <w:style w:type="character" w:customStyle="1" w:styleId="TextonotapieCar1">
    <w:name w:val="Texto nota pie Car1"/>
    <w:basedOn w:val="Fuentedeprrafopredeter"/>
    <w:rsid w:val="00B361E0"/>
  </w:style>
  <w:style w:type="character" w:customStyle="1" w:styleId="Ttulo1Car">
    <w:name w:val="Título 1 Car"/>
    <w:basedOn w:val="Fuentedeprrafopredeter"/>
    <w:link w:val="Ttulo1"/>
    <w:rsid w:val="00840AF5"/>
    <w:rPr>
      <w:rFonts w:ascii="Arial" w:hAnsi="Arial" w:cs="Arial"/>
      <w:b/>
      <w:bCs/>
      <w:sz w:val="24"/>
      <w:szCs w:val="24"/>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34"/>
    <w:qFormat/>
    <w:locked/>
    <w:rsid w:val="00215D5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829622">
      <w:bodyDiv w:val="1"/>
      <w:marLeft w:val="0"/>
      <w:marRight w:val="0"/>
      <w:marTop w:val="0"/>
      <w:marBottom w:val="0"/>
      <w:divBdr>
        <w:top w:val="none" w:sz="0" w:space="0" w:color="auto"/>
        <w:left w:val="none" w:sz="0" w:space="0" w:color="auto"/>
        <w:bottom w:val="none" w:sz="0" w:space="0" w:color="auto"/>
        <w:right w:val="none" w:sz="0" w:space="0" w:color="auto"/>
      </w:divBdr>
    </w:div>
    <w:div w:id="750664770">
      <w:bodyDiv w:val="1"/>
      <w:marLeft w:val="0"/>
      <w:marRight w:val="0"/>
      <w:marTop w:val="0"/>
      <w:marBottom w:val="0"/>
      <w:divBdr>
        <w:top w:val="none" w:sz="0" w:space="0" w:color="auto"/>
        <w:left w:val="none" w:sz="0" w:space="0" w:color="auto"/>
        <w:bottom w:val="none" w:sz="0" w:space="0" w:color="auto"/>
        <w:right w:val="none" w:sz="0" w:space="0" w:color="auto"/>
      </w:divBdr>
    </w:div>
    <w:div w:id="1050616222">
      <w:bodyDiv w:val="1"/>
      <w:marLeft w:val="0"/>
      <w:marRight w:val="0"/>
      <w:marTop w:val="0"/>
      <w:marBottom w:val="0"/>
      <w:divBdr>
        <w:top w:val="none" w:sz="0" w:space="0" w:color="auto"/>
        <w:left w:val="none" w:sz="0" w:space="0" w:color="auto"/>
        <w:bottom w:val="none" w:sz="0" w:space="0" w:color="auto"/>
        <w:right w:val="none" w:sz="0" w:space="0" w:color="auto"/>
      </w:divBdr>
    </w:div>
    <w:div w:id="1226405936">
      <w:bodyDiv w:val="1"/>
      <w:marLeft w:val="0"/>
      <w:marRight w:val="0"/>
      <w:marTop w:val="0"/>
      <w:marBottom w:val="0"/>
      <w:divBdr>
        <w:top w:val="none" w:sz="0" w:space="0" w:color="auto"/>
        <w:left w:val="none" w:sz="0" w:space="0" w:color="auto"/>
        <w:bottom w:val="none" w:sz="0" w:space="0" w:color="auto"/>
        <w:right w:val="none" w:sz="0" w:space="0" w:color="auto"/>
      </w:divBdr>
    </w:div>
    <w:div w:id="1237595150">
      <w:bodyDiv w:val="1"/>
      <w:marLeft w:val="0"/>
      <w:marRight w:val="0"/>
      <w:marTop w:val="0"/>
      <w:marBottom w:val="0"/>
      <w:divBdr>
        <w:top w:val="none" w:sz="0" w:space="0" w:color="auto"/>
        <w:left w:val="none" w:sz="0" w:space="0" w:color="auto"/>
        <w:bottom w:val="none" w:sz="0" w:space="0" w:color="auto"/>
        <w:right w:val="none" w:sz="0" w:space="0" w:color="auto"/>
      </w:divBdr>
    </w:div>
    <w:div w:id="1263761268">
      <w:bodyDiv w:val="1"/>
      <w:marLeft w:val="0"/>
      <w:marRight w:val="0"/>
      <w:marTop w:val="0"/>
      <w:marBottom w:val="0"/>
      <w:divBdr>
        <w:top w:val="none" w:sz="0" w:space="0" w:color="auto"/>
        <w:left w:val="none" w:sz="0" w:space="0" w:color="auto"/>
        <w:bottom w:val="none" w:sz="0" w:space="0" w:color="auto"/>
        <w:right w:val="none" w:sz="0" w:space="0" w:color="auto"/>
      </w:divBdr>
    </w:div>
    <w:div w:id="1278413608">
      <w:bodyDiv w:val="1"/>
      <w:marLeft w:val="0"/>
      <w:marRight w:val="0"/>
      <w:marTop w:val="0"/>
      <w:marBottom w:val="0"/>
      <w:divBdr>
        <w:top w:val="none" w:sz="0" w:space="0" w:color="auto"/>
        <w:left w:val="none" w:sz="0" w:space="0" w:color="auto"/>
        <w:bottom w:val="none" w:sz="0" w:space="0" w:color="auto"/>
        <w:right w:val="none" w:sz="0" w:space="0" w:color="auto"/>
      </w:divBdr>
    </w:div>
    <w:div w:id="1549993799">
      <w:bodyDiv w:val="1"/>
      <w:marLeft w:val="0"/>
      <w:marRight w:val="0"/>
      <w:marTop w:val="0"/>
      <w:marBottom w:val="0"/>
      <w:divBdr>
        <w:top w:val="none" w:sz="0" w:space="0" w:color="auto"/>
        <w:left w:val="none" w:sz="0" w:space="0" w:color="auto"/>
        <w:bottom w:val="none" w:sz="0" w:space="0" w:color="auto"/>
        <w:right w:val="none" w:sz="0" w:space="0" w:color="auto"/>
      </w:divBdr>
    </w:div>
    <w:div w:id="1564872808">
      <w:bodyDiv w:val="1"/>
      <w:marLeft w:val="0"/>
      <w:marRight w:val="0"/>
      <w:marTop w:val="0"/>
      <w:marBottom w:val="0"/>
      <w:divBdr>
        <w:top w:val="none" w:sz="0" w:space="0" w:color="auto"/>
        <w:left w:val="none" w:sz="0" w:space="0" w:color="auto"/>
        <w:bottom w:val="none" w:sz="0" w:space="0" w:color="auto"/>
        <w:right w:val="none" w:sz="0" w:space="0" w:color="auto"/>
      </w:divBdr>
    </w:div>
    <w:div w:id="1589776831">
      <w:bodyDiv w:val="1"/>
      <w:marLeft w:val="0"/>
      <w:marRight w:val="0"/>
      <w:marTop w:val="0"/>
      <w:marBottom w:val="0"/>
      <w:divBdr>
        <w:top w:val="none" w:sz="0" w:space="0" w:color="auto"/>
        <w:left w:val="none" w:sz="0" w:space="0" w:color="auto"/>
        <w:bottom w:val="none" w:sz="0" w:space="0" w:color="auto"/>
        <w:right w:val="none" w:sz="0" w:space="0" w:color="auto"/>
      </w:divBdr>
    </w:div>
    <w:div w:id="1873296920">
      <w:bodyDiv w:val="1"/>
      <w:marLeft w:val="0"/>
      <w:marRight w:val="0"/>
      <w:marTop w:val="0"/>
      <w:marBottom w:val="0"/>
      <w:divBdr>
        <w:top w:val="none" w:sz="0" w:space="0" w:color="auto"/>
        <w:left w:val="none" w:sz="0" w:space="0" w:color="auto"/>
        <w:bottom w:val="none" w:sz="0" w:space="0" w:color="auto"/>
        <w:right w:val="none" w:sz="0" w:space="0" w:color="auto"/>
      </w:divBdr>
    </w:div>
    <w:div w:id="2079593401">
      <w:bodyDiv w:val="1"/>
      <w:marLeft w:val="0"/>
      <w:marRight w:val="0"/>
      <w:marTop w:val="0"/>
      <w:marBottom w:val="0"/>
      <w:divBdr>
        <w:top w:val="none" w:sz="0" w:space="0" w:color="auto"/>
        <w:left w:val="none" w:sz="0" w:space="0" w:color="auto"/>
        <w:bottom w:val="none" w:sz="0" w:space="0" w:color="auto"/>
        <w:right w:val="none" w:sz="0" w:space="0" w:color="auto"/>
      </w:divBdr>
    </w:div>
    <w:div w:id="210233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E9523-126D-40F0-AB13-A8AD7ADA8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95E6F31-7788-4AAC-AFEC-8A1FE480A71B}">
  <ds:schemaRefs>
    <ds:schemaRef ds:uri="http://schemas.microsoft.com/sharepoint/v3/contenttype/forms"/>
  </ds:schemaRefs>
</ds:datastoreItem>
</file>

<file path=customXml/itemProps3.xml><?xml version="1.0" encoding="utf-8"?>
<ds:datastoreItem xmlns:ds="http://schemas.openxmlformats.org/officeDocument/2006/customXml" ds:itemID="{059078A7-A16F-4E0A-878E-BE49CDE36444}">
  <ds:schemaRefs>
    <ds:schemaRef ds:uri="http://schemas.microsoft.com/office/2006/metadata/properties"/>
  </ds:schemaRefs>
</ds:datastoreItem>
</file>

<file path=customXml/itemProps4.xml><?xml version="1.0" encoding="utf-8"?>
<ds:datastoreItem xmlns:ds="http://schemas.openxmlformats.org/officeDocument/2006/customXml" ds:itemID="{F1F96509-9119-4FE2-B839-507067C30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6649</Words>
  <Characters>36575</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Camara de Diputados</Company>
  <LinksUpToDate>false</LinksUpToDate>
  <CharactersWithSpaces>43138</CharactersWithSpaces>
  <SharedDoc>false</SharedDoc>
  <HLinks>
    <vt:vector size="126" baseType="variant">
      <vt:variant>
        <vt:i4>1376312</vt:i4>
      </vt:variant>
      <vt:variant>
        <vt:i4>122</vt:i4>
      </vt:variant>
      <vt:variant>
        <vt:i4>0</vt:i4>
      </vt:variant>
      <vt:variant>
        <vt:i4>5</vt:i4>
      </vt:variant>
      <vt:variant>
        <vt:lpwstr/>
      </vt:variant>
      <vt:variant>
        <vt:lpwstr>_Toc499549174</vt:lpwstr>
      </vt:variant>
      <vt:variant>
        <vt:i4>1376312</vt:i4>
      </vt:variant>
      <vt:variant>
        <vt:i4>116</vt:i4>
      </vt:variant>
      <vt:variant>
        <vt:i4>0</vt:i4>
      </vt:variant>
      <vt:variant>
        <vt:i4>5</vt:i4>
      </vt:variant>
      <vt:variant>
        <vt:lpwstr/>
      </vt:variant>
      <vt:variant>
        <vt:lpwstr>_Toc499549173</vt:lpwstr>
      </vt:variant>
      <vt:variant>
        <vt:i4>1376312</vt:i4>
      </vt:variant>
      <vt:variant>
        <vt:i4>110</vt:i4>
      </vt:variant>
      <vt:variant>
        <vt:i4>0</vt:i4>
      </vt:variant>
      <vt:variant>
        <vt:i4>5</vt:i4>
      </vt:variant>
      <vt:variant>
        <vt:lpwstr/>
      </vt:variant>
      <vt:variant>
        <vt:lpwstr>_Toc499549172</vt:lpwstr>
      </vt:variant>
      <vt:variant>
        <vt:i4>1376312</vt:i4>
      </vt:variant>
      <vt:variant>
        <vt:i4>104</vt:i4>
      </vt:variant>
      <vt:variant>
        <vt:i4>0</vt:i4>
      </vt:variant>
      <vt:variant>
        <vt:i4>5</vt:i4>
      </vt:variant>
      <vt:variant>
        <vt:lpwstr/>
      </vt:variant>
      <vt:variant>
        <vt:lpwstr>_Toc499549171</vt:lpwstr>
      </vt:variant>
      <vt:variant>
        <vt:i4>1376312</vt:i4>
      </vt:variant>
      <vt:variant>
        <vt:i4>98</vt:i4>
      </vt:variant>
      <vt:variant>
        <vt:i4>0</vt:i4>
      </vt:variant>
      <vt:variant>
        <vt:i4>5</vt:i4>
      </vt:variant>
      <vt:variant>
        <vt:lpwstr/>
      </vt:variant>
      <vt:variant>
        <vt:lpwstr>_Toc499549170</vt:lpwstr>
      </vt:variant>
      <vt:variant>
        <vt:i4>1310776</vt:i4>
      </vt:variant>
      <vt:variant>
        <vt:i4>92</vt:i4>
      </vt:variant>
      <vt:variant>
        <vt:i4>0</vt:i4>
      </vt:variant>
      <vt:variant>
        <vt:i4>5</vt:i4>
      </vt:variant>
      <vt:variant>
        <vt:lpwstr/>
      </vt:variant>
      <vt:variant>
        <vt:lpwstr>_Toc499549169</vt:lpwstr>
      </vt:variant>
      <vt:variant>
        <vt:i4>1310776</vt:i4>
      </vt:variant>
      <vt:variant>
        <vt:i4>86</vt:i4>
      </vt:variant>
      <vt:variant>
        <vt:i4>0</vt:i4>
      </vt:variant>
      <vt:variant>
        <vt:i4>5</vt:i4>
      </vt:variant>
      <vt:variant>
        <vt:lpwstr/>
      </vt:variant>
      <vt:variant>
        <vt:lpwstr>_Toc499549168</vt:lpwstr>
      </vt:variant>
      <vt:variant>
        <vt:i4>1310776</vt:i4>
      </vt:variant>
      <vt:variant>
        <vt:i4>80</vt:i4>
      </vt:variant>
      <vt:variant>
        <vt:i4>0</vt:i4>
      </vt:variant>
      <vt:variant>
        <vt:i4>5</vt:i4>
      </vt:variant>
      <vt:variant>
        <vt:lpwstr/>
      </vt:variant>
      <vt:variant>
        <vt:lpwstr>_Toc499549167</vt:lpwstr>
      </vt:variant>
      <vt:variant>
        <vt:i4>1310776</vt:i4>
      </vt:variant>
      <vt:variant>
        <vt:i4>74</vt:i4>
      </vt:variant>
      <vt:variant>
        <vt:i4>0</vt:i4>
      </vt:variant>
      <vt:variant>
        <vt:i4>5</vt:i4>
      </vt:variant>
      <vt:variant>
        <vt:lpwstr/>
      </vt:variant>
      <vt:variant>
        <vt:lpwstr>_Toc499549166</vt:lpwstr>
      </vt:variant>
      <vt:variant>
        <vt:i4>1310776</vt:i4>
      </vt:variant>
      <vt:variant>
        <vt:i4>68</vt:i4>
      </vt:variant>
      <vt:variant>
        <vt:i4>0</vt:i4>
      </vt:variant>
      <vt:variant>
        <vt:i4>5</vt:i4>
      </vt:variant>
      <vt:variant>
        <vt:lpwstr/>
      </vt:variant>
      <vt:variant>
        <vt:lpwstr>_Toc499549165</vt:lpwstr>
      </vt:variant>
      <vt:variant>
        <vt:i4>1310776</vt:i4>
      </vt:variant>
      <vt:variant>
        <vt:i4>62</vt:i4>
      </vt:variant>
      <vt:variant>
        <vt:i4>0</vt:i4>
      </vt:variant>
      <vt:variant>
        <vt:i4>5</vt:i4>
      </vt:variant>
      <vt:variant>
        <vt:lpwstr/>
      </vt:variant>
      <vt:variant>
        <vt:lpwstr>_Toc499549164</vt:lpwstr>
      </vt:variant>
      <vt:variant>
        <vt:i4>1310776</vt:i4>
      </vt:variant>
      <vt:variant>
        <vt:i4>56</vt:i4>
      </vt:variant>
      <vt:variant>
        <vt:i4>0</vt:i4>
      </vt:variant>
      <vt:variant>
        <vt:i4>5</vt:i4>
      </vt:variant>
      <vt:variant>
        <vt:lpwstr/>
      </vt:variant>
      <vt:variant>
        <vt:lpwstr>_Toc499549163</vt:lpwstr>
      </vt:variant>
      <vt:variant>
        <vt:i4>1310776</vt:i4>
      </vt:variant>
      <vt:variant>
        <vt:i4>50</vt:i4>
      </vt:variant>
      <vt:variant>
        <vt:i4>0</vt:i4>
      </vt:variant>
      <vt:variant>
        <vt:i4>5</vt:i4>
      </vt:variant>
      <vt:variant>
        <vt:lpwstr/>
      </vt:variant>
      <vt:variant>
        <vt:lpwstr>_Toc499549162</vt:lpwstr>
      </vt:variant>
      <vt:variant>
        <vt:i4>1310776</vt:i4>
      </vt:variant>
      <vt:variant>
        <vt:i4>44</vt:i4>
      </vt:variant>
      <vt:variant>
        <vt:i4>0</vt:i4>
      </vt:variant>
      <vt:variant>
        <vt:i4>5</vt:i4>
      </vt:variant>
      <vt:variant>
        <vt:lpwstr/>
      </vt:variant>
      <vt:variant>
        <vt:lpwstr>_Toc499549161</vt:lpwstr>
      </vt:variant>
      <vt:variant>
        <vt:i4>1310776</vt:i4>
      </vt:variant>
      <vt:variant>
        <vt:i4>38</vt:i4>
      </vt:variant>
      <vt:variant>
        <vt:i4>0</vt:i4>
      </vt:variant>
      <vt:variant>
        <vt:i4>5</vt:i4>
      </vt:variant>
      <vt:variant>
        <vt:lpwstr/>
      </vt:variant>
      <vt:variant>
        <vt:lpwstr>_Toc499549160</vt:lpwstr>
      </vt:variant>
      <vt:variant>
        <vt:i4>1507384</vt:i4>
      </vt:variant>
      <vt:variant>
        <vt:i4>32</vt:i4>
      </vt:variant>
      <vt:variant>
        <vt:i4>0</vt:i4>
      </vt:variant>
      <vt:variant>
        <vt:i4>5</vt:i4>
      </vt:variant>
      <vt:variant>
        <vt:lpwstr/>
      </vt:variant>
      <vt:variant>
        <vt:lpwstr>_Toc499549159</vt:lpwstr>
      </vt:variant>
      <vt:variant>
        <vt:i4>1507384</vt:i4>
      </vt:variant>
      <vt:variant>
        <vt:i4>26</vt:i4>
      </vt:variant>
      <vt:variant>
        <vt:i4>0</vt:i4>
      </vt:variant>
      <vt:variant>
        <vt:i4>5</vt:i4>
      </vt:variant>
      <vt:variant>
        <vt:lpwstr/>
      </vt:variant>
      <vt:variant>
        <vt:lpwstr>_Toc499549158</vt:lpwstr>
      </vt:variant>
      <vt:variant>
        <vt:i4>1507384</vt:i4>
      </vt:variant>
      <vt:variant>
        <vt:i4>20</vt:i4>
      </vt:variant>
      <vt:variant>
        <vt:i4>0</vt:i4>
      </vt:variant>
      <vt:variant>
        <vt:i4>5</vt:i4>
      </vt:variant>
      <vt:variant>
        <vt:lpwstr/>
      </vt:variant>
      <vt:variant>
        <vt:lpwstr>_Toc499549157</vt:lpwstr>
      </vt:variant>
      <vt:variant>
        <vt:i4>1507384</vt:i4>
      </vt:variant>
      <vt:variant>
        <vt:i4>14</vt:i4>
      </vt:variant>
      <vt:variant>
        <vt:i4>0</vt:i4>
      </vt:variant>
      <vt:variant>
        <vt:i4>5</vt:i4>
      </vt:variant>
      <vt:variant>
        <vt:lpwstr/>
      </vt:variant>
      <vt:variant>
        <vt:lpwstr>_Toc499549156</vt:lpwstr>
      </vt:variant>
      <vt:variant>
        <vt:i4>1507384</vt:i4>
      </vt:variant>
      <vt:variant>
        <vt:i4>8</vt:i4>
      </vt:variant>
      <vt:variant>
        <vt:i4>0</vt:i4>
      </vt:variant>
      <vt:variant>
        <vt:i4>5</vt:i4>
      </vt:variant>
      <vt:variant>
        <vt:lpwstr/>
      </vt:variant>
      <vt:variant>
        <vt:lpwstr>_Toc499549155</vt:lpwstr>
      </vt:variant>
      <vt:variant>
        <vt:i4>1507384</vt:i4>
      </vt:variant>
      <vt:variant>
        <vt:i4>2</vt:i4>
      </vt:variant>
      <vt:variant>
        <vt:i4>0</vt:i4>
      </vt:variant>
      <vt:variant>
        <vt:i4>5</vt:i4>
      </vt:variant>
      <vt:variant>
        <vt:lpwstr/>
      </vt:variant>
      <vt:variant>
        <vt:lpwstr>_Toc499549154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creator>ASkoknic</dc:creator>
  <cp:lastModifiedBy>Maria Eugenia Silva Ferrer</cp:lastModifiedBy>
  <cp:revision>22</cp:revision>
  <cp:lastPrinted>2016-06-23T14:44:00Z</cp:lastPrinted>
  <dcterms:created xsi:type="dcterms:W3CDTF">2022-08-23T15:43:00Z</dcterms:created>
  <dcterms:modified xsi:type="dcterms:W3CDTF">2022-08-30T20:34:00Z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