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73FF6" w14:textId="77777777" w:rsidR="00B45F26" w:rsidRDefault="00B45F26" w:rsidP="00B45F26">
      <w:pPr>
        <w:pStyle w:val="Ttulo1"/>
        <w:spacing w:line="240" w:lineRule="auto"/>
        <w:jc w:val="center"/>
      </w:pPr>
      <w:r>
        <w:t>CERTIFICADO</w:t>
      </w:r>
    </w:p>
    <w:p w14:paraId="4C9DAC1D" w14:textId="77777777" w:rsidR="00B45F26" w:rsidRDefault="00B45F26" w:rsidP="00B45F26">
      <w:pPr>
        <w:jc w:val="both"/>
      </w:pPr>
    </w:p>
    <w:p w14:paraId="57E0B62A" w14:textId="432E79EE" w:rsidR="00B45F26" w:rsidRDefault="00B45F26" w:rsidP="00B45F26">
      <w:pPr>
        <w:jc w:val="both"/>
      </w:pPr>
      <w:r>
        <w:tab/>
      </w:r>
      <w:r>
        <w:tab/>
      </w:r>
      <w:r>
        <w:tab/>
      </w:r>
      <w:r>
        <w:tab/>
        <w:t>Certifico que con fecha 7 de junio de 2023, la Comisión de Hacienda sesionó para tratar el proyecto de ley, en primer trámite constitucional, que m</w:t>
      </w:r>
      <w:r w:rsidRPr="00B45F26">
        <w:t>odifica el Código Penal, para tipificar el delito de tenencia de elementos tecnológicos que permitan a las personas privadas de libertad comunicarse con el exterior</w:t>
      </w:r>
      <w:r>
        <w:t>, Boletín N° 15.796-07, iniciado en M</w:t>
      </w:r>
      <w:r w:rsidR="00490D87">
        <w:t>oción</w:t>
      </w:r>
      <w:r>
        <w:t>, con urgencia calificada de “simple”.</w:t>
      </w:r>
    </w:p>
    <w:p w14:paraId="62B95D18" w14:textId="77777777" w:rsidR="00B45F26" w:rsidRDefault="00B45F26" w:rsidP="00B45F26">
      <w:pPr>
        <w:jc w:val="both"/>
      </w:pPr>
    </w:p>
    <w:p w14:paraId="7C355AE0" w14:textId="77777777" w:rsidR="00B45F26" w:rsidRDefault="00B45F26" w:rsidP="00B45F26">
      <w:pPr>
        <w:jc w:val="both"/>
      </w:pPr>
      <w:r>
        <w:tab/>
      </w:r>
      <w:r>
        <w:tab/>
      </w:r>
      <w:r>
        <w:tab/>
      </w:r>
      <w:r>
        <w:tab/>
        <w:t>Cabe señalar que el</w:t>
      </w:r>
      <w:r w:rsidRPr="00433173">
        <w:t xml:space="preserve"> proyecto de ley fue analizado previamente por la Comisión de </w:t>
      </w:r>
      <w:r>
        <w:t>Constitución, Legislación, Justicia y Reglamento. La iniciativa fue conocida por la Comisión en virtud del acuerdo adoptado por la Sal</w:t>
      </w:r>
      <w:r w:rsidR="00C37711">
        <w:t>a del Senado con fecha 7 de junio</w:t>
      </w:r>
      <w:r>
        <w:t xml:space="preserve"> de 2023.</w:t>
      </w:r>
    </w:p>
    <w:p w14:paraId="25EC3891" w14:textId="77777777" w:rsidR="00B45F26" w:rsidRPr="00490D87" w:rsidRDefault="00B45F26" w:rsidP="00B45F26">
      <w:pPr>
        <w:jc w:val="both"/>
      </w:pPr>
    </w:p>
    <w:p w14:paraId="7242C972" w14:textId="77777777" w:rsidR="00B45F26" w:rsidRPr="00490D87" w:rsidRDefault="00B45F26" w:rsidP="00B45F26">
      <w:pPr>
        <w:jc w:val="both"/>
      </w:pPr>
    </w:p>
    <w:p w14:paraId="07371227" w14:textId="77777777" w:rsidR="00B45F26" w:rsidRPr="00490D87" w:rsidRDefault="00B45F26" w:rsidP="00B45F26">
      <w:pPr>
        <w:tabs>
          <w:tab w:val="left" w:pos="2835"/>
        </w:tabs>
        <w:jc w:val="both"/>
        <w:rPr>
          <w:lang w:val="es-CL"/>
        </w:rPr>
      </w:pPr>
      <w:r w:rsidRPr="00490D87">
        <w:rPr>
          <w:lang w:val="es-CL"/>
        </w:rPr>
        <w:tab/>
        <w:t xml:space="preserve">A la sesión en que </w:t>
      </w:r>
      <w:smartTag w:uri="urn:schemas-microsoft-com:office:smarttags" w:element="PersonName">
        <w:smartTagPr>
          <w:attr w:name="ProductID" w:val="la Comisión"/>
        </w:smartTagPr>
        <w:r w:rsidRPr="00490D87">
          <w:rPr>
            <w:lang w:val="es-CL"/>
          </w:rPr>
          <w:t>la Comisión</w:t>
        </w:r>
      </w:smartTag>
      <w:r w:rsidRPr="00490D87">
        <w:rPr>
          <w:lang w:val="es-CL"/>
        </w:rPr>
        <w:t xml:space="preserve"> se ocupó de este asunto asistieron los Honorables Senadores s</w:t>
      </w:r>
      <w:r w:rsidR="00A071A1" w:rsidRPr="00490D87">
        <w:rPr>
          <w:lang w:val="es-CL"/>
        </w:rPr>
        <w:t xml:space="preserve">eñores Coloma, Galilea, </w:t>
      </w:r>
      <w:r w:rsidRPr="00490D87">
        <w:rPr>
          <w:lang w:val="es-CL"/>
        </w:rPr>
        <w:t>Lagos y Núñez.</w:t>
      </w:r>
    </w:p>
    <w:p w14:paraId="66C01FD5" w14:textId="77777777" w:rsidR="00B45F26" w:rsidRPr="00490D87" w:rsidRDefault="00B45F26" w:rsidP="00B45F26">
      <w:pPr>
        <w:tabs>
          <w:tab w:val="left" w:pos="2835"/>
        </w:tabs>
        <w:jc w:val="both"/>
        <w:rPr>
          <w:lang w:val="es-CL"/>
        </w:rPr>
      </w:pPr>
    </w:p>
    <w:p w14:paraId="73921B06" w14:textId="77777777" w:rsidR="00B45F26" w:rsidRPr="00490D87" w:rsidRDefault="00B45F26" w:rsidP="00B45F26">
      <w:pPr>
        <w:tabs>
          <w:tab w:val="left" w:pos="2835"/>
        </w:tabs>
        <w:jc w:val="both"/>
        <w:rPr>
          <w:lang w:val="es-CL"/>
        </w:rPr>
      </w:pPr>
      <w:r w:rsidRPr="00490D87">
        <w:rPr>
          <w:lang w:val="es-CL"/>
        </w:rPr>
        <w:tab/>
        <w:t>Asistieron, asimismo:</w:t>
      </w:r>
    </w:p>
    <w:p w14:paraId="47239D8E" w14:textId="77777777" w:rsidR="00A071A1" w:rsidRPr="00490D87" w:rsidRDefault="00A071A1" w:rsidP="00B45F26">
      <w:pPr>
        <w:tabs>
          <w:tab w:val="left" w:pos="2835"/>
        </w:tabs>
        <w:jc w:val="both"/>
        <w:rPr>
          <w:lang w:val="es-CL"/>
        </w:rPr>
      </w:pPr>
    </w:p>
    <w:p w14:paraId="3C602B79" w14:textId="77777777" w:rsidR="00A071A1" w:rsidRPr="00490D87" w:rsidRDefault="00A071A1" w:rsidP="00A071A1">
      <w:pPr>
        <w:widowControl w:val="0"/>
        <w:ind w:firstLine="2835"/>
        <w:jc w:val="both"/>
        <w:rPr>
          <w:rFonts w:eastAsiaTheme="minorHAnsi" w:cs="Arial"/>
          <w:szCs w:val="24"/>
          <w:lang w:eastAsia="en-US"/>
        </w:rPr>
      </w:pPr>
      <w:r w:rsidRPr="00490D87">
        <w:rPr>
          <w:rFonts w:eastAsiaTheme="minorHAnsi" w:cs="Arial"/>
          <w:szCs w:val="24"/>
          <w:lang w:eastAsia="en-US"/>
        </w:rPr>
        <w:t>Del Ministerio de Ju</w:t>
      </w:r>
      <w:bookmarkStart w:id="0" w:name="_GoBack"/>
      <w:bookmarkEnd w:id="0"/>
      <w:r w:rsidRPr="00490D87">
        <w:rPr>
          <w:rFonts w:eastAsiaTheme="minorHAnsi" w:cs="Arial"/>
          <w:szCs w:val="24"/>
          <w:lang w:eastAsia="en-US"/>
        </w:rPr>
        <w:t>sticia, el Subsecretario de Justicia, señor Jaime Gajardo.</w:t>
      </w:r>
    </w:p>
    <w:p w14:paraId="5070A775" w14:textId="77777777" w:rsidR="00A071A1" w:rsidRPr="00490D87" w:rsidRDefault="00A071A1" w:rsidP="00A071A1">
      <w:pPr>
        <w:widowControl w:val="0"/>
        <w:ind w:firstLine="2835"/>
        <w:jc w:val="both"/>
        <w:rPr>
          <w:rFonts w:eastAsiaTheme="minorHAnsi" w:cs="Arial"/>
          <w:szCs w:val="24"/>
          <w:lang w:eastAsia="en-US"/>
        </w:rPr>
      </w:pPr>
    </w:p>
    <w:p w14:paraId="0CD51FEE" w14:textId="77777777" w:rsidR="00A071A1" w:rsidRPr="00490D87" w:rsidRDefault="00A071A1" w:rsidP="00A071A1">
      <w:pPr>
        <w:widowControl w:val="0"/>
        <w:ind w:firstLine="2835"/>
        <w:jc w:val="both"/>
        <w:rPr>
          <w:rFonts w:eastAsiaTheme="minorHAnsi" w:cs="Arial"/>
          <w:szCs w:val="24"/>
          <w:lang w:eastAsia="en-US"/>
        </w:rPr>
      </w:pPr>
      <w:r w:rsidRPr="00A071A1">
        <w:rPr>
          <w:rFonts w:eastAsiaTheme="minorHAnsi" w:cs="Arial"/>
          <w:szCs w:val="24"/>
          <w:lang w:eastAsia="en-US"/>
        </w:rPr>
        <w:t>Del Ministerio Secretaría General de la Presidencia, la Subsecretaria, señora Macarena Lobos.</w:t>
      </w:r>
    </w:p>
    <w:p w14:paraId="67369A91" w14:textId="77777777" w:rsidR="00A071A1" w:rsidRPr="00490D87" w:rsidRDefault="00A071A1" w:rsidP="00A071A1">
      <w:pPr>
        <w:widowControl w:val="0"/>
        <w:ind w:firstLine="2835"/>
        <w:jc w:val="both"/>
        <w:rPr>
          <w:rFonts w:eastAsiaTheme="minorHAnsi" w:cs="Arial"/>
          <w:szCs w:val="24"/>
          <w:lang w:eastAsia="en-US"/>
        </w:rPr>
      </w:pPr>
    </w:p>
    <w:p w14:paraId="34D493DA" w14:textId="11B2F681" w:rsidR="00A071A1" w:rsidRPr="00490D87" w:rsidRDefault="00A071A1" w:rsidP="00A071A1">
      <w:pPr>
        <w:widowControl w:val="0"/>
        <w:ind w:firstLine="2835"/>
        <w:jc w:val="both"/>
        <w:rPr>
          <w:rFonts w:eastAsiaTheme="minorHAnsi" w:cs="Arial"/>
          <w:szCs w:val="24"/>
          <w:lang w:eastAsia="en-US"/>
        </w:rPr>
      </w:pPr>
      <w:r w:rsidRPr="00490D87">
        <w:rPr>
          <w:rFonts w:eastAsiaTheme="minorHAnsi" w:cs="Arial"/>
          <w:szCs w:val="24"/>
          <w:lang w:eastAsia="en-US"/>
        </w:rPr>
        <w:t>El asesor del Hon</w:t>
      </w:r>
      <w:r w:rsidR="0041337E">
        <w:rPr>
          <w:rFonts w:eastAsiaTheme="minorHAnsi" w:cs="Arial"/>
          <w:szCs w:val="24"/>
          <w:lang w:eastAsia="en-US"/>
        </w:rPr>
        <w:t>orable Senador Núñez</w:t>
      </w:r>
      <w:r w:rsidRPr="00490D87">
        <w:rPr>
          <w:rFonts w:eastAsiaTheme="minorHAnsi" w:cs="Arial"/>
          <w:szCs w:val="24"/>
          <w:lang w:eastAsia="en-US"/>
        </w:rPr>
        <w:t>, señor Elías Mella.</w:t>
      </w:r>
    </w:p>
    <w:p w14:paraId="5A38F09B" w14:textId="77777777" w:rsidR="00A071A1" w:rsidRPr="00490D87" w:rsidRDefault="00A071A1" w:rsidP="00B45F26">
      <w:pPr>
        <w:tabs>
          <w:tab w:val="left" w:pos="2835"/>
        </w:tabs>
        <w:jc w:val="both"/>
        <w:rPr>
          <w:lang w:val="es-CL"/>
        </w:rPr>
      </w:pPr>
    </w:p>
    <w:p w14:paraId="55733F0D" w14:textId="77777777" w:rsidR="00B45F26" w:rsidRPr="00490D87" w:rsidRDefault="00B45F26" w:rsidP="00B45F26">
      <w:pPr>
        <w:tabs>
          <w:tab w:val="left" w:pos="2835"/>
        </w:tabs>
        <w:jc w:val="both"/>
        <w:rPr>
          <w:lang w:val="es-CL"/>
        </w:rPr>
      </w:pPr>
    </w:p>
    <w:p w14:paraId="4146C045" w14:textId="77777777" w:rsidR="00B45F26" w:rsidRPr="005550ED" w:rsidRDefault="00B45F26" w:rsidP="00B45F26">
      <w:pPr>
        <w:tabs>
          <w:tab w:val="left" w:pos="2835"/>
        </w:tabs>
        <w:jc w:val="both"/>
        <w:rPr>
          <w:lang w:val="es-CL"/>
        </w:rPr>
      </w:pPr>
      <w:r w:rsidRPr="005550ED">
        <w:rPr>
          <w:lang w:val="es-CL"/>
        </w:rPr>
        <w:tab/>
        <w:t>De conformidad con su competencia, la Comisión de Hacienda se pronunció acerca de</w:t>
      </w:r>
      <w:r w:rsidR="00A071A1">
        <w:rPr>
          <w:lang w:val="es-CL"/>
        </w:rPr>
        <w:t>l artículo único</w:t>
      </w:r>
      <w:r w:rsidRPr="005550ED">
        <w:rPr>
          <w:lang w:val="es-CL"/>
        </w:rPr>
        <w:t xml:space="preserve"> del proyect</w:t>
      </w:r>
      <w:r w:rsidR="00B003E6">
        <w:rPr>
          <w:lang w:val="es-CL"/>
        </w:rPr>
        <w:t>o, en los términos en que fue despachado</w:t>
      </w:r>
      <w:r w:rsidRPr="005550ED">
        <w:rPr>
          <w:lang w:val="es-CL"/>
        </w:rPr>
        <w:t xml:space="preserve"> por la Comisión de </w:t>
      </w:r>
      <w:r w:rsidR="00A071A1" w:rsidRPr="00A071A1">
        <w:rPr>
          <w:lang w:val="es-CL"/>
        </w:rPr>
        <w:t>Constitución, Legislación, Justicia y Reglamento</w:t>
      </w:r>
      <w:r w:rsidRPr="005550ED">
        <w:rPr>
          <w:lang w:val="es-CL"/>
        </w:rPr>
        <w:t>, como reglamentariamente corresponde.</w:t>
      </w:r>
    </w:p>
    <w:p w14:paraId="524AFC25" w14:textId="77777777" w:rsidR="00B45F26" w:rsidRPr="00D16B8B" w:rsidRDefault="00B45F26" w:rsidP="00B45F26">
      <w:pPr>
        <w:jc w:val="both"/>
        <w:rPr>
          <w:lang w:val="es-CL"/>
        </w:rPr>
      </w:pPr>
    </w:p>
    <w:p w14:paraId="21B7F28E" w14:textId="77777777" w:rsidR="00B45F26" w:rsidRPr="00A071A1" w:rsidRDefault="00B45F26" w:rsidP="00B45F26">
      <w:pPr>
        <w:jc w:val="both"/>
      </w:pPr>
    </w:p>
    <w:p w14:paraId="28E106A2" w14:textId="77777777" w:rsidR="00B45F26" w:rsidRPr="00A071A1" w:rsidRDefault="00B45F26" w:rsidP="00B45F26">
      <w:pPr>
        <w:jc w:val="both"/>
      </w:pPr>
      <w:r w:rsidRPr="00A071A1">
        <w:tab/>
      </w:r>
      <w:r w:rsidRPr="00A071A1">
        <w:tab/>
      </w:r>
      <w:r w:rsidRPr="00A071A1">
        <w:tab/>
      </w:r>
      <w:r w:rsidRPr="00A071A1">
        <w:tab/>
      </w:r>
      <w:r w:rsidR="00B003E6">
        <w:rPr>
          <w:b/>
        </w:rPr>
        <w:t>Puesto</w:t>
      </w:r>
      <w:r w:rsidRPr="00A071A1">
        <w:rPr>
          <w:b/>
        </w:rPr>
        <w:t xml:space="preserve"> en votación en particular </w:t>
      </w:r>
      <w:r w:rsidR="00594928" w:rsidRPr="00A071A1">
        <w:rPr>
          <w:b/>
        </w:rPr>
        <w:t>el artículo único</w:t>
      </w:r>
      <w:r w:rsidRPr="00A071A1">
        <w:rPr>
          <w:b/>
        </w:rPr>
        <w:t xml:space="preserve">, </w:t>
      </w:r>
      <w:r w:rsidR="00594928" w:rsidRPr="00A071A1">
        <w:rPr>
          <w:b/>
        </w:rPr>
        <w:t>fue aprobado</w:t>
      </w:r>
      <w:r w:rsidRPr="00A071A1">
        <w:rPr>
          <w:b/>
        </w:rPr>
        <w:t xml:space="preserve"> por la unanimidad de los miembros</w:t>
      </w:r>
      <w:r w:rsidR="00A071A1" w:rsidRPr="00A071A1">
        <w:rPr>
          <w:b/>
        </w:rPr>
        <w:t xml:space="preserve"> presentes</w:t>
      </w:r>
      <w:r w:rsidRPr="00A071A1">
        <w:rPr>
          <w:b/>
        </w:rPr>
        <w:t xml:space="preserve"> de la Comisión, Honorables Senadores señor</w:t>
      </w:r>
      <w:r w:rsidR="00A071A1" w:rsidRPr="00A071A1">
        <w:rPr>
          <w:b/>
        </w:rPr>
        <w:t>es Coloma, Galilea</w:t>
      </w:r>
      <w:r w:rsidRPr="00A071A1">
        <w:rPr>
          <w:b/>
        </w:rPr>
        <w:t>, Lagos y Núñez, en los mismos</w:t>
      </w:r>
      <w:r w:rsidR="00B003E6">
        <w:rPr>
          <w:b/>
        </w:rPr>
        <w:t xml:space="preserve"> términos en que fue despachado</w:t>
      </w:r>
      <w:r w:rsidRPr="00A071A1">
        <w:rPr>
          <w:b/>
        </w:rPr>
        <w:t xml:space="preserve"> por la Comisión de </w:t>
      </w:r>
      <w:r w:rsidR="00594928" w:rsidRPr="00A071A1">
        <w:rPr>
          <w:b/>
        </w:rPr>
        <w:t>Constitución, Legislación, Justicia y Reglamento</w:t>
      </w:r>
      <w:r w:rsidRPr="00A071A1">
        <w:rPr>
          <w:b/>
        </w:rPr>
        <w:t>.</w:t>
      </w:r>
    </w:p>
    <w:p w14:paraId="5BC82E8C" w14:textId="77777777" w:rsidR="00B45F26" w:rsidRDefault="00B45F26" w:rsidP="00B45F26">
      <w:pPr>
        <w:jc w:val="both"/>
      </w:pPr>
    </w:p>
    <w:p w14:paraId="29AE8575" w14:textId="77777777" w:rsidR="00B45F26" w:rsidRDefault="00B45F26" w:rsidP="00B45F26">
      <w:pPr>
        <w:jc w:val="both"/>
      </w:pPr>
    </w:p>
    <w:p w14:paraId="27428FC1" w14:textId="77777777" w:rsidR="00B45F26" w:rsidRDefault="00B45F26" w:rsidP="00B45F26">
      <w:pPr>
        <w:jc w:val="both"/>
      </w:pPr>
      <w:r>
        <w:tab/>
      </w:r>
      <w:r>
        <w:tab/>
      </w:r>
      <w:r>
        <w:tab/>
      </w:r>
      <w:r>
        <w:tab/>
        <w:t xml:space="preserve">El informe financiero </w:t>
      </w:r>
      <w:r w:rsidRPr="00B45F26">
        <w:rPr>
          <w:b/>
        </w:rPr>
        <w:t>N° 117</w:t>
      </w:r>
      <w:r>
        <w:t xml:space="preserve">, adjunto a los antecedentes, emanado de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 Presupuestos del Ministerio de Hacienda, de fecha 5 de junio de 2023, es del siguiente tenor:</w:t>
      </w:r>
    </w:p>
    <w:p w14:paraId="3F91A612" w14:textId="77777777" w:rsidR="00B45F26" w:rsidRDefault="00B45F26" w:rsidP="00B45F26">
      <w:pPr>
        <w:jc w:val="both"/>
      </w:pPr>
    </w:p>
    <w:p w14:paraId="519CDAE7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b/>
          <w:color w:val="000000"/>
          <w:szCs w:val="24"/>
          <w:lang w:bidi="es-ES"/>
        </w:rPr>
      </w:pPr>
      <w:bookmarkStart w:id="1" w:name="bookmark2"/>
      <w:r>
        <w:rPr>
          <w:rFonts w:eastAsia="Courier New" w:cs="Arial"/>
          <w:color w:val="000000"/>
          <w:szCs w:val="24"/>
          <w:lang w:bidi="es-ES"/>
        </w:rPr>
        <w:lastRenderedPageBreak/>
        <w:t>“</w:t>
      </w:r>
      <w:r w:rsidRPr="00B45F26">
        <w:rPr>
          <w:rFonts w:eastAsia="Courier New" w:cs="Arial"/>
          <w:b/>
          <w:color w:val="000000"/>
          <w:szCs w:val="24"/>
          <w:lang w:bidi="es-ES"/>
        </w:rPr>
        <w:t>I. Antecedentes</w:t>
      </w:r>
      <w:bookmarkEnd w:id="1"/>
    </w:p>
    <w:p w14:paraId="0986AC02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</w:p>
    <w:p w14:paraId="0E818546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  <w:r w:rsidRPr="00B45F26">
        <w:rPr>
          <w:rFonts w:eastAsia="Courier New" w:cs="Arial"/>
          <w:color w:val="000000"/>
          <w:szCs w:val="24"/>
          <w:lang w:bidi="es-ES"/>
        </w:rPr>
        <w:t>Las presentes indicaciones (N° 076-371) modifican el proyecto de ley para sustituirlo.</w:t>
      </w:r>
    </w:p>
    <w:p w14:paraId="19E278EB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</w:p>
    <w:p w14:paraId="20458279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  <w:r w:rsidRPr="00B45F26">
        <w:rPr>
          <w:rFonts w:eastAsia="Courier New" w:cs="Arial"/>
          <w:color w:val="000000"/>
          <w:szCs w:val="24"/>
          <w:lang w:bidi="es-ES"/>
        </w:rPr>
        <w:t>Se establece que quien, encontrándose privado de libertad en un establecimiento penitenciario tuviere en su poder intercomunicadores, teléfonos, partes de ellos, chips telefónicos u otros elementos tecnológicos que permitan comunicarse con el exterior, sin estar legal o reglamentariamente autorizado al efecto, será sancionado con la pena de presidio menor en su grado mínimo a medio.</w:t>
      </w:r>
    </w:p>
    <w:p w14:paraId="25AB3127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</w:p>
    <w:p w14:paraId="33896CCD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  <w:r w:rsidRPr="00B45F26">
        <w:rPr>
          <w:rFonts w:eastAsia="Courier New" w:cs="Arial"/>
          <w:color w:val="000000"/>
          <w:szCs w:val="24"/>
          <w:lang w:bidi="es-ES"/>
        </w:rPr>
        <w:t>Asimismo, el funcionario público que omitiere denunciar el hecho descrito si tuviese conocimiento de aquello, será sancionado con presidio menor en su grado mínimo y suspensión en su grado mínimo a inhabilitación absoluta temporal en cualquiera de sus grados para el ejercicio del cargo u oficio.</w:t>
      </w:r>
    </w:p>
    <w:p w14:paraId="3A1FC0D3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</w:p>
    <w:p w14:paraId="6F353C03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b/>
          <w:color w:val="000000"/>
          <w:szCs w:val="24"/>
          <w:lang w:bidi="es-ES"/>
        </w:rPr>
      </w:pPr>
      <w:bookmarkStart w:id="2" w:name="bookmark3"/>
      <w:r w:rsidRPr="00B45F26">
        <w:rPr>
          <w:rFonts w:eastAsia="Courier New" w:cs="Arial"/>
          <w:b/>
          <w:color w:val="000000"/>
          <w:szCs w:val="24"/>
          <w:lang w:bidi="es-ES"/>
        </w:rPr>
        <w:t>II. Efecto del proyecto de ley sobre el Presupuesto Fiscal</w:t>
      </w:r>
      <w:bookmarkEnd w:id="2"/>
    </w:p>
    <w:p w14:paraId="684C255D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</w:p>
    <w:p w14:paraId="4C425EBD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  <w:r w:rsidRPr="00B45F26">
        <w:rPr>
          <w:rFonts w:eastAsia="Courier New" w:cs="Arial"/>
          <w:color w:val="000000"/>
          <w:szCs w:val="24"/>
          <w:lang w:bidi="es-ES"/>
        </w:rPr>
        <w:t xml:space="preserve">Este proyecto de ley </w:t>
      </w:r>
      <w:r w:rsidRPr="00B45F26">
        <w:rPr>
          <w:rFonts w:eastAsia="Courier New" w:cs="Arial"/>
          <w:b/>
          <w:color w:val="000000"/>
          <w:szCs w:val="24"/>
          <w:lang w:bidi="es-ES"/>
        </w:rPr>
        <w:t>no irrogará un mayor gasto fiscal</w:t>
      </w:r>
      <w:r w:rsidRPr="00B45F26">
        <w:rPr>
          <w:rFonts w:eastAsia="Courier New" w:cs="Arial"/>
          <w:color w:val="000000"/>
          <w:szCs w:val="24"/>
          <w:lang w:bidi="es-ES"/>
        </w:rPr>
        <w:t>. La aplicación de los procedimientos regulados en la indicación será realizada con el presupuesto vigente de las instituciones involucradas.</w:t>
      </w:r>
    </w:p>
    <w:p w14:paraId="29395F77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</w:p>
    <w:p w14:paraId="191013CD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b/>
          <w:color w:val="000000"/>
          <w:szCs w:val="24"/>
          <w:lang w:bidi="es-ES"/>
        </w:rPr>
      </w:pPr>
      <w:bookmarkStart w:id="3" w:name="bookmark4"/>
      <w:r w:rsidRPr="00B45F26">
        <w:rPr>
          <w:rFonts w:eastAsia="Courier New" w:cs="Arial"/>
          <w:b/>
          <w:color w:val="000000"/>
          <w:szCs w:val="24"/>
          <w:lang w:bidi="es-ES"/>
        </w:rPr>
        <w:t>III. Fuentes de información</w:t>
      </w:r>
      <w:bookmarkEnd w:id="3"/>
    </w:p>
    <w:p w14:paraId="18D46276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b/>
          <w:color w:val="000000"/>
          <w:szCs w:val="24"/>
          <w:lang w:bidi="es-ES"/>
        </w:rPr>
      </w:pPr>
    </w:p>
    <w:p w14:paraId="26D20B2E" w14:textId="77777777" w:rsidR="00B45F26" w:rsidRPr="00B45F26" w:rsidRDefault="00B45F26" w:rsidP="00B45F26">
      <w:pPr>
        <w:widowControl w:val="0"/>
        <w:ind w:firstLine="2835"/>
        <w:jc w:val="both"/>
        <w:rPr>
          <w:rFonts w:eastAsia="Courier New" w:cs="Arial"/>
          <w:color w:val="000000"/>
          <w:szCs w:val="24"/>
          <w:lang w:bidi="es-ES"/>
        </w:rPr>
      </w:pPr>
      <w:r w:rsidRPr="00B45F26">
        <w:rPr>
          <w:rFonts w:eastAsia="Courier New" w:cs="Arial"/>
          <w:color w:val="000000"/>
          <w:szCs w:val="24"/>
          <w:lang w:bidi="es-ES"/>
        </w:rPr>
        <w:t>• Indicación sustitutiva al proyecto de ley que modifica el Código Penal, para tipificar el delito de tenencia de elementos tecnológicos que permitan a las personas privadas de libertad comunicarse con el exterior.</w:t>
      </w:r>
      <w:r>
        <w:rPr>
          <w:rFonts w:eastAsia="Courier New" w:cs="Arial"/>
          <w:color w:val="000000"/>
          <w:szCs w:val="24"/>
          <w:lang w:bidi="es-ES"/>
        </w:rPr>
        <w:t>”.</w:t>
      </w:r>
    </w:p>
    <w:p w14:paraId="6303B408" w14:textId="77777777" w:rsidR="00B45F26" w:rsidRDefault="00B45F26" w:rsidP="00B45F26">
      <w:pPr>
        <w:jc w:val="both"/>
      </w:pPr>
    </w:p>
    <w:p w14:paraId="201E8C52" w14:textId="77777777" w:rsidR="00B45F26" w:rsidRDefault="00B45F26" w:rsidP="00B45F26">
      <w:pPr>
        <w:jc w:val="both"/>
      </w:pPr>
    </w:p>
    <w:p w14:paraId="4EF9F177" w14:textId="77777777" w:rsidR="00B45F26" w:rsidRPr="00FA53EC" w:rsidRDefault="00B45F26" w:rsidP="00B45F26">
      <w:pPr>
        <w:jc w:val="both"/>
        <w:rPr>
          <w:lang w:val="es-ES_tradnl"/>
        </w:rPr>
      </w:pPr>
      <w:r>
        <w:tab/>
      </w:r>
      <w:r>
        <w:tab/>
      </w:r>
      <w:r>
        <w:tab/>
      </w:r>
      <w:r>
        <w:tab/>
      </w:r>
      <w:r w:rsidRPr="00FA53EC">
        <w:t>Se deja constancia del precedente Informe Financiero en cumplimiento de lo dispuesto en el inciso segundo del artículo 17 de la Ley Orgánica Constitucional del Congreso Nacional.</w:t>
      </w:r>
    </w:p>
    <w:p w14:paraId="7F20CB6B" w14:textId="77777777" w:rsidR="00B45F26" w:rsidRDefault="00B45F26" w:rsidP="00B45F26">
      <w:pPr>
        <w:jc w:val="both"/>
      </w:pPr>
    </w:p>
    <w:p w14:paraId="2828C767" w14:textId="77777777" w:rsidR="00B45F26" w:rsidRDefault="00B45F26" w:rsidP="00B45F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Valparaíso,7 de junio de 2023.</w:t>
      </w:r>
    </w:p>
    <w:p w14:paraId="05CEFDEE" w14:textId="77777777" w:rsidR="00B45F26" w:rsidRDefault="00B45F26" w:rsidP="00B45F26">
      <w:pPr>
        <w:jc w:val="both"/>
      </w:pPr>
    </w:p>
    <w:p w14:paraId="70F0594B" w14:textId="77777777" w:rsidR="00B45F26" w:rsidRPr="00A44521" w:rsidRDefault="00B45F26" w:rsidP="00B45F26">
      <w:pPr>
        <w:jc w:val="both"/>
        <w:rPr>
          <w:rFonts w:cs="Arial"/>
          <w:szCs w:val="24"/>
        </w:rPr>
      </w:pPr>
    </w:p>
    <w:p w14:paraId="4F9E772D" w14:textId="77777777" w:rsidR="00B45F26" w:rsidRPr="00A44521" w:rsidRDefault="00B45F26" w:rsidP="00B45F26">
      <w:pPr>
        <w:jc w:val="center"/>
        <w:rPr>
          <w:rFonts w:cs="Arial"/>
          <w:szCs w:val="24"/>
        </w:rPr>
      </w:pPr>
      <w:r w:rsidRPr="00042B7D">
        <w:rPr>
          <w:noProof/>
          <w:szCs w:val="24"/>
          <w:lang w:val="es-CL" w:eastAsia="es-CL"/>
        </w:rPr>
        <w:drawing>
          <wp:inline distT="0" distB="0" distL="0" distR="0" wp14:anchorId="2225BFD7" wp14:editId="1D3D4FEF">
            <wp:extent cx="3181350" cy="1343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C69A" w14:textId="77777777" w:rsidR="00C716EB" w:rsidRDefault="00C716EB"/>
    <w:sectPr w:rsidR="00C71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26"/>
    <w:rsid w:val="0041337E"/>
    <w:rsid w:val="00490D87"/>
    <w:rsid w:val="00594928"/>
    <w:rsid w:val="00892621"/>
    <w:rsid w:val="00A071A1"/>
    <w:rsid w:val="00B003E6"/>
    <w:rsid w:val="00B45F26"/>
    <w:rsid w:val="00C37711"/>
    <w:rsid w:val="00C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19B2E5"/>
  <w15:chartTrackingRefBased/>
  <w15:docId w15:val="{AD7068BA-589C-4594-B3D6-CA928097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2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5F26"/>
    <w:pPr>
      <w:keepNext/>
      <w:spacing w:line="360" w:lineRule="auto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5F2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10">
    <w:name w:val="Título #1_"/>
    <w:link w:val="Ttulo11"/>
    <w:rsid w:val="00B45F26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tulo11">
    <w:name w:val="Título #1"/>
    <w:basedOn w:val="Normal"/>
    <w:link w:val="Ttulo10"/>
    <w:rsid w:val="00B45F26"/>
    <w:pPr>
      <w:widowControl w:val="0"/>
      <w:shd w:val="clear" w:color="auto" w:fill="FFFFFF"/>
      <w:spacing w:before="360" w:after="360" w:line="268" w:lineRule="exact"/>
      <w:outlineLvl w:val="0"/>
    </w:pPr>
    <w:rPr>
      <w:rFonts w:ascii="Verdana" w:eastAsia="Verdana" w:hAnsi="Verdana" w:cs="Verdana"/>
      <w:b/>
      <w:bCs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Montenegro</dc:creator>
  <cp:keywords/>
  <dc:description/>
  <cp:lastModifiedBy>Sebastián Montenegro</cp:lastModifiedBy>
  <cp:revision>2</cp:revision>
  <dcterms:created xsi:type="dcterms:W3CDTF">2023-06-07T21:44:00Z</dcterms:created>
  <dcterms:modified xsi:type="dcterms:W3CDTF">2023-06-07T21:44:00Z</dcterms:modified>
</cp:coreProperties>
</file>