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763" w:rsidRDefault="007C772A" w:rsidP="00617763">
      <w:pPr>
        <w:shd w:val="clear" w:color="auto" w:fill="FFFFFF"/>
        <w:tabs>
          <w:tab w:val="left" w:pos="-284"/>
          <w:tab w:val="left" w:pos="0"/>
          <w:tab w:val="left" w:pos="1701"/>
        </w:tabs>
        <w:jc w:val="both"/>
        <w:rPr>
          <w:rFonts w:ascii="Arial" w:hAnsi="Arial" w:cs="Arial"/>
          <w:b/>
          <w:bCs/>
          <w:color w:val="000000"/>
          <w:spacing w:val="-2"/>
          <w:sz w:val="22"/>
          <w:szCs w:val="22"/>
          <w:lang w:val="es-CL"/>
        </w:rPr>
      </w:pPr>
      <w:r w:rsidRPr="002E1ACA">
        <w:rPr>
          <w:rFonts w:ascii="Arial" w:hAnsi="Arial" w:cs="Arial"/>
          <w:b/>
          <w:sz w:val="22"/>
          <w:szCs w:val="22"/>
        </w:rPr>
        <w:t xml:space="preserve">INFORME DE LA COMISIÓN DE HACIENDA </w:t>
      </w:r>
      <w:r w:rsidRPr="002E1ACA">
        <w:rPr>
          <w:rFonts w:ascii="Arial" w:hAnsi="Arial" w:cs="Arial"/>
          <w:b/>
          <w:bCs/>
          <w:color w:val="000000"/>
          <w:spacing w:val="-2"/>
          <w:sz w:val="22"/>
          <w:szCs w:val="22"/>
        </w:rPr>
        <w:t xml:space="preserve">SOBRE </w:t>
      </w:r>
      <w:r w:rsidR="00813C23">
        <w:rPr>
          <w:rFonts w:ascii="Arial" w:hAnsi="Arial" w:cs="Arial"/>
          <w:b/>
          <w:bCs/>
          <w:color w:val="000000"/>
          <w:spacing w:val="-2"/>
          <w:sz w:val="22"/>
          <w:szCs w:val="22"/>
        </w:rPr>
        <w:t xml:space="preserve">EL </w:t>
      </w:r>
      <w:r w:rsidR="008E330A" w:rsidRPr="000A3244">
        <w:rPr>
          <w:rFonts w:ascii="Arial" w:hAnsi="Arial" w:cs="Arial"/>
          <w:b/>
          <w:bCs/>
          <w:color w:val="000000"/>
          <w:spacing w:val="-2"/>
          <w:sz w:val="22"/>
          <w:szCs w:val="22"/>
        </w:rPr>
        <w:t>PROYECTO DE ACUERDO QU</w:t>
      </w:r>
      <w:r w:rsidR="00E570E7">
        <w:rPr>
          <w:rFonts w:ascii="Arial" w:hAnsi="Arial" w:cs="Arial"/>
          <w:b/>
          <w:bCs/>
          <w:color w:val="000000"/>
          <w:spacing w:val="-2"/>
          <w:sz w:val="22"/>
          <w:szCs w:val="22"/>
        </w:rPr>
        <w:t xml:space="preserve">E </w:t>
      </w:r>
      <w:r w:rsidR="00617763" w:rsidRPr="00617763">
        <w:rPr>
          <w:rFonts w:ascii="Arial" w:hAnsi="Arial" w:cs="Arial"/>
          <w:b/>
          <w:bCs/>
          <w:color w:val="000000"/>
          <w:spacing w:val="-2"/>
          <w:sz w:val="22"/>
          <w:szCs w:val="22"/>
        </w:rPr>
        <w:t>A</w:t>
      </w:r>
      <w:r w:rsidR="00617763" w:rsidRPr="00617763">
        <w:rPr>
          <w:rFonts w:ascii="Arial" w:hAnsi="Arial" w:cs="Arial"/>
          <w:b/>
          <w:bCs/>
          <w:color w:val="000000"/>
          <w:spacing w:val="-2"/>
          <w:sz w:val="22"/>
          <w:szCs w:val="22"/>
          <w:lang w:val="es-ES"/>
        </w:rPr>
        <w:t>PRUEBA EL “T</w:t>
      </w:r>
      <w:r w:rsidR="00617763" w:rsidRPr="00617763">
        <w:rPr>
          <w:rFonts w:ascii="Arial" w:hAnsi="Arial" w:cs="Arial"/>
          <w:b/>
          <w:bCs/>
          <w:color w:val="000000"/>
          <w:spacing w:val="-2"/>
          <w:sz w:val="22"/>
          <w:szCs w:val="22"/>
          <w:lang w:val="es-CL"/>
        </w:rPr>
        <w:t>RATADO RELATIVO A LA TRANSMISIÓN ELECTRÓNICA DE SOLICITUDES DE COOPERACIÓN JURÍDICA INTERNACIONAL ENTRE AUTORIDADES CENTRALES, HECHO EN MEDELLÍN, COLOMBIA, EL 24 Y 25 DE JULIO DE 2019”.</w:t>
      </w:r>
    </w:p>
    <w:p w:rsidR="00617763" w:rsidRPr="00617763" w:rsidRDefault="00617763" w:rsidP="00617763">
      <w:pPr>
        <w:shd w:val="clear" w:color="auto" w:fill="FFFFFF"/>
        <w:tabs>
          <w:tab w:val="left" w:pos="-284"/>
          <w:tab w:val="left" w:pos="0"/>
          <w:tab w:val="left" w:pos="1701"/>
        </w:tabs>
        <w:jc w:val="both"/>
        <w:rPr>
          <w:rFonts w:ascii="Arial" w:hAnsi="Arial" w:cs="Arial"/>
          <w:b/>
          <w:bCs/>
          <w:color w:val="000000"/>
          <w:spacing w:val="-2"/>
          <w:sz w:val="22"/>
          <w:szCs w:val="22"/>
          <w:lang w:val="es-CL"/>
        </w:rPr>
      </w:pPr>
      <w:r>
        <w:rPr>
          <w:rFonts w:ascii="Arial" w:hAnsi="Arial" w:cs="Arial"/>
          <w:b/>
          <w:bCs/>
          <w:color w:val="000000"/>
          <w:spacing w:val="-2"/>
          <w:sz w:val="22"/>
          <w:szCs w:val="22"/>
          <w:lang w:val="es-CL"/>
        </w:rPr>
        <w:t>______________________________________________________________________</w:t>
      </w:r>
    </w:p>
    <w:p w:rsidR="003F2693" w:rsidRDefault="003F2693" w:rsidP="00617763">
      <w:pPr>
        <w:shd w:val="clear" w:color="auto" w:fill="FFFFFF"/>
        <w:tabs>
          <w:tab w:val="left" w:pos="-284"/>
          <w:tab w:val="left" w:pos="0"/>
          <w:tab w:val="left" w:pos="1701"/>
        </w:tabs>
        <w:jc w:val="both"/>
        <w:rPr>
          <w:rFonts w:ascii="Arial" w:hAnsi="Arial" w:cs="Arial"/>
          <w:b/>
          <w:bCs/>
          <w:color w:val="000000"/>
          <w:spacing w:val="-2"/>
          <w:sz w:val="22"/>
          <w:szCs w:val="22"/>
        </w:rPr>
      </w:pPr>
    </w:p>
    <w:p w:rsidR="00813C23" w:rsidRDefault="00813C23" w:rsidP="008E330A">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p>
    <w:p w:rsidR="008E330A" w:rsidRDefault="00705A09" w:rsidP="008E330A">
      <w:pPr>
        <w:shd w:val="clear" w:color="auto" w:fill="FFFFFF"/>
        <w:tabs>
          <w:tab w:val="left" w:pos="-284"/>
          <w:tab w:val="left" w:pos="0"/>
          <w:tab w:val="left" w:pos="1701"/>
        </w:tabs>
        <w:spacing w:line="276" w:lineRule="auto"/>
        <w:jc w:val="right"/>
        <w:rPr>
          <w:rFonts w:ascii="Arial" w:hAnsi="Arial" w:cs="Arial"/>
          <w:sz w:val="22"/>
          <w:szCs w:val="22"/>
        </w:rPr>
      </w:pPr>
      <w:r w:rsidRPr="002E1ACA">
        <w:rPr>
          <w:rFonts w:ascii="Arial" w:hAnsi="Arial" w:cs="Arial"/>
          <w:b/>
          <w:bCs/>
          <w:color w:val="000000"/>
          <w:spacing w:val="-2"/>
          <w:sz w:val="22"/>
          <w:szCs w:val="22"/>
        </w:rPr>
        <w:t xml:space="preserve">Boletín N° </w:t>
      </w:r>
      <w:r w:rsidR="008E330A">
        <w:rPr>
          <w:rFonts w:ascii="Arial" w:hAnsi="Arial" w:cs="Arial"/>
          <w:b/>
          <w:bCs/>
          <w:color w:val="000000"/>
          <w:spacing w:val="-2"/>
          <w:sz w:val="22"/>
          <w:szCs w:val="22"/>
        </w:rPr>
        <w:t>1</w:t>
      </w:r>
      <w:r w:rsidR="00617763">
        <w:rPr>
          <w:rFonts w:ascii="Arial" w:hAnsi="Arial" w:cs="Arial"/>
          <w:b/>
          <w:bCs/>
          <w:color w:val="000000"/>
          <w:spacing w:val="-2"/>
          <w:sz w:val="22"/>
          <w:szCs w:val="22"/>
        </w:rPr>
        <w:t>4775-</w:t>
      </w:r>
      <w:r w:rsidR="008E330A">
        <w:rPr>
          <w:rFonts w:ascii="Arial" w:hAnsi="Arial" w:cs="Arial"/>
          <w:b/>
          <w:bCs/>
          <w:color w:val="000000"/>
          <w:spacing w:val="-2"/>
          <w:sz w:val="22"/>
          <w:szCs w:val="22"/>
        </w:rPr>
        <w:t>10</w:t>
      </w:r>
    </w:p>
    <w:p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rsidR="007C772A" w:rsidRDefault="007C772A" w:rsidP="007C772A">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617763" w:rsidRPr="00617763">
        <w:rPr>
          <w:rFonts w:ascii="Arial" w:hAnsi="Arial" w:cs="Arial"/>
          <w:sz w:val="22"/>
          <w:szCs w:val="22"/>
        </w:rPr>
        <w:t>del entonces Presidente de la República don Sebastián Piñera Echenique</w:t>
      </w:r>
      <w:r w:rsidR="00617763">
        <w:rPr>
          <w:rFonts w:ascii="Arial" w:hAnsi="Arial" w:cs="Arial"/>
          <w:sz w:val="22"/>
          <w:szCs w:val="22"/>
        </w:rPr>
        <w:t xml:space="preserve">, </w:t>
      </w:r>
      <w:r w:rsidRPr="002E1ACA">
        <w:rPr>
          <w:rFonts w:ascii="Arial" w:hAnsi="Arial" w:cs="Arial"/>
          <w:sz w:val="22"/>
          <w:szCs w:val="22"/>
        </w:rPr>
        <w:t xml:space="preserve">ingresado a tramitación el </w:t>
      </w:r>
      <w:r w:rsidR="00E570E7">
        <w:rPr>
          <w:rFonts w:ascii="Arial" w:hAnsi="Arial" w:cs="Arial"/>
          <w:sz w:val="22"/>
          <w:szCs w:val="22"/>
        </w:rPr>
        <w:t>3 de enero de 202</w:t>
      </w:r>
      <w:r w:rsidR="00617763">
        <w:rPr>
          <w:rFonts w:ascii="Arial" w:hAnsi="Arial" w:cs="Arial"/>
          <w:sz w:val="22"/>
          <w:szCs w:val="22"/>
        </w:rPr>
        <w:t>2</w:t>
      </w:r>
      <w:r w:rsidR="000C6118" w:rsidRPr="002E1ACA">
        <w:rPr>
          <w:rFonts w:ascii="Arial" w:hAnsi="Arial" w:cs="Arial"/>
          <w:sz w:val="22"/>
          <w:szCs w:val="22"/>
        </w:rPr>
        <w:t>, e informado en cumplimiento de su primer trámite constitucional, por la Comisión de Relaciones Exteriores, Asuntos Interparlamentarios e Integración Latinoamericana</w:t>
      </w:r>
      <w:r w:rsidRPr="002E1ACA">
        <w:rPr>
          <w:rFonts w:ascii="Arial" w:hAnsi="Arial" w:cs="Arial"/>
          <w:sz w:val="22"/>
          <w:szCs w:val="22"/>
        </w:rPr>
        <w:t>.</w:t>
      </w:r>
      <w:r w:rsidR="003F2693">
        <w:rPr>
          <w:rFonts w:ascii="Arial" w:hAnsi="Arial" w:cs="Arial"/>
          <w:sz w:val="22"/>
          <w:szCs w:val="22"/>
        </w:rPr>
        <w:t xml:space="preserve"> </w:t>
      </w:r>
      <w:r w:rsidR="0059157C">
        <w:rPr>
          <w:rFonts w:ascii="Arial" w:hAnsi="Arial" w:cs="Arial"/>
          <w:sz w:val="22"/>
          <w:szCs w:val="22"/>
        </w:rPr>
        <w:t>Se encuentra con urgencia calificada de SUMA.</w:t>
      </w:r>
    </w:p>
    <w:p w:rsidR="002F5529" w:rsidRDefault="002F5529" w:rsidP="007C772A">
      <w:pPr>
        <w:tabs>
          <w:tab w:val="left" w:pos="-284"/>
          <w:tab w:val="left" w:pos="0"/>
          <w:tab w:val="left" w:pos="1701"/>
        </w:tabs>
        <w:spacing w:line="276" w:lineRule="auto"/>
        <w:ind w:right="51" w:firstLine="1701"/>
        <w:jc w:val="both"/>
        <w:rPr>
          <w:rFonts w:ascii="Arial" w:hAnsi="Arial" w:cs="Arial"/>
          <w:sz w:val="22"/>
          <w:szCs w:val="22"/>
        </w:rPr>
      </w:pPr>
    </w:p>
    <w:p w:rsidR="002F5529" w:rsidRDefault="002F5529" w:rsidP="002F5529">
      <w:pPr>
        <w:spacing w:line="276" w:lineRule="auto"/>
        <w:ind w:firstLine="1701"/>
        <w:jc w:val="both"/>
        <w:rPr>
          <w:rFonts w:ascii="Arial" w:hAnsi="Arial" w:cs="Arial"/>
          <w:sz w:val="22"/>
          <w:szCs w:val="22"/>
        </w:rPr>
      </w:pPr>
      <w:r>
        <w:rPr>
          <w:rFonts w:ascii="Arial" w:hAnsi="Arial" w:cs="Arial"/>
          <w:sz w:val="22"/>
          <w:szCs w:val="22"/>
        </w:rPr>
        <w:t>A</w:t>
      </w:r>
      <w:r w:rsidRPr="008920E8">
        <w:rPr>
          <w:rFonts w:ascii="Arial" w:hAnsi="Arial" w:cs="Arial"/>
          <w:sz w:val="22"/>
          <w:szCs w:val="22"/>
        </w:rPr>
        <w:t xml:space="preserve">sistieron </w:t>
      </w:r>
      <w:r>
        <w:rPr>
          <w:rFonts w:ascii="Arial" w:hAnsi="Arial" w:cs="Arial"/>
          <w:sz w:val="22"/>
          <w:szCs w:val="22"/>
        </w:rPr>
        <w:t xml:space="preserve">en representación </w:t>
      </w:r>
      <w:r w:rsidRPr="008920E8">
        <w:rPr>
          <w:rFonts w:ascii="Arial" w:hAnsi="Arial" w:cs="Arial"/>
          <w:sz w:val="22"/>
          <w:szCs w:val="22"/>
        </w:rPr>
        <w:t>del Ejecutivo</w:t>
      </w:r>
      <w:r>
        <w:rPr>
          <w:rFonts w:ascii="Arial" w:hAnsi="Arial" w:cs="Arial"/>
          <w:sz w:val="22"/>
          <w:szCs w:val="22"/>
        </w:rPr>
        <w:t xml:space="preserve"> a presentar el proyecto de acuerdo</w:t>
      </w:r>
      <w:r w:rsidRPr="008920E8">
        <w:rPr>
          <w:rFonts w:ascii="Arial" w:hAnsi="Arial" w:cs="Arial"/>
          <w:sz w:val="22"/>
          <w:szCs w:val="22"/>
        </w:rPr>
        <w:t xml:space="preserve">, el Ministro de Justicia y Derechos Humanos, señor Luis Cordero Vega y Ministerio de Relaciones Exteriores, Director General de Asuntos Jurídicos subrogante de la Cancillería, señor Pedro Ortúzar Meza acompañado del Jefe del Departamento de Defensa, Asuntos Estratégicos y Operaciones de Paz, de la División de Seguridad Internacional y Humana del ministerio, Jorge Riquelme Rivera. </w:t>
      </w:r>
    </w:p>
    <w:p w:rsidR="002F5529" w:rsidRDefault="002F5529" w:rsidP="002F5529">
      <w:pPr>
        <w:spacing w:line="276" w:lineRule="auto"/>
        <w:ind w:firstLine="1701"/>
        <w:jc w:val="both"/>
        <w:rPr>
          <w:rFonts w:ascii="Arial" w:hAnsi="Arial" w:cs="Arial"/>
          <w:sz w:val="22"/>
          <w:szCs w:val="22"/>
        </w:rPr>
      </w:pPr>
    </w:p>
    <w:p w:rsidR="00755EFD" w:rsidRPr="002E1ACA" w:rsidRDefault="00755EFD" w:rsidP="005474DB">
      <w:pPr>
        <w:pStyle w:val="Ttulo1"/>
        <w:tabs>
          <w:tab w:val="left" w:pos="-284"/>
          <w:tab w:val="left" w:pos="0"/>
        </w:tabs>
        <w:spacing w:line="276" w:lineRule="auto"/>
        <w:rPr>
          <w:rFonts w:cs="Arial"/>
          <w:b/>
          <w:sz w:val="22"/>
          <w:szCs w:val="22"/>
        </w:rPr>
      </w:pPr>
    </w:p>
    <w:p w:rsidR="00F20C32" w:rsidRPr="002E1ACA" w:rsidRDefault="004F146B" w:rsidP="005474DB">
      <w:pPr>
        <w:pStyle w:val="Ttulo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rsidR="005474DB" w:rsidRPr="002E1ACA" w:rsidRDefault="005474DB" w:rsidP="005474DB">
      <w:pPr>
        <w:tabs>
          <w:tab w:val="left" w:pos="-284"/>
          <w:tab w:val="left" w:pos="0"/>
        </w:tabs>
        <w:spacing w:line="276" w:lineRule="auto"/>
        <w:ind w:firstLine="1701"/>
        <w:rPr>
          <w:rFonts w:ascii="Arial" w:hAnsi="Arial" w:cs="Arial"/>
          <w:sz w:val="22"/>
          <w:szCs w:val="22"/>
        </w:rPr>
      </w:pPr>
    </w:p>
    <w:p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rsidR="00C61FB7" w:rsidRPr="00C61FB7" w:rsidRDefault="00C61FB7" w:rsidP="00C61FB7">
      <w:pPr>
        <w:spacing w:line="276" w:lineRule="auto"/>
        <w:ind w:firstLine="1985"/>
        <w:jc w:val="both"/>
        <w:rPr>
          <w:rFonts w:ascii="Arial" w:eastAsia="Calibri" w:hAnsi="Arial" w:cs="Arial"/>
          <w:sz w:val="22"/>
          <w:szCs w:val="24"/>
          <w:lang w:val="es-CL" w:eastAsia="en-US"/>
        </w:rPr>
      </w:pPr>
      <w:r w:rsidRPr="00C61FB7">
        <w:rPr>
          <w:rFonts w:ascii="Arial" w:eastAsia="Calibri" w:hAnsi="Arial" w:cs="Arial"/>
          <w:sz w:val="22"/>
          <w:szCs w:val="24"/>
          <w:lang w:val="es-CL" w:eastAsia="en-US"/>
        </w:rPr>
        <w:t>Acelerar la tramitación y la remisión de las solicitudes de cooperación jurídica entre los Estados Firmantes, al posibilitar que las Autoridades Centrales de los respectivos países, utilicen de manera preferente medios electrónicos para ello</w:t>
      </w:r>
      <w:r>
        <w:rPr>
          <w:rFonts w:ascii="Arial" w:eastAsia="Calibri" w:hAnsi="Arial" w:cs="Arial"/>
          <w:sz w:val="22"/>
          <w:szCs w:val="24"/>
          <w:lang w:val="es-CL" w:eastAsia="en-US"/>
        </w:rPr>
        <w:t>,</w:t>
      </w:r>
      <w:r w:rsidRPr="00C61FB7">
        <w:rPr>
          <w:rFonts w:ascii="Arial" w:eastAsia="Calibri" w:hAnsi="Arial" w:cs="Arial"/>
          <w:sz w:val="22"/>
          <w:szCs w:val="24"/>
          <w:lang w:val="es-CL" w:eastAsia="en-US"/>
        </w:rPr>
        <w:t xml:space="preserve"> en el marco de los tratados vigentes entre las Partes y que contemplen la comunicación directa entre los Ministerios de Justicia, Fiscalías, Ministerios Públicos y Poderes Judiciales, </w:t>
      </w:r>
      <w:r>
        <w:rPr>
          <w:rFonts w:ascii="Arial" w:eastAsia="Calibri" w:hAnsi="Arial" w:cs="Arial"/>
          <w:sz w:val="22"/>
          <w:szCs w:val="24"/>
          <w:lang w:val="es-CL" w:eastAsia="en-US"/>
        </w:rPr>
        <w:t>para</w:t>
      </w:r>
      <w:r w:rsidRPr="00C61FB7">
        <w:rPr>
          <w:rFonts w:ascii="Arial" w:eastAsia="Calibri" w:hAnsi="Arial" w:cs="Arial"/>
          <w:sz w:val="22"/>
          <w:szCs w:val="24"/>
          <w:lang w:val="es-CL" w:eastAsia="en-US"/>
        </w:rPr>
        <w:t xml:space="preserve"> impulsar, canalizar y promover la cooperación jurídica internacional en materia penal y civil, entre las autoridades competentes pertenecientes a la Comunidad Iberoamericana, dispensando el envío de solicitudes o consultas por medio físico. </w:t>
      </w:r>
    </w:p>
    <w:p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rsidR="005474DB"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rsidR="00B86BC9" w:rsidRPr="00B86BC9" w:rsidRDefault="00B86BC9"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B86BC9">
        <w:rPr>
          <w:rFonts w:ascii="Arial" w:hAnsi="Arial" w:cs="Arial"/>
          <w:sz w:val="22"/>
          <w:szCs w:val="22"/>
        </w:rPr>
        <w:t>El artículo único del proyecto de acuerdo</w:t>
      </w:r>
      <w:r>
        <w:rPr>
          <w:rFonts w:ascii="Arial" w:hAnsi="Arial" w:cs="Arial"/>
          <w:sz w:val="22"/>
          <w:szCs w:val="22"/>
        </w:rPr>
        <w:t>.</w:t>
      </w:r>
    </w:p>
    <w:p w:rsidR="00215B3E" w:rsidRDefault="00215B3E"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técnica </w:t>
      </w:r>
    </w:p>
    <w:p w:rsidR="005474DB" w:rsidRDefault="005474DB" w:rsidP="00D1415C">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rsidR="00D1415C" w:rsidRPr="00D1415C" w:rsidRDefault="00D1415C" w:rsidP="00D1415C">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w:t>
      </w:r>
      <w:r w:rsidR="001439FE" w:rsidRPr="002E1ACA">
        <w:rPr>
          <w:rFonts w:ascii="Arial" w:hAnsi="Arial" w:cs="Arial"/>
          <w:sz w:val="22"/>
          <w:szCs w:val="22"/>
        </w:rPr>
        <w:t>r</w:t>
      </w:r>
      <w:r w:rsidRPr="002E1ACA">
        <w:rPr>
          <w:rFonts w:ascii="Arial" w:hAnsi="Arial" w:cs="Arial"/>
          <w:sz w:val="22"/>
          <w:szCs w:val="22"/>
        </w:rPr>
        <w:t>obarse con quórum especial.</w:t>
      </w:r>
    </w:p>
    <w:p w:rsidR="008B0791"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Default="00755EFD" w:rsidP="005474DB">
      <w:pPr>
        <w:spacing w:line="276" w:lineRule="auto"/>
        <w:ind w:firstLine="1701"/>
        <w:jc w:val="both"/>
        <w:rPr>
          <w:rFonts w:ascii="Arial" w:hAnsi="Arial" w:cs="Arial"/>
          <w:sz w:val="22"/>
          <w:szCs w:val="22"/>
          <w:u w:val="single"/>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r w:rsidR="00617763">
        <w:rPr>
          <w:rFonts w:ascii="Arial" w:hAnsi="Arial" w:cs="Arial"/>
          <w:sz w:val="22"/>
          <w:szCs w:val="22"/>
          <w:u w:val="single"/>
        </w:rPr>
        <w:t xml:space="preserve">: </w:t>
      </w:r>
    </w:p>
    <w:p w:rsidR="00617763" w:rsidRPr="00617763" w:rsidRDefault="00617763" w:rsidP="005474DB">
      <w:pPr>
        <w:spacing w:line="276" w:lineRule="auto"/>
        <w:ind w:firstLine="1701"/>
        <w:jc w:val="both"/>
        <w:rPr>
          <w:rFonts w:ascii="Arial" w:hAnsi="Arial" w:cs="Arial"/>
          <w:sz w:val="22"/>
          <w:szCs w:val="22"/>
        </w:rPr>
      </w:pPr>
      <w:r w:rsidRPr="00617763">
        <w:rPr>
          <w:rFonts w:ascii="Arial" w:hAnsi="Arial" w:cs="Arial"/>
          <w:sz w:val="22"/>
          <w:szCs w:val="22"/>
        </w:rPr>
        <w:t xml:space="preserve">El texto sometido a consideración </w:t>
      </w:r>
      <w:r>
        <w:rPr>
          <w:rFonts w:ascii="Arial" w:hAnsi="Arial" w:cs="Arial"/>
          <w:sz w:val="22"/>
          <w:szCs w:val="22"/>
        </w:rPr>
        <w:t>fue aprobado por la unanimidad de los 7 integrantes presentes, diputados Bianchi, Ramírez, don Guillermo, Rosas, Sáez,</w:t>
      </w:r>
      <w:r w:rsidR="004357D9">
        <w:rPr>
          <w:rFonts w:ascii="Arial" w:hAnsi="Arial" w:cs="Arial"/>
          <w:sz w:val="22"/>
          <w:szCs w:val="22"/>
        </w:rPr>
        <w:t xml:space="preserve"> Sepúlveda, Von Mühlenbrock y diputada Yeomans, (Presidenta)</w:t>
      </w:r>
    </w:p>
    <w:p w:rsidR="00C11848" w:rsidRDefault="00C11848" w:rsidP="00C11848">
      <w:pPr>
        <w:tabs>
          <w:tab w:val="left" w:pos="2175"/>
        </w:tabs>
        <w:spacing w:line="276" w:lineRule="auto"/>
        <w:ind w:firstLine="1701"/>
        <w:jc w:val="both"/>
        <w:rPr>
          <w:rFonts w:ascii="Arial" w:hAnsi="Arial" w:cs="Arial"/>
          <w:sz w:val="22"/>
          <w:szCs w:val="22"/>
        </w:rPr>
      </w:pPr>
    </w:p>
    <w:p w:rsidR="005474DB" w:rsidRPr="002E1ACA" w:rsidRDefault="00881094"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Pr>
          <w:rFonts w:ascii="Arial" w:hAnsi="Arial" w:cs="Arial"/>
          <w:sz w:val="22"/>
          <w:szCs w:val="22"/>
        </w:rPr>
        <w:t>8</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w:t>
      </w:r>
      <w:r w:rsidR="00AA26C7">
        <w:rPr>
          <w:rFonts w:ascii="Arial" w:hAnsi="Arial" w:cs="Arial"/>
          <w:sz w:val="22"/>
          <w:szCs w:val="22"/>
        </w:rPr>
        <w:t xml:space="preserve">al señor </w:t>
      </w:r>
      <w:r w:rsidR="004357D9">
        <w:rPr>
          <w:rFonts w:ascii="Arial" w:hAnsi="Arial" w:cs="Arial"/>
          <w:sz w:val="22"/>
          <w:szCs w:val="22"/>
        </w:rPr>
        <w:t>Carlos Bianchi Chelech.</w:t>
      </w:r>
    </w:p>
    <w:p w:rsidR="00C11848" w:rsidRPr="002E1ACA" w:rsidRDefault="00C11848" w:rsidP="00FD4A0B">
      <w:pPr>
        <w:rPr>
          <w:rFonts w:ascii="Arial" w:hAnsi="Arial" w:cs="Arial"/>
          <w:sz w:val="22"/>
          <w:szCs w:val="22"/>
        </w:rPr>
      </w:pPr>
    </w:p>
    <w:p w:rsidR="00AE05C2" w:rsidRDefault="00AE05C2" w:rsidP="00215B3E">
      <w:pPr>
        <w:widowControl w:val="0"/>
        <w:autoSpaceDE w:val="0"/>
        <w:autoSpaceDN w:val="0"/>
        <w:jc w:val="both"/>
        <w:rPr>
          <w:rFonts w:ascii="Arial" w:eastAsia="Courier New" w:hAnsi="Arial" w:cs="Arial"/>
          <w:b/>
          <w:color w:val="3A3A3A"/>
          <w:w w:val="105"/>
          <w:sz w:val="22"/>
          <w:szCs w:val="22"/>
        </w:rPr>
      </w:pPr>
    </w:p>
    <w:p w:rsidR="00215B3E" w:rsidRPr="00215B3E" w:rsidRDefault="00215B3E" w:rsidP="00215B3E">
      <w:pPr>
        <w:widowControl w:val="0"/>
        <w:autoSpaceDE w:val="0"/>
        <w:autoSpaceDN w:val="0"/>
        <w:jc w:val="both"/>
        <w:rPr>
          <w:rFonts w:ascii="Arial" w:eastAsia="Courier New" w:hAnsi="Arial" w:cs="Arial"/>
          <w:b/>
          <w:color w:val="3A3A3A"/>
          <w:w w:val="105"/>
          <w:sz w:val="22"/>
          <w:szCs w:val="22"/>
        </w:rPr>
      </w:pPr>
      <w:r w:rsidRPr="00215B3E">
        <w:rPr>
          <w:rFonts w:ascii="Arial" w:eastAsia="Courier New" w:hAnsi="Arial" w:cs="Arial"/>
          <w:b/>
          <w:color w:val="3A3A3A"/>
          <w:w w:val="105"/>
          <w:sz w:val="22"/>
          <w:szCs w:val="22"/>
        </w:rPr>
        <w:t>II.-ANTECEDENTES</w:t>
      </w:r>
    </w:p>
    <w:p w:rsidR="00215B3E" w:rsidRDefault="00215B3E" w:rsidP="00215B3E">
      <w:pPr>
        <w:widowControl w:val="0"/>
        <w:autoSpaceDE w:val="0"/>
        <w:autoSpaceDN w:val="0"/>
        <w:spacing w:line="276" w:lineRule="auto"/>
        <w:ind w:firstLine="1701"/>
        <w:jc w:val="both"/>
        <w:rPr>
          <w:rFonts w:ascii="Arial" w:hAnsi="Arial" w:cs="Arial"/>
          <w:sz w:val="22"/>
          <w:szCs w:val="22"/>
        </w:rPr>
      </w:pPr>
    </w:p>
    <w:p w:rsidR="00215B3E" w:rsidRPr="00215B3E" w:rsidRDefault="00215B3E" w:rsidP="00215B3E">
      <w:pPr>
        <w:widowControl w:val="0"/>
        <w:autoSpaceDE w:val="0"/>
        <w:autoSpaceDN w:val="0"/>
        <w:spacing w:line="276" w:lineRule="auto"/>
        <w:ind w:firstLine="1701"/>
        <w:jc w:val="both"/>
        <w:rPr>
          <w:rFonts w:ascii="Arial" w:hAnsi="Arial" w:cs="Arial"/>
          <w:sz w:val="22"/>
          <w:szCs w:val="22"/>
        </w:rPr>
      </w:pPr>
      <w:r w:rsidRPr="00215B3E">
        <w:rPr>
          <w:rFonts w:ascii="Arial" w:hAnsi="Arial" w:cs="Arial"/>
          <w:sz w:val="22"/>
          <w:szCs w:val="22"/>
        </w:rPr>
        <w:t xml:space="preserve">-El Tratado de Medellín prevé el uso de Iber@ para el envío y recepción de las solicitudes de cooperación jurídica internacional entre Autoridades Centrales, </w:t>
      </w:r>
    </w:p>
    <w:p w:rsidR="00215B3E" w:rsidRPr="00215B3E" w:rsidRDefault="00215B3E" w:rsidP="00215B3E">
      <w:pPr>
        <w:widowControl w:val="0"/>
        <w:autoSpaceDE w:val="0"/>
        <w:autoSpaceDN w:val="0"/>
        <w:spacing w:line="276" w:lineRule="auto"/>
        <w:ind w:firstLine="1701"/>
        <w:jc w:val="both"/>
        <w:rPr>
          <w:rFonts w:ascii="Arial" w:hAnsi="Arial" w:cs="Arial"/>
          <w:sz w:val="22"/>
          <w:szCs w:val="22"/>
        </w:rPr>
      </w:pPr>
      <w:r w:rsidRPr="00215B3E">
        <w:rPr>
          <w:rFonts w:ascii="Arial" w:hAnsi="Arial" w:cs="Arial"/>
          <w:spacing w:val="-3"/>
          <w:sz w:val="22"/>
          <w:szCs w:val="22"/>
          <w:lang w:val="es-ES"/>
        </w:rPr>
        <w:t>-</w:t>
      </w:r>
      <w:r w:rsidRPr="00215B3E">
        <w:rPr>
          <w:rFonts w:ascii="Arial" w:hAnsi="Arial" w:cs="Arial"/>
          <w:sz w:val="22"/>
          <w:szCs w:val="22"/>
        </w:rPr>
        <w:t xml:space="preserve"> Iber@ es una plataforma segura de la Red Iberoamericana de Cooperación Jurídica Internacional (IberRed), la cual es una estructura formada por las Autoridades Centrales y por los puntos de contacto procedentes perteneciente a los estados partes.</w:t>
      </w:r>
    </w:p>
    <w:p w:rsidR="00215B3E" w:rsidRPr="00215B3E" w:rsidRDefault="00215B3E" w:rsidP="00215B3E">
      <w:pPr>
        <w:spacing w:line="276" w:lineRule="auto"/>
        <w:ind w:firstLine="1701"/>
        <w:jc w:val="both"/>
        <w:rPr>
          <w:rFonts w:ascii="Arial" w:eastAsia="Calibri" w:hAnsi="Arial" w:cs="Arial"/>
          <w:sz w:val="22"/>
          <w:szCs w:val="22"/>
          <w:lang w:val="es-CL"/>
        </w:rPr>
      </w:pPr>
      <w:r w:rsidRPr="00215B3E">
        <w:rPr>
          <w:rFonts w:ascii="Arial" w:hAnsi="Arial" w:cs="Arial"/>
          <w:sz w:val="22"/>
          <w:szCs w:val="22"/>
        </w:rPr>
        <w:t>-</w:t>
      </w:r>
      <w:r w:rsidRPr="00215B3E">
        <w:rPr>
          <w:rFonts w:ascii="Arial" w:eastAsia="Calibri" w:hAnsi="Arial" w:cs="Arial"/>
          <w:sz w:val="22"/>
          <w:szCs w:val="22"/>
          <w:lang w:val="es-CL"/>
        </w:rPr>
        <w:t>En cuanto a su estructura, IberRed está integrada por una Secretaría General de carácter permanente, desempeñada por la Secretaría General de la Conferencia de Ministros de Justicia de los Países Iberoamericanos (COMJIB), actualmente España.</w:t>
      </w:r>
    </w:p>
    <w:p w:rsidR="00215B3E" w:rsidRPr="00215B3E" w:rsidRDefault="00215B3E" w:rsidP="00215B3E">
      <w:pPr>
        <w:spacing w:line="276" w:lineRule="auto"/>
        <w:ind w:firstLine="1701"/>
        <w:jc w:val="both"/>
        <w:rPr>
          <w:rFonts w:ascii="Arial" w:hAnsi="Arial" w:cs="Arial"/>
          <w:sz w:val="22"/>
          <w:szCs w:val="22"/>
        </w:rPr>
      </w:pPr>
    </w:p>
    <w:p w:rsidR="00215B3E" w:rsidRPr="00215B3E" w:rsidRDefault="00215B3E" w:rsidP="00215B3E">
      <w:pPr>
        <w:spacing w:line="276" w:lineRule="auto"/>
        <w:ind w:firstLine="1701"/>
        <w:jc w:val="both"/>
        <w:rPr>
          <w:rFonts w:ascii="Arial" w:eastAsia="Calibri" w:hAnsi="Arial" w:cs="Arial"/>
          <w:sz w:val="22"/>
          <w:szCs w:val="22"/>
          <w:lang w:val="es-CL"/>
        </w:rPr>
      </w:pPr>
      <w:r w:rsidRPr="00215B3E">
        <w:rPr>
          <w:rFonts w:ascii="Arial" w:hAnsi="Arial" w:cs="Arial"/>
          <w:sz w:val="22"/>
          <w:szCs w:val="22"/>
        </w:rPr>
        <w:t>-</w:t>
      </w:r>
      <w:r w:rsidRPr="00215B3E">
        <w:rPr>
          <w:rFonts w:ascii="Arial" w:eastAsia="Calibri" w:hAnsi="Arial" w:cs="Arial"/>
          <w:sz w:val="22"/>
          <w:szCs w:val="22"/>
          <w:lang w:val="es-CL"/>
        </w:rPr>
        <w:t>Igualmente, junto con las Autoridades Centrales, forman parte de esta Red, los Puntos de Contacto, como, asimismo, otras autoridades judiciales o administrativas con responsabilidad en la cooperación judicial en el ámbito penal y civil, cuya pertenencia a la misma sea considerada conveniente para sus objetivos.</w:t>
      </w:r>
    </w:p>
    <w:p w:rsidR="00215B3E" w:rsidRPr="00215B3E" w:rsidRDefault="00215B3E" w:rsidP="00215B3E">
      <w:pPr>
        <w:spacing w:line="276" w:lineRule="auto"/>
        <w:ind w:firstLine="1985"/>
        <w:jc w:val="both"/>
        <w:rPr>
          <w:rFonts w:ascii="Arial" w:eastAsia="Calibri" w:hAnsi="Arial" w:cs="Arial"/>
          <w:sz w:val="22"/>
          <w:szCs w:val="22"/>
          <w:lang w:val="es-CL"/>
        </w:rPr>
      </w:pPr>
    </w:p>
    <w:p w:rsidR="00215B3E" w:rsidRPr="00215B3E" w:rsidRDefault="00215B3E" w:rsidP="00215B3E">
      <w:pPr>
        <w:spacing w:line="276" w:lineRule="auto"/>
        <w:ind w:firstLine="1701"/>
        <w:jc w:val="both"/>
        <w:rPr>
          <w:rFonts w:ascii="Arial" w:eastAsia="Calibri" w:hAnsi="Arial" w:cs="Arial"/>
          <w:sz w:val="22"/>
          <w:szCs w:val="22"/>
          <w:lang w:val="es-CL"/>
        </w:rPr>
      </w:pPr>
      <w:r w:rsidRPr="00215B3E">
        <w:rPr>
          <w:rFonts w:ascii="Arial" w:hAnsi="Arial" w:cs="Arial"/>
          <w:sz w:val="22"/>
          <w:szCs w:val="22"/>
        </w:rPr>
        <w:t>-L</w:t>
      </w:r>
      <w:r w:rsidRPr="00215B3E">
        <w:rPr>
          <w:rFonts w:ascii="Arial" w:eastAsia="Calibri" w:hAnsi="Arial" w:cs="Arial"/>
          <w:sz w:val="22"/>
          <w:szCs w:val="22"/>
          <w:lang w:val="es-CL"/>
        </w:rPr>
        <w:t>a documentación transmitida mediante Iber@ se tendrá por original y/o autentica a los efectos previstos en los tratados en vigor entre las Partes, e Iber@ se regirá por la normativa sobre protección de datos y firma electrónica en vigor en el Estado donde se preste el servicio tecnológico y tenga su sede la Secretaría General</w:t>
      </w:r>
      <w:r w:rsidRPr="00215B3E">
        <w:rPr>
          <w:rFonts w:ascii="Arial" w:hAnsi="Arial" w:cs="Arial"/>
          <w:sz w:val="22"/>
          <w:szCs w:val="22"/>
        </w:rPr>
        <w:t>.</w:t>
      </w:r>
      <w:r w:rsidRPr="00215B3E">
        <w:rPr>
          <w:rFonts w:ascii="Arial" w:eastAsia="Calibri" w:hAnsi="Arial" w:cs="Arial"/>
          <w:sz w:val="22"/>
          <w:szCs w:val="22"/>
          <w:lang w:val="es-CL"/>
        </w:rPr>
        <w:t xml:space="preserve"> </w:t>
      </w:r>
    </w:p>
    <w:p w:rsidR="00215B3E" w:rsidRPr="00215B3E" w:rsidRDefault="00215B3E" w:rsidP="00215B3E">
      <w:pPr>
        <w:spacing w:line="276" w:lineRule="auto"/>
        <w:ind w:firstLine="1985"/>
        <w:jc w:val="both"/>
        <w:rPr>
          <w:rFonts w:ascii="Arial" w:eastAsia="Calibri" w:hAnsi="Arial" w:cs="Arial"/>
          <w:sz w:val="22"/>
          <w:szCs w:val="22"/>
          <w:lang w:val="es-CL"/>
        </w:rPr>
      </w:pPr>
    </w:p>
    <w:p w:rsidR="00215B3E" w:rsidRPr="00215B3E" w:rsidRDefault="00215B3E" w:rsidP="00215B3E">
      <w:pPr>
        <w:spacing w:line="276" w:lineRule="auto"/>
        <w:ind w:firstLine="1701"/>
        <w:jc w:val="both"/>
        <w:rPr>
          <w:rFonts w:ascii="Arial" w:eastAsia="Calibri" w:hAnsi="Arial" w:cs="Arial"/>
          <w:sz w:val="22"/>
          <w:szCs w:val="22"/>
          <w:lang w:val="es-CL"/>
        </w:rPr>
      </w:pPr>
      <w:r w:rsidRPr="00215B3E">
        <w:rPr>
          <w:rFonts w:ascii="Arial" w:hAnsi="Arial" w:cs="Arial"/>
          <w:sz w:val="22"/>
          <w:szCs w:val="22"/>
        </w:rPr>
        <w:t>-A</w:t>
      </w:r>
      <w:r w:rsidRPr="00215B3E">
        <w:rPr>
          <w:rFonts w:ascii="Arial" w:eastAsia="Calibri" w:hAnsi="Arial" w:cs="Arial"/>
          <w:sz w:val="22"/>
          <w:szCs w:val="22"/>
          <w:lang w:val="es-CL"/>
        </w:rPr>
        <w:t xml:space="preserve"> la fecha este tratado ha sido firmado por Argentina, Andorra, Bolivia, Brasil, Chile, Colombia, Ecuador, España, Paraguay, Portugal y Uruguay, y lo han ratificado Andorra, Cuba y España. </w:t>
      </w:r>
    </w:p>
    <w:p w:rsidR="00215B3E" w:rsidRDefault="00215B3E" w:rsidP="00215B3E">
      <w:pPr>
        <w:widowControl w:val="0"/>
        <w:autoSpaceDE w:val="0"/>
        <w:autoSpaceDN w:val="0"/>
        <w:jc w:val="both"/>
        <w:rPr>
          <w:rFonts w:ascii="Arial" w:eastAsia="Courier New" w:hAnsi="Arial" w:cs="Arial"/>
          <w:b/>
          <w:color w:val="3A3A3A"/>
          <w:w w:val="105"/>
          <w:lang w:val="es-ES"/>
        </w:rPr>
      </w:pPr>
    </w:p>
    <w:p w:rsidR="00AE05C2" w:rsidRDefault="00AE05C2" w:rsidP="00215B3E">
      <w:pPr>
        <w:widowControl w:val="0"/>
        <w:autoSpaceDE w:val="0"/>
        <w:autoSpaceDN w:val="0"/>
        <w:jc w:val="both"/>
        <w:rPr>
          <w:rFonts w:ascii="Arial" w:eastAsia="Courier New" w:hAnsi="Arial" w:cs="Arial"/>
          <w:b/>
          <w:color w:val="3A3A3A"/>
          <w:w w:val="105"/>
          <w:lang w:val="es-ES"/>
        </w:rPr>
      </w:pPr>
    </w:p>
    <w:p w:rsidR="00215B3E" w:rsidRPr="00AE05C2" w:rsidRDefault="00AE05C2" w:rsidP="00215B3E">
      <w:pPr>
        <w:widowControl w:val="0"/>
        <w:autoSpaceDE w:val="0"/>
        <w:autoSpaceDN w:val="0"/>
        <w:jc w:val="both"/>
        <w:rPr>
          <w:rFonts w:ascii="Arial" w:eastAsia="Courier New" w:hAnsi="Arial" w:cs="Arial"/>
          <w:b/>
          <w:color w:val="3A3A3A"/>
          <w:w w:val="105"/>
          <w:sz w:val="22"/>
          <w:szCs w:val="22"/>
          <w:lang w:val="es-ES"/>
        </w:rPr>
      </w:pPr>
      <w:r w:rsidRPr="00AE05C2">
        <w:rPr>
          <w:rFonts w:ascii="Arial" w:eastAsia="Courier New" w:hAnsi="Arial" w:cs="Arial"/>
          <w:b/>
          <w:color w:val="3A3A3A"/>
          <w:w w:val="105"/>
          <w:sz w:val="22"/>
          <w:szCs w:val="22"/>
          <w:lang w:val="es-ES"/>
        </w:rPr>
        <w:t>III.-</w:t>
      </w:r>
      <w:r w:rsidR="00215B3E" w:rsidRPr="00AE05C2">
        <w:rPr>
          <w:rFonts w:ascii="Arial" w:eastAsia="Courier New" w:hAnsi="Arial" w:cs="Arial"/>
          <w:b/>
          <w:color w:val="3A3A3A"/>
          <w:w w:val="105"/>
          <w:sz w:val="22"/>
          <w:szCs w:val="22"/>
          <w:lang w:val="es-ES"/>
        </w:rPr>
        <w:t xml:space="preserve">CONTENIDO DE LA INICIATIVA: </w:t>
      </w:r>
    </w:p>
    <w:p w:rsidR="00AE05C2" w:rsidRDefault="00AE05C2" w:rsidP="00AE05C2">
      <w:pPr>
        <w:spacing w:line="276" w:lineRule="auto"/>
        <w:ind w:firstLine="1985"/>
        <w:jc w:val="both"/>
        <w:rPr>
          <w:rFonts w:ascii="Arial" w:eastAsia="Calibri" w:hAnsi="Arial" w:cs="Arial"/>
          <w:sz w:val="22"/>
          <w:szCs w:val="22"/>
        </w:rPr>
      </w:pPr>
    </w:p>
    <w:p w:rsidR="00215B3E" w:rsidRPr="00AE05C2" w:rsidRDefault="00215B3E" w:rsidP="00AE05C2">
      <w:pPr>
        <w:spacing w:line="276" w:lineRule="auto"/>
        <w:ind w:firstLine="1985"/>
        <w:jc w:val="both"/>
        <w:rPr>
          <w:rFonts w:ascii="Arial" w:eastAsia="Calibri" w:hAnsi="Arial" w:cs="Arial"/>
          <w:sz w:val="22"/>
          <w:szCs w:val="22"/>
        </w:rPr>
      </w:pPr>
      <w:r w:rsidRPr="00AE05C2">
        <w:rPr>
          <w:rFonts w:ascii="Arial" w:eastAsia="Calibri" w:hAnsi="Arial" w:cs="Arial"/>
          <w:sz w:val="22"/>
          <w:szCs w:val="22"/>
        </w:rPr>
        <w:t xml:space="preserve">Este Tratado consta de un preámbulo, 16 artículos y 3 disposiciones transitorias. </w:t>
      </w:r>
    </w:p>
    <w:p w:rsidR="00215B3E" w:rsidRPr="00AE05C2" w:rsidRDefault="00215B3E" w:rsidP="00AE05C2">
      <w:pPr>
        <w:spacing w:line="276" w:lineRule="auto"/>
        <w:ind w:firstLine="1985"/>
        <w:jc w:val="both"/>
        <w:rPr>
          <w:rFonts w:ascii="Arial" w:hAnsi="Arial" w:cs="Arial"/>
          <w:sz w:val="22"/>
          <w:szCs w:val="22"/>
        </w:rPr>
      </w:pPr>
      <w:r w:rsidRPr="00AE05C2">
        <w:rPr>
          <w:rFonts w:ascii="Arial" w:eastAsia="Calibri" w:hAnsi="Arial" w:cs="Arial"/>
          <w:sz w:val="22"/>
          <w:szCs w:val="22"/>
          <w:u w:val="single"/>
        </w:rPr>
        <w:t>En el preámbulo</w:t>
      </w:r>
      <w:r w:rsidRPr="00AE05C2">
        <w:rPr>
          <w:rFonts w:ascii="Arial" w:eastAsia="Calibri" w:hAnsi="Arial" w:cs="Arial"/>
          <w:sz w:val="22"/>
          <w:szCs w:val="22"/>
        </w:rPr>
        <w:t xml:space="preserve">, las Partes reconocen la experiencia de la cooperación entre las Autoridades Centrales y los Puntos de Contacto Nacionales en el ámbito de la Red Iberoamericana de Cooperación Jurídica Internacional en materia penal y civil (IberRed) y el potencial de su plataforma electrónica Iber@. </w:t>
      </w:r>
    </w:p>
    <w:p w:rsidR="00215B3E" w:rsidRPr="00AE05C2" w:rsidRDefault="00215B3E" w:rsidP="00AE05C2">
      <w:pPr>
        <w:spacing w:line="276" w:lineRule="auto"/>
        <w:ind w:firstLine="1985"/>
        <w:jc w:val="both"/>
        <w:rPr>
          <w:rFonts w:ascii="Arial" w:eastAsia="Calibri" w:hAnsi="Arial" w:cs="Arial"/>
          <w:sz w:val="22"/>
          <w:szCs w:val="22"/>
          <w:lang w:val="es-CL"/>
        </w:rPr>
      </w:pPr>
      <w:r w:rsidRPr="00AE05C2">
        <w:rPr>
          <w:rFonts w:ascii="Arial" w:eastAsia="Calibri" w:hAnsi="Arial" w:cs="Arial"/>
          <w:sz w:val="22"/>
          <w:szCs w:val="22"/>
        </w:rPr>
        <w:t>Así, los miembros de lberRed declararon su voluntad de institucionalizar dicho modelo, teniendo en consideración, además, que la realidad obliga a los Estados a una lucha cada vez más eficaz y ágil contra fenómenos que atentan contra el orden social, económico e institucional, como también la urgente necesidad de tratar con celeridad las solicitudes de cooperación internacional en los procedimientos penales y, a su vez, la importancia de las relaciones de carácter privado y su dimensión transfronteriza en la comunidad iberoamericana, sin abandonar dentro de sus fronteras el deber de los Estados de promover la seguridad jurídica y el acceso a la justicia, así como la necesaria protección de los derechos de la niñez.</w:t>
      </w:r>
    </w:p>
    <w:p w:rsidR="00215B3E" w:rsidRPr="00AE05C2" w:rsidRDefault="00215B3E" w:rsidP="00AE05C2">
      <w:pPr>
        <w:spacing w:line="276" w:lineRule="auto"/>
        <w:ind w:firstLine="1985"/>
        <w:jc w:val="both"/>
        <w:rPr>
          <w:rFonts w:ascii="Arial" w:hAnsi="Arial" w:cs="Arial"/>
          <w:sz w:val="22"/>
          <w:szCs w:val="22"/>
        </w:rPr>
      </w:pPr>
    </w:p>
    <w:p w:rsidR="00215B3E" w:rsidRPr="00AE05C2" w:rsidRDefault="00215B3E" w:rsidP="00AE05C2">
      <w:pPr>
        <w:spacing w:line="276" w:lineRule="auto"/>
        <w:ind w:firstLine="1985"/>
        <w:jc w:val="both"/>
        <w:rPr>
          <w:rFonts w:ascii="Arial" w:hAnsi="Arial" w:cs="Arial"/>
          <w:sz w:val="22"/>
          <w:szCs w:val="22"/>
          <w:u w:val="single"/>
        </w:rPr>
      </w:pPr>
      <w:r w:rsidRPr="00AE05C2">
        <w:rPr>
          <w:rFonts w:ascii="Arial" w:hAnsi="Arial" w:cs="Arial"/>
          <w:sz w:val="22"/>
          <w:szCs w:val="22"/>
          <w:u w:val="single"/>
        </w:rPr>
        <w:t>L</w:t>
      </w:r>
      <w:r w:rsidRPr="00AE05C2">
        <w:rPr>
          <w:rFonts w:ascii="Arial" w:eastAsia="Calibri" w:hAnsi="Arial" w:cs="Arial"/>
          <w:sz w:val="22"/>
          <w:szCs w:val="22"/>
          <w:u w:val="single"/>
          <w:lang w:val="es-CL"/>
        </w:rPr>
        <w:t xml:space="preserve">as siguientes autoridades centrales se verían beneficiadas con la posibilidad de utilizar la plataforma: </w:t>
      </w:r>
    </w:p>
    <w:p w:rsidR="00215B3E" w:rsidRPr="00AE05C2" w:rsidRDefault="00215B3E" w:rsidP="00AE05C2">
      <w:pPr>
        <w:spacing w:line="276" w:lineRule="auto"/>
        <w:ind w:firstLine="1985"/>
        <w:jc w:val="both"/>
        <w:rPr>
          <w:rFonts w:ascii="Arial" w:hAnsi="Arial" w:cs="Arial"/>
          <w:sz w:val="22"/>
          <w:szCs w:val="22"/>
        </w:rPr>
      </w:pPr>
    </w:p>
    <w:p w:rsidR="00215B3E" w:rsidRPr="00AE05C2" w:rsidRDefault="00215B3E" w:rsidP="00AE05C2">
      <w:pPr>
        <w:spacing w:line="276" w:lineRule="auto"/>
        <w:ind w:firstLine="1985"/>
        <w:jc w:val="both"/>
        <w:rPr>
          <w:rFonts w:ascii="Arial" w:hAnsi="Arial" w:cs="Arial"/>
          <w:sz w:val="22"/>
          <w:szCs w:val="22"/>
        </w:rPr>
      </w:pPr>
      <w:r w:rsidRPr="00AE05C2">
        <w:rPr>
          <w:rFonts w:ascii="Arial" w:hAnsi="Arial" w:cs="Arial"/>
          <w:sz w:val="22"/>
          <w:szCs w:val="22"/>
        </w:rPr>
        <w:t>-</w:t>
      </w:r>
      <w:r w:rsidRPr="00AE05C2">
        <w:rPr>
          <w:rFonts w:ascii="Arial" w:eastAsia="Calibri" w:hAnsi="Arial" w:cs="Arial"/>
          <w:sz w:val="22"/>
          <w:szCs w:val="22"/>
          <w:lang w:val="es-CL"/>
        </w:rPr>
        <w:t>Corte Suprema, en lo que se refiere a la asistencia legal en materia civil</w:t>
      </w:r>
      <w:r w:rsidRPr="00AE05C2">
        <w:rPr>
          <w:rFonts w:ascii="Arial" w:hAnsi="Arial" w:cs="Arial"/>
          <w:sz w:val="22"/>
          <w:szCs w:val="22"/>
        </w:rPr>
        <w:t>.</w:t>
      </w:r>
    </w:p>
    <w:p w:rsidR="00215B3E" w:rsidRPr="00AE05C2" w:rsidRDefault="00215B3E" w:rsidP="00AE05C2">
      <w:pPr>
        <w:spacing w:line="276" w:lineRule="auto"/>
        <w:ind w:firstLine="1985"/>
        <w:jc w:val="both"/>
        <w:rPr>
          <w:rFonts w:ascii="Arial" w:hAnsi="Arial" w:cs="Arial"/>
          <w:sz w:val="22"/>
          <w:szCs w:val="22"/>
        </w:rPr>
      </w:pPr>
      <w:r w:rsidRPr="00AE05C2">
        <w:rPr>
          <w:rFonts w:ascii="Arial" w:hAnsi="Arial" w:cs="Arial"/>
          <w:sz w:val="22"/>
          <w:szCs w:val="22"/>
        </w:rPr>
        <w:t>-</w:t>
      </w:r>
      <w:r w:rsidRPr="00AE05C2">
        <w:rPr>
          <w:rFonts w:ascii="Arial" w:eastAsia="Calibri" w:hAnsi="Arial" w:cs="Arial"/>
          <w:sz w:val="22"/>
          <w:szCs w:val="22"/>
          <w:lang w:val="es-CL"/>
        </w:rPr>
        <w:t xml:space="preserve"> Ministerio de Justicia y Derechos Humanos, sobre traslado de condenados</w:t>
      </w:r>
      <w:r w:rsidRPr="00AE05C2">
        <w:rPr>
          <w:rFonts w:ascii="Arial" w:hAnsi="Arial" w:cs="Arial"/>
          <w:sz w:val="22"/>
          <w:szCs w:val="22"/>
        </w:rPr>
        <w:t>.</w:t>
      </w:r>
    </w:p>
    <w:p w:rsidR="00215B3E" w:rsidRPr="00AE05C2" w:rsidRDefault="00215B3E" w:rsidP="00AE05C2">
      <w:pPr>
        <w:spacing w:line="276" w:lineRule="auto"/>
        <w:ind w:firstLine="1985"/>
        <w:jc w:val="both"/>
        <w:rPr>
          <w:rFonts w:ascii="Arial" w:hAnsi="Arial" w:cs="Arial"/>
          <w:sz w:val="22"/>
          <w:szCs w:val="22"/>
        </w:rPr>
      </w:pPr>
      <w:r w:rsidRPr="00AE05C2">
        <w:rPr>
          <w:rFonts w:ascii="Arial" w:eastAsia="Calibri" w:hAnsi="Arial" w:cs="Arial"/>
          <w:sz w:val="22"/>
          <w:szCs w:val="22"/>
          <w:lang w:val="es-CL"/>
        </w:rPr>
        <w:t xml:space="preserve"> </w:t>
      </w:r>
      <w:r w:rsidRPr="00AE05C2">
        <w:rPr>
          <w:rFonts w:ascii="Arial" w:hAnsi="Arial" w:cs="Arial"/>
          <w:sz w:val="22"/>
          <w:szCs w:val="22"/>
        </w:rPr>
        <w:t>-</w:t>
      </w:r>
      <w:r w:rsidRPr="00AE05C2">
        <w:rPr>
          <w:rFonts w:ascii="Arial" w:eastAsia="Calibri" w:hAnsi="Arial" w:cs="Arial"/>
          <w:sz w:val="22"/>
          <w:szCs w:val="22"/>
          <w:lang w:val="es-CL"/>
        </w:rPr>
        <w:t>Corporación de Asistencia Judicial Metropolitana, respecto a obligaciones alimentarias, sustracción y restitución de menores</w:t>
      </w:r>
      <w:r w:rsidRPr="00AE05C2">
        <w:rPr>
          <w:rFonts w:ascii="Arial" w:hAnsi="Arial" w:cs="Arial"/>
          <w:sz w:val="22"/>
          <w:szCs w:val="22"/>
        </w:rPr>
        <w:t>.</w:t>
      </w:r>
    </w:p>
    <w:p w:rsidR="00215B3E" w:rsidRPr="00AE05C2" w:rsidRDefault="00215B3E" w:rsidP="00AE05C2">
      <w:pPr>
        <w:spacing w:line="276" w:lineRule="auto"/>
        <w:ind w:firstLine="1985"/>
        <w:jc w:val="both"/>
        <w:rPr>
          <w:rFonts w:ascii="Arial" w:hAnsi="Arial" w:cs="Arial"/>
          <w:sz w:val="22"/>
          <w:szCs w:val="22"/>
        </w:rPr>
      </w:pPr>
      <w:r w:rsidRPr="00AE05C2">
        <w:rPr>
          <w:rFonts w:ascii="Arial" w:eastAsia="Calibri" w:hAnsi="Arial" w:cs="Arial"/>
          <w:sz w:val="22"/>
          <w:szCs w:val="22"/>
          <w:lang w:val="es-CL"/>
        </w:rPr>
        <w:t xml:space="preserve"> </w:t>
      </w:r>
      <w:r w:rsidRPr="00AE05C2">
        <w:rPr>
          <w:rFonts w:ascii="Arial" w:hAnsi="Arial" w:cs="Arial"/>
          <w:sz w:val="22"/>
          <w:szCs w:val="22"/>
        </w:rPr>
        <w:t>-</w:t>
      </w:r>
      <w:r w:rsidRPr="00AE05C2">
        <w:rPr>
          <w:rFonts w:ascii="Arial" w:eastAsia="Calibri" w:hAnsi="Arial" w:cs="Arial"/>
          <w:sz w:val="22"/>
          <w:szCs w:val="22"/>
          <w:lang w:val="es-CL"/>
        </w:rPr>
        <w:t>Ministerio Público, en la asistencia legal en materia penal</w:t>
      </w:r>
      <w:r w:rsidRPr="00AE05C2">
        <w:rPr>
          <w:rFonts w:ascii="Arial" w:hAnsi="Arial" w:cs="Arial"/>
          <w:sz w:val="22"/>
          <w:szCs w:val="22"/>
        </w:rPr>
        <w:t>.</w:t>
      </w:r>
    </w:p>
    <w:p w:rsidR="00215B3E" w:rsidRPr="00AE05C2" w:rsidRDefault="00215B3E" w:rsidP="00AE05C2">
      <w:pPr>
        <w:spacing w:line="276" w:lineRule="auto"/>
        <w:ind w:firstLine="1985"/>
        <w:jc w:val="both"/>
        <w:rPr>
          <w:rFonts w:ascii="Arial" w:eastAsia="Calibri" w:hAnsi="Arial" w:cs="Arial"/>
          <w:sz w:val="22"/>
          <w:szCs w:val="22"/>
          <w:lang w:val="es-CL"/>
        </w:rPr>
      </w:pPr>
      <w:r w:rsidRPr="00AE05C2">
        <w:rPr>
          <w:rFonts w:ascii="Arial" w:hAnsi="Arial" w:cs="Arial"/>
          <w:sz w:val="22"/>
          <w:szCs w:val="22"/>
        </w:rPr>
        <w:t>-</w:t>
      </w:r>
      <w:r w:rsidRPr="00AE05C2">
        <w:rPr>
          <w:rFonts w:ascii="Arial" w:eastAsia="Calibri" w:hAnsi="Arial" w:cs="Arial"/>
          <w:sz w:val="22"/>
          <w:szCs w:val="22"/>
          <w:lang w:val="es-CL"/>
        </w:rPr>
        <w:t xml:space="preserve">Ministerio de Relaciones Exteriores, en cuanto a las extradiciones. </w:t>
      </w:r>
    </w:p>
    <w:p w:rsidR="00215B3E" w:rsidRDefault="00215B3E" w:rsidP="00215B3E">
      <w:pPr>
        <w:widowControl w:val="0"/>
        <w:autoSpaceDE w:val="0"/>
        <w:autoSpaceDN w:val="0"/>
        <w:spacing w:line="276" w:lineRule="auto"/>
        <w:ind w:firstLine="1701"/>
        <w:jc w:val="both"/>
        <w:rPr>
          <w:rFonts w:ascii="Arial" w:hAnsi="Arial" w:cs="Arial"/>
          <w:szCs w:val="24"/>
        </w:rPr>
      </w:pPr>
    </w:p>
    <w:p w:rsidR="00215B3E" w:rsidRPr="00F57B97" w:rsidRDefault="00AE05C2" w:rsidP="00215B3E">
      <w:pPr>
        <w:widowControl w:val="0"/>
        <w:autoSpaceDE w:val="0"/>
        <w:autoSpaceDN w:val="0"/>
        <w:adjustRightInd w:val="0"/>
        <w:jc w:val="both"/>
        <w:rPr>
          <w:rFonts w:ascii="Arial" w:hAnsi="Arial" w:cs="Arial"/>
          <w:b/>
        </w:rPr>
      </w:pPr>
      <w:r>
        <w:rPr>
          <w:rFonts w:ascii="Arial" w:hAnsi="Arial" w:cs="Arial"/>
          <w:b/>
        </w:rPr>
        <w:t>I</w:t>
      </w:r>
      <w:r w:rsidR="00215B3E" w:rsidRPr="00F57B97">
        <w:rPr>
          <w:rFonts w:ascii="Arial" w:hAnsi="Arial" w:cs="Arial"/>
          <w:b/>
        </w:rPr>
        <w:t>V.- INCIDENCIA EN MATERIA FINANCIERA O PRESUPUESTARIA DEL ESTADO</w:t>
      </w:r>
    </w:p>
    <w:p w:rsidR="00215B3E" w:rsidRDefault="00215B3E" w:rsidP="00215B3E">
      <w:pPr>
        <w:pStyle w:val="Textoindependiente"/>
        <w:spacing w:before="360" w:after="240"/>
        <w:ind w:firstLine="1701"/>
        <w:jc w:val="both"/>
        <w:rPr>
          <w:rFonts w:ascii="Arial" w:hAnsi="Arial" w:cs="Arial"/>
          <w:bCs/>
          <w:lang w:val="es-CL"/>
        </w:rPr>
      </w:pPr>
      <w:r w:rsidRPr="00E96BA8">
        <w:rPr>
          <w:rFonts w:ascii="Arial" w:hAnsi="Arial" w:cs="Arial"/>
          <w:bCs/>
          <w:lang w:val="es-CL"/>
        </w:rPr>
        <w:t>El Informe Financiero N°</w:t>
      </w:r>
      <w:r>
        <w:rPr>
          <w:rFonts w:ascii="Arial" w:hAnsi="Arial" w:cs="Arial"/>
          <w:bCs/>
          <w:lang w:val="es-CL"/>
        </w:rPr>
        <w:t>167 de 29 de diciembre de 2021,</w:t>
      </w:r>
      <w:r w:rsidRPr="00E96BA8">
        <w:rPr>
          <w:rFonts w:ascii="Arial" w:hAnsi="Arial" w:cs="Arial"/>
          <w:bCs/>
          <w:lang w:val="es-CL"/>
        </w:rPr>
        <w:t xml:space="preserve">  elaborado por la Dirección de Presupuestos del Ministerio de Hacienda, señala </w:t>
      </w:r>
      <w:r>
        <w:rPr>
          <w:rFonts w:ascii="Arial" w:hAnsi="Arial" w:cs="Arial"/>
          <w:bCs/>
          <w:lang w:val="es-CL"/>
        </w:rPr>
        <w:t xml:space="preserve">que el </w:t>
      </w:r>
      <w:r w:rsidRPr="00F569D4">
        <w:rPr>
          <w:rFonts w:ascii="Arial" w:hAnsi="Arial" w:cs="Arial"/>
          <w:bCs/>
          <w:lang w:val="es-CL"/>
        </w:rPr>
        <w:t xml:space="preserve">Tratado de Medellín regula el uso de lber@ como medio formal y preferente de transmisión de solicitudes de cooperación jurídica internacional entre Autoridades Centrales, en el marco de los tratados vigentes entre las Partes y que contemplen la comunicación directa entre dichas instituciones. </w:t>
      </w:r>
    </w:p>
    <w:p w:rsidR="00215B3E" w:rsidRPr="00F569D4" w:rsidRDefault="00215B3E" w:rsidP="00215B3E">
      <w:pPr>
        <w:pStyle w:val="Textoindependiente"/>
        <w:spacing w:before="360" w:after="240"/>
        <w:ind w:firstLine="1701"/>
        <w:jc w:val="both"/>
        <w:rPr>
          <w:rFonts w:ascii="Arial" w:hAnsi="Arial" w:cs="Arial"/>
          <w:bCs/>
          <w:lang w:val="es-CL"/>
        </w:rPr>
      </w:pPr>
      <w:r w:rsidRPr="00F569D4">
        <w:rPr>
          <w:rFonts w:ascii="Arial" w:hAnsi="Arial" w:cs="Arial"/>
          <w:bCs/>
          <w:lang w:val="es-CL"/>
        </w:rPr>
        <w:t>En particular, en el Artículo 10, titulado "Financiación de Iber@", se prescribe que las Partes deben acordar un  Reglamento de  Financiación  del  Tratado  para  el  desarrollo,  la  gestión,  la administración y el mantenimiento de Iber@, en el que establecerán el sistema de contribución proporcional que le corresponde anualmente a cada uno de ellos, los mecanismos de definición, de reforma y plazos.</w:t>
      </w:r>
    </w:p>
    <w:p w:rsidR="00215B3E" w:rsidRPr="00F569D4" w:rsidRDefault="00215B3E" w:rsidP="00215B3E">
      <w:pPr>
        <w:pStyle w:val="Textoindependiente"/>
        <w:spacing w:before="360" w:after="240"/>
        <w:ind w:firstLine="1701"/>
        <w:jc w:val="both"/>
        <w:rPr>
          <w:rFonts w:ascii="Arial" w:hAnsi="Arial" w:cs="Arial"/>
          <w:bCs/>
          <w:lang w:val="es-CL"/>
        </w:rPr>
      </w:pPr>
      <w:r w:rsidRPr="00F569D4">
        <w:rPr>
          <w:rFonts w:ascii="Arial" w:hAnsi="Arial" w:cs="Arial"/>
          <w:bCs/>
          <w:lang w:val="es-CL"/>
        </w:rPr>
        <w:t>Por último, las disposiciones transitorias determinan la entrada en vigor del Tratado y determinan la forma en que la Secretaría General de IberRed debe presentar la propuesta de Manual Técnico de lber@.</w:t>
      </w:r>
    </w:p>
    <w:p w:rsidR="00215B3E" w:rsidRPr="00F569D4" w:rsidRDefault="00215B3E" w:rsidP="00215B3E">
      <w:pPr>
        <w:pStyle w:val="Textoindependiente"/>
        <w:spacing w:before="360" w:after="240"/>
        <w:ind w:firstLine="1701"/>
        <w:jc w:val="both"/>
        <w:rPr>
          <w:rFonts w:ascii="Arial" w:hAnsi="Arial" w:cs="Arial"/>
          <w:b/>
          <w:bCs/>
          <w:lang w:val="es-CL"/>
        </w:rPr>
      </w:pPr>
      <w:r w:rsidRPr="00F569D4">
        <w:rPr>
          <w:rFonts w:ascii="Arial" w:hAnsi="Arial" w:cs="Arial"/>
          <w:b/>
          <w:bCs/>
          <w:lang w:val="es-CL"/>
        </w:rPr>
        <w:t>EFECTO DEL PROYECTO DE ACUERDO SOBRE EL PRESUPUESTO FISCAL</w:t>
      </w:r>
    </w:p>
    <w:p w:rsidR="00215B3E" w:rsidRDefault="00215B3E" w:rsidP="00215B3E">
      <w:pPr>
        <w:pStyle w:val="Textoindependiente"/>
        <w:spacing w:before="360" w:after="240"/>
        <w:ind w:firstLine="1701"/>
        <w:jc w:val="both"/>
        <w:rPr>
          <w:rFonts w:ascii="Arial" w:hAnsi="Arial" w:cs="Arial"/>
          <w:bCs/>
          <w:lang w:val="es-CL"/>
        </w:rPr>
      </w:pPr>
      <w:r w:rsidRPr="003708DD">
        <w:rPr>
          <w:rFonts w:ascii="Arial" w:hAnsi="Arial" w:cs="Arial"/>
          <w:bCs/>
          <w:lang w:val="es-CL"/>
        </w:rPr>
        <w:t>La aprobación del presente tratado irrogará mayor gasto fiscal producto del pago de cuota anual para el financiamiento de la plataforma Iber@ y de la realización de reuniones bienales ordinarias y/o extraordinarias de la Comisión de Seguimiento del Tratado, cuando se lleven a cabo en modalidad presencial.</w:t>
      </w:r>
    </w:p>
    <w:p w:rsidR="00215B3E" w:rsidRPr="00844D71" w:rsidRDefault="00215B3E" w:rsidP="00215B3E">
      <w:pPr>
        <w:pStyle w:val="Ttulo2"/>
        <w:spacing w:before="1"/>
        <w:ind w:left="1184"/>
        <w:rPr>
          <w:rFonts w:ascii="Arial" w:hAnsi="Arial" w:cs="Arial"/>
          <w:i w:val="0"/>
          <w:sz w:val="22"/>
          <w:szCs w:val="22"/>
        </w:rPr>
      </w:pPr>
      <w:r w:rsidRPr="00844D71">
        <w:rPr>
          <w:rFonts w:ascii="Arial" w:hAnsi="Arial" w:cs="Arial"/>
          <w:i w:val="0"/>
          <w:color w:val="010101"/>
          <w:w w:val="110"/>
          <w:sz w:val="22"/>
          <w:szCs w:val="22"/>
        </w:rPr>
        <w:t>Tabla</w:t>
      </w:r>
      <w:r w:rsidRPr="00844D71">
        <w:rPr>
          <w:rFonts w:ascii="Arial" w:hAnsi="Arial" w:cs="Arial"/>
          <w:i w:val="0"/>
          <w:color w:val="010101"/>
          <w:spacing w:val="32"/>
          <w:w w:val="110"/>
          <w:sz w:val="22"/>
          <w:szCs w:val="22"/>
        </w:rPr>
        <w:t xml:space="preserve"> </w:t>
      </w:r>
      <w:r w:rsidRPr="00844D71">
        <w:rPr>
          <w:rFonts w:ascii="Arial" w:hAnsi="Arial" w:cs="Arial"/>
          <w:i w:val="0"/>
          <w:color w:val="010101"/>
          <w:w w:val="110"/>
          <w:sz w:val="22"/>
          <w:szCs w:val="22"/>
        </w:rPr>
        <w:t>1:</w:t>
      </w:r>
      <w:r w:rsidRPr="00844D71">
        <w:rPr>
          <w:rFonts w:ascii="Arial" w:hAnsi="Arial" w:cs="Arial"/>
          <w:i w:val="0"/>
          <w:color w:val="010101"/>
          <w:spacing w:val="26"/>
          <w:w w:val="110"/>
          <w:sz w:val="22"/>
          <w:szCs w:val="22"/>
        </w:rPr>
        <w:t xml:space="preserve"> </w:t>
      </w:r>
      <w:r w:rsidRPr="00844D71">
        <w:rPr>
          <w:rFonts w:ascii="Arial" w:hAnsi="Arial" w:cs="Arial"/>
          <w:i w:val="0"/>
          <w:color w:val="010101"/>
          <w:w w:val="110"/>
          <w:sz w:val="22"/>
          <w:szCs w:val="22"/>
        </w:rPr>
        <w:t>Resumen</w:t>
      </w:r>
      <w:r w:rsidRPr="00844D71">
        <w:rPr>
          <w:rFonts w:ascii="Arial" w:hAnsi="Arial" w:cs="Arial"/>
          <w:i w:val="0"/>
          <w:color w:val="010101"/>
          <w:spacing w:val="21"/>
          <w:w w:val="110"/>
          <w:sz w:val="22"/>
          <w:szCs w:val="22"/>
        </w:rPr>
        <w:t xml:space="preserve"> </w:t>
      </w:r>
      <w:r w:rsidRPr="00844D71">
        <w:rPr>
          <w:rFonts w:ascii="Arial" w:hAnsi="Arial" w:cs="Arial"/>
          <w:i w:val="0"/>
          <w:color w:val="010101"/>
          <w:w w:val="110"/>
          <w:sz w:val="22"/>
          <w:szCs w:val="22"/>
        </w:rPr>
        <w:t>mayor</w:t>
      </w:r>
      <w:r w:rsidRPr="00844D71">
        <w:rPr>
          <w:rFonts w:ascii="Arial" w:hAnsi="Arial" w:cs="Arial"/>
          <w:i w:val="0"/>
          <w:color w:val="010101"/>
          <w:spacing w:val="15"/>
          <w:w w:val="110"/>
          <w:sz w:val="22"/>
          <w:szCs w:val="22"/>
        </w:rPr>
        <w:t xml:space="preserve"> </w:t>
      </w:r>
      <w:r w:rsidRPr="00844D71">
        <w:rPr>
          <w:rFonts w:ascii="Arial" w:hAnsi="Arial" w:cs="Arial"/>
          <w:i w:val="0"/>
          <w:color w:val="010101"/>
          <w:w w:val="110"/>
          <w:sz w:val="22"/>
          <w:szCs w:val="22"/>
        </w:rPr>
        <w:t>gasto</w:t>
      </w:r>
      <w:r w:rsidRPr="00844D71">
        <w:rPr>
          <w:rFonts w:ascii="Arial" w:hAnsi="Arial" w:cs="Arial"/>
          <w:i w:val="0"/>
          <w:color w:val="010101"/>
          <w:spacing w:val="16"/>
          <w:w w:val="110"/>
          <w:sz w:val="22"/>
          <w:szCs w:val="22"/>
        </w:rPr>
        <w:t xml:space="preserve"> </w:t>
      </w:r>
      <w:r w:rsidRPr="00844D71">
        <w:rPr>
          <w:rFonts w:ascii="Arial" w:hAnsi="Arial" w:cs="Arial"/>
          <w:i w:val="0"/>
          <w:color w:val="010101"/>
          <w:w w:val="110"/>
          <w:sz w:val="22"/>
          <w:szCs w:val="22"/>
        </w:rPr>
        <w:t>fiscal</w:t>
      </w:r>
      <w:r w:rsidRPr="00844D71">
        <w:rPr>
          <w:rFonts w:ascii="Arial" w:hAnsi="Arial" w:cs="Arial"/>
          <w:i w:val="0"/>
          <w:color w:val="010101"/>
          <w:spacing w:val="29"/>
          <w:w w:val="110"/>
          <w:sz w:val="22"/>
          <w:szCs w:val="22"/>
        </w:rPr>
        <w:t xml:space="preserve"> </w:t>
      </w:r>
      <w:r w:rsidRPr="00844D71">
        <w:rPr>
          <w:rFonts w:ascii="Arial" w:hAnsi="Arial" w:cs="Arial"/>
          <w:i w:val="0"/>
          <w:color w:val="010101"/>
          <w:w w:val="110"/>
          <w:sz w:val="22"/>
          <w:szCs w:val="22"/>
        </w:rPr>
        <w:t>(miles</w:t>
      </w:r>
      <w:r w:rsidRPr="00844D71">
        <w:rPr>
          <w:rFonts w:ascii="Arial" w:hAnsi="Arial" w:cs="Arial"/>
          <w:i w:val="0"/>
          <w:color w:val="010101"/>
          <w:spacing w:val="5"/>
          <w:w w:val="110"/>
          <w:sz w:val="22"/>
          <w:szCs w:val="22"/>
        </w:rPr>
        <w:t xml:space="preserve"> </w:t>
      </w:r>
      <w:r w:rsidRPr="00844D71">
        <w:rPr>
          <w:rFonts w:ascii="Arial" w:hAnsi="Arial" w:cs="Arial"/>
          <w:i w:val="0"/>
          <w:color w:val="010101"/>
          <w:w w:val="110"/>
          <w:sz w:val="22"/>
          <w:szCs w:val="22"/>
        </w:rPr>
        <w:t>de</w:t>
      </w:r>
      <w:r w:rsidRPr="00844D71">
        <w:rPr>
          <w:rFonts w:ascii="Arial" w:hAnsi="Arial" w:cs="Arial"/>
          <w:i w:val="0"/>
          <w:color w:val="010101"/>
          <w:spacing w:val="-6"/>
          <w:w w:val="110"/>
          <w:sz w:val="22"/>
          <w:szCs w:val="22"/>
        </w:rPr>
        <w:t xml:space="preserve"> </w:t>
      </w:r>
      <w:r w:rsidRPr="00844D71">
        <w:rPr>
          <w:rFonts w:ascii="Arial" w:hAnsi="Arial" w:cs="Arial"/>
          <w:i w:val="0"/>
          <w:color w:val="010101"/>
          <w:w w:val="110"/>
          <w:sz w:val="22"/>
          <w:szCs w:val="22"/>
        </w:rPr>
        <w:t>pesos</w:t>
      </w:r>
      <w:r w:rsidRPr="00844D71">
        <w:rPr>
          <w:rFonts w:ascii="Arial" w:hAnsi="Arial" w:cs="Arial"/>
          <w:i w:val="0"/>
          <w:color w:val="010101"/>
          <w:spacing w:val="4"/>
          <w:w w:val="110"/>
          <w:sz w:val="22"/>
          <w:szCs w:val="22"/>
        </w:rPr>
        <w:t xml:space="preserve"> </w:t>
      </w:r>
      <w:r w:rsidRPr="00844D71">
        <w:rPr>
          <w:rFonts w:ascii="Arial" w:hAnsi="Arial" w:cs="Arial"/>
          <w:i w:val="0"/>
          <w:color w:val="010101"/>
          <w:w w:val="110"/>
          <w:sz w:val="22"/>
          <w:szCs w:val="22"/>
        </w:rPr>
        <w:t>de</w:t>
      </w:r>
      <w:r w:rsidRPr="00844D71">
        <w:rPr>
          <w:rFonts w:ascii="Arial" w:hAnsi="Arial" w:cs="Arial"/>
          <w:i w:val="0"/>
          <w:color w:val="010101"/>
          <w:spacing w:val="28"/>
          <w:w w:val="110"/>
          <w:sz w:val="22"/>
          <w:szCs w:val="22"/>
        </w:rPr>
        <w:t xml:space="preserve"> </w:t>
      </w:r>
      <w:r w:rsidRPr="00844D71">
        <w:rPr>
          <w:rFonts w:ascii="Arial" w:hAnsi="Arial" w:cs="Arial"/>
          <w:i w:val="0"/>
          <w:color w:val="010101"/>
          <w:spacing w:val="-2"/>
          <w:w w:val="110"/>
          <w:sz w:val="22"/>
          <w:szCs w:val="22"/>
        </w:rPr>
        <w:t>2021)</w:t>
      </w:r>
    </w:p>
    <w:tbl>
      <w:tblPr>
        <w:tblStyle w:val="TableNormal"/>
        <w:tblW w:w="9722" w:type="dxa"/>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6"/>
        <w:gridCol w:w="2038"/>
        <w:gridCol w:w="1956"/>
        <w:gridCol w:w="1946"/>
        <w:gridCol w:w="1936"/>
      </w:tblGrid>
      <w:tr w:rsidR="00215B3E" w:rsidTr="00990505">
        <w:trPr>
          <w:trHeight w:val="614"/>
        </w:trPr>
        <w:tc>
          <w:tcPr>
            <w:tcW w:w="1846" w:type="dxa"/>
          </w:tcPr>
          <w:p w:rsidR="00215B3E" w:rsidRDefault="00215B3E" w:rsidP="00990505">
            <w:pPr>
              <w:pStyle w:val="TableParagraph"/>
              <w:ind w:left="0"/>
              <w:rPr>
                <w:rFonts w:ascii="Times New Roman"/>
              </w:rPr>
            </w:pPr>
          </w:p>
        </w:tc>
        <w:tc>
          <w:tcPr>
            <w:tcW w:w="2038" w:type="dxa"/>
          </w:tcPr>
          <w:p w:rsidR="00215B3E" w:rsidRDefault="00215B3E" w:rsidP="00990505">
            <w:pPr>
              <w:pStyle w:val="TableParagraph"/>
              <w:spacing w:line="308" w:lineRule="exact"/>
              <w:ind w:hanging="1"/>
              <w:rPr>
                <w:sz w:val="23"/>
              </w:rPr>
            </w:pPr>
            <w:r>
              <w:rPr>
                <w:color w:val="010101"/>
                <w:w w:val="105"/>
                <w:sz w:val="23"/>
              </w:rPr>
              <w:t>Año</w:t>
            </w:r>
            <w:r>
              <w:rPr>
                <w:color w:val="010101"/>
                <w:spacing w:val="40"/>
                <w:w w:val="105"/>
                <w:sz w:val="23"/>
              </w:rPr>
              <w:t xml:space="preserve"> </w:t>
            </w:r>
            <w:r>
              <w:rPr>
                <w:color w:val="010101"/>
                <w:w w:val="105"/>
                <w:sz w:val="23"/>
              </w:rPr>
              <w:t>1</w:t>
            </w:r>
            <w:r>
              <w:rPr>
                <w:color w:val="010101"/>
                <w:spacing w:val="40"/>
                <w:w w:val="105"/>
                <w:sz w:val="23"/>
              </w:rPr>
              <w:t xml:space="preserve"> </w:t>
            </w:r>
            <w:r>
              <w:rPr>
                <w:color w:val="010101"/>
                <w:w w:val="105"/>
                <w:sz w:val="23"/>
              </w:rPr>
              <w:t>(</w:t>
            </w:r>
            <w:r>
              <w:rPr>
                <w:color w:val="010101"/>
                <w:spacing w:val="-45"/>
                <w:w w:val="105"/>
                <w:sz w:val="23"/>
              </w:rPr>
              <w:t xml:space="preserve"> </w:t>
            </w:r>
            <w:r>
              <w:rPr>
                <w:color w:val="010101"/>
                <w:w w:val="105"/>
                <w:sz w:val="23"/>
              </w:rPr>
              <w:t>entrada en vigor)</w:t>
            </w:r>
          </w:p>
        </w:tc>
        <w:tc>
          <w:tcPr>
            <w:tcW w:w="1956" w:type="dxa"/>
          </w:tcPr>
          <w:p w:rsidR="00215B3E" w:rsidRDefault="00215B3E" w:rsidP="00990505">
            <w:pPr>
              <w:pStyle w:val="TableParagraph"/>
              <w:spacing w:before="36"/>
              <w:ind w:left="125"/>
              <w:rPr>
                <w:sz w:val="23"/>
              </w:rPr>
            </w:pPr>
            <w:r>
              <w:rPr>
                <w:color w:val="010101"/>
                <w:w w:val="105"/>
                <w:sz w:val="23"/>
              </w:rPr>
              <w:t>Año</w:t>
            </w:r>
            <w:r>
              <w:rPr>
                <w:color w:val="010101"/>
                <w:spacing w:val="12"/>
                <w:w w:val="105"/>
                <w:sz w:val="23"/>
              </w:rPr>
              <w:t xml:space="preserve"> </w:t>
            </w:r>
            <w:r>
              <w:rPr>
                <w:color w:val="010101"/>
                <w:spacing w:val="-10"/>
                <w:w w:val="105"/>
                <w:sz w:val="23"/>
              </w:rPr>
              <w:t>2</w:t>
            </w:r>
          </w:p>
        </w:tc>
        <w:tc>
          <w:tcPr>
            <w:tcW w:w="1946" w:type="dxa"/>
          </w:tcPr>
          <w:p w:rsidR="00215B3E" w:rsidRDefault="00215B3E" w:rsidP="00990505">
            <w:pPr>
              <w:pStyle w:val="TableParagraph"/>
              <w:spacing w:before="36"/>
              <w:rPr>
                <w:sz w:val="23"/>
              </w:rPr>
            </w:pPr>
            <w:r>
              <w:rPr>
                <w:color w:val="010101"/>
                <w:w w:val="105"/>
                <w:sz w:val="23"/>
              </w:rPr>
              <w:t>Año</w:t>
            </w:r>
            <w:r>
              <w:rPr>
                <w:color w:val="010101"/>
                <w:spacing w:val="8"/>
                <w:w w:val="105"/>
                <w:sz w:val="23"/>
              </w:rPr>
              <w:t xml:space="preserve"> </w:t>
            </w:r>
            <w:r>
              <w:rPr>
                <w:color w:val="010101"/>
                <w:spacing w:val="-10"/>
                <w:w w:val="105"/>
                <w:sz w:val="23"/>
              </w:rPr>
              <w:t>3</w:t>
            </w:r>
          </w:p>
        </w:tc>
        <w:tc>
          <w:tcPr>
            <w:tcW w:w="1936" w:type="dxa"/>
          </w:tcPr>
          <w:p w:rsidR="00215B3E" w:rsidRDefault="00215B3E" w:rsidP="00990505">
            <w:pPr>
              <w:pStyle w:val="TableParagraph"/>
              <w:spacing w:before="41"/>
              <w:ind w:left="122"/>
              <w:rPr>
                <w:sz w:val="23"/>
              </w:rPr>
            </w:pPr>
            <w:r>
              <w:rPr>
                <w:color w:val="010101"/>
                <w:spacing w:val="-4"/>
                <w:w w:val="120"/>
                <w:sz w:val="23"/>
              </w:rPr>
              <w:t>Año4</w:t>
            </w:r>
          </w:p>
        </w:tc>
      </w:tr>
      <w:tr w:rsidR="00215B3E" w:rsidTr="00990505">
        <w:trPr>
          <w:trHeight w:val="613"/>
        </w:trPr>
        <w:tc>
          <w:tcPr>
            <w:tcW w:w="1846" w:type="dxa"/>
          </w:tcPr>
          <w:p w:rsidR="00215B3E" w:rsidRDefault="00215B3E" w:rsidP="00990505">
            <w:pPr>
              <w:pStyle w:val="TableParagraph"/>
              <w:spacing w:line="302" w:lineRule="exact"/>
              <w:ind w:left="112" w:firstLine="8"/>
              <w:rPr>
                <w:sz w:val="23"/>
              </w:rPr>
            </w:pPr>
            <w:r>
              <w:rPr>
                <w:color w:val="010101"/>
                <w:spacing w:val="-2"/>
                <w:w w:val="105"/>
                <w:sz w:val="23"/>
              </w:rPr>
              <w:t>Plataforma Iber@</w:t>
            </w:r>
          </w:p>
        </w:tc>
        <w:tc>
          <w:tcPr>
            <w:tcW w:w="2038" w:type="dxa"/>
          </w:tcPr>
          <w:p w:rsidR="00215B3E" w:rsidRDefault="00215B3E" w:rsidP="00990505">
            <w:pPr>
              <w:pStyle w:val="TableParagraph"/>
              <w:spacing w:before="17"/>
              <w:rPr>
                <w:rFonts w:ascii="Times New Roman"/>
                <w:sz w:val="25"/>
              </w:rPr>
            </w:pPr>
            <w:r>
              <w:rPr>
                <w:rFonts w:ascii="Times New Roman"/>
                <w:color w:val="010101"/>
                <w:spacing w:val="-5"/>
                <w:w w:val="105"/>
                <w:sz w:val="25"/>
              </w:rPr>
              <w:t>$-</w:t>
            </w:r>
          </w:p>
        </w:tc>
        <w:tc>
          <w:tcPr>
            <w:tcW w:w="1956" w:type="dxa"/>
          </w:tcPr>
          <w:p w:rsidR="00215B3E" w:rsidRDefault="00215B3E" w:rsidP="00990505">
            <w:pPr>
              <w:pStyle w:val="TableParagraph"/>
              <w:spacing w:before="30"/>
              <w:ind w:left="126"/>
              <w:rPr>
                <w:sz w:val="23"/>
              </w:rPr>
            </w:pPr>
            <w:r>
              <w:rPr>
                <w:color w:val="010101"/>
                <w:spacing w:val="-5"/>
                <w:w w:val="105"/>
                <w:sz w:val="23"/>
              </w:rPr>
              <w:t>$-</w:t>
            </w:r>
          </w:p>
        </w:tc>
        <w:tc>
          <w:tcPr>
            <w:tcW w:w="1946" w:type="dxa"/>
          </w:tcPr>
          <w:p w:rsidR="00215B3E" w:rsidRDefault="00215B3E" w:rsidP="00990505">
            <w:pPr>
              <w:pStyle w:val="TableParagraph"/>
              <w:spacing w:before="30"/>
              <w:ind w:left="127"/>
              <w:rPr>
                <w:sz w:val="23"/>
              </w:rPr>
            </w:pPr>
            <w:r>
              <w:rPr>
                <w:color w:val="010101"/>
                <w:spacing w:val="-2"/>
                <w:w w:val="110"/>
                <w:sz w:val="23"/>
              </w:rPr>
              <w:t>$1.8</w:t>
            </w:r>
            <w:r>
              <w:rPr>
                <w:color w:val="28282A"/>
                <w:spacing w:val="-2"/>
                <w:w w:val="110"/>
                <w:sz w:val="23"/>
              </w:rPr>
              <w:t>61</w:t>
            </w:r>
          </w:p>
        </w:tc>
        <w:tc>
          <w:tcPr>
            <w:tcW w:w="1936" w:type="dxa"/>
          </w:tcPr>
          <w:p w:rsidR="00215B3E" w:rsidRDefault="00215B3E" w:rsidP="00990505">
            <w:pPr>
              <w:pStyle w:val="TableParagraph"/>
              <w:spacing w:before="30"/>
              <w:ind w:left="128"/>
              <w:rPr>
                <w:sz w:val="23"/>
              </w:rPr>
            </w:pPr>
            <w:r>
              <w:rPr>
                <w:color w:val="010101"/>
                <w:spacing w:val="-2"/>
                <w:w w:val="115"/>
                <w:sz w:val="23"/>
              </w:rPr>
              <w:t>$1.861</w:t>
            </w:r>
          </w:p>
        </w:tc>
      </w:tr>
      <w:tr w:rsidR="00215B3E" w:rsidTr="00990505">
        <w:trPr>
          <w:trHeight w:val="604"/>
        </w:trPr>
        <w:tc>
          <w:tcPr>
            <w:tcW w:w="1846" w:type="dxa"/>
          </w:tcPr>
          <w:p w:rsidR="00215B3E" w:rsidRDefault="00215B3E" w:rsidP="00990505">
            <w:pPr>
              <w:pStyle w:val="TableParagraph"/>
              <w:spacing w:before="22"/>
              <w:ind w:left="120"/>
              <w:rPr>
                <w:sz w:val="23"/>
              </w:rPr>
            </w:pPr>
            <w:r>
              <w:rPr>
                <w:color w:val="010101"/>
                <w:spacing w:val="-2"/>
                <w:w w:val="105"/>
                <w:sz w:val="23"/>
              </w:rPr>
              <w:t>Reuniones</w:t>
            </w:r>
          </w:p>
          <w:p w:rsidR="00215B3E" w:rsidRDefault="00215B3E" w:rsidP="00990505">
            <w:pPr>
              <w:pStyle w:val="TableParagraph"/>
              <w:spacing w:before="38" w:line="260" w:lineRule="exact"/>
              <w:rPr>
                <w:sz w:val="23"/>
              </w:rPr>
            </w:pPr>
            <w:r>
              <w:rPr>
                <w:color w:val="010101"/>
                <w:spacing w:val="-2"/>
                <w:w w:val="110"/>
                <w:sz w:val="23"/>
              </w:rPr>
              <w:t>ordinarias</w:t>
            </w:r>
          </w:p>
        </w:tc>
        <w:tc>
          <w:tcPr>
            <w:tcW w:w="2038" w:type="dxa"/>
          </w:tcPr>
          <w:p w:rsidR="00215B3E" w:rsidRDefault="00215B3E" w:rsidP="00990505">
            <w:pPr>
              <w:pStyle w:val="TableParagraph"/>
              <w:spacing w:before="22"/>
              <w:rPr>
                <w:sz w:val="23"/>
              </w:rPr>
            </w:pPr>
            <w:r>
              <w:rPr>
                <w:color w:val="010101"/>
                <w:spacing w:val="-2"/>
                <w:w w:val="110"/>
                <w:sz w:val="23"/>
              </w:rPr>
              <w:t>$1.734</w:t>
            </w:r>
          </w:p>
        </w:tc>
        <w:tc>
          <w:tcPr>
            <w:tcW w:w="1956" w:type="dxa"/>
          </w:tcPr>
          <w:p w:rsidR="00215B3E" w:rsidRDefault="00215B3E" w:rsidP="00990505">
            <w:pPr>
              <w:pStyle w:val="TableParagraph"/>
              <w:spacing w:before="17"/>
              <w:ind w:left="126"/>
              <w:rPr>
                <w:sz w:val="23"/>
              </w:rPr>
            </w:pPr>
            <w:r>
              <w:rPr>
                <w:color w:val="010101"/>
                <w:spacing w:val="-5"/>
                <w:w w:val="110"/>
                <w:sz w:val="23"/>
              </w:rPr>
              <w:t>$-</w:t>
            </w:r>
          </w:p>
        </w:tc>
        <w:tc>
          <w:tcPr>
            <w:tcW w:w="1946" w:type="dxa"/>
          </w:tcPr>
          <w:p w:rsidR="00215B3E" w:rsidRDefault="00215B3E" w:rsidP="00990505">
            <w:pPr>
              <w:pStyle w:val="TableParagraph"/>
              <w:spacing w:before="17"/>
              <w:ind w:left="122"/>
              <w:rPr>
                <w:sz w:val="23"/>
              </w:rPr>
            </w:pPr>
            <w:r>
              <w:rPr>
                <w:color w:val="010101"/>
                <w:spacing w:val="-2"/>
                <w:w w:val="110"/>
                <w:sz w:val="23"/>
              </w:rPr>
              <w:t>$1.734</w:t>
            </w:r>
          </w:p>
        </w:tc>
        <w:tc>
          <w:tcPr>
            <w:tcW w:w="1936" w:type="dxa"/>
          </w:tcPr>
          <w:p w:rsidR="00215B3E" w:rsidRDefault="00215B3E" w:rsidP="00990505">
            <w:pPr>
              <w:pStyle w:val="TableParagraph"/>
              <w:spacing w:before="17"/>
              <w:ind w:left="123"/>
              <w:rPr>
                <w:sz w:val="23"/>
              </w:rPr>
            </w:pPr>
            <w:r>
              <w:rPr>
                <w:color w:val="010101"/>
                <w:spacing w:val="-5"/>
                <w:w w:val="110"/>
                <w:sz w:val="23"/>
              </w:rPr>
              <w:t>$-</w:t>
            </w:r>
          </w:p>
        </w:tc>
      </w:tr>
      <w:tr w:rsidR="00215B3E" w:rsidTr="00990505">
        <w:trPr>
          <w:trHeight w:val="297"/>
        </w:trPr>
        <w:tc>
          <w:tcPr>
            <w:tcW w:w="1846" w:type="dxa"/>
          </w:tcPr>
          <w:p w:rsidR="00215B3E" w:rsidRDefault="00215B3E" w:rsidP="00990505">
            <w:pPr>
              <w:pStyle w:val="TableParagraph"/>
              <w:spacing w:before="22" w:line="256" w:lineRule="exact"/>
              <w:ind w:left="119"/>
              <w:rPr>
                <w:b/>
                <w:sz w:val="23"/>
              </w:rPr>
            </w:pPr>
            <w:r>
              <w:rPr>
                <w:b/>
                <w:color w:val="010101"/>
                <w:spacing w:val="-2"/>
                <w:w w:val="115"/>
                <w:sz w:val="23"/>
              </w:rPr>
              <w:t>Total</w:t>
            </w:r>
          </w:p>
        </w:tc>
        <w:tc>
          <w:tcPr>
            <w:tcW w:w="2038" w:type="dxa"/>
          </w:tcPr>
          <w:p w:rsidR="00215B3E" w:rsidRDefault="00215B3E" w:rsidP="00990505">
            <w:pPr>
              <w:pStyle w:val="TableParagraph"/>
              <w:spacing w:before="8" w:line="269" w:lineRule="exact"/>
              <w:ind w:left="120"/>
              <w:rPr>
                <w:rFonts w:ascii="Times New Roman"/>
                <w:b/>
                <w:sz w:val="24"/>
              </w:rPr>
            </w:pPr>
            <w:r>
              <w:rPr>
                <w:rFonts w:ascii="Times New Roman"/>
                <w:b/>
                <w:color w:val="010101"/>
                <w:spacing w:val="-2"/>
                <w:w w:val="130"/>
                <w:sz w:val="24"/>
              </w:rPr>
              <w:t>$1.734</w:t>
            </w:r>
          </w:p>
        </w:tc>
        <w:tc>
          <w:tcPr>
            <w:tcW w:w="1956" w:type="dxa"/>
          </w:tcPr>
          <w:p w:rsidR="00215B3E" w:rsidRDefault="00215B3E" w:rsidP="00990505">
            <w:pPr>
              <w:pStyle w:val="TableParagraph"/>
              <w:spacing w:line="277" w:lineRule="exact"/>
              <w:ind w:left="116"/>
              <w:rPr>
                <w:rFonts w:ascii="Times New Roman"/>
                <w:sz w:val="26"/>
              </w:rPr>
            </w:pPr>
            <w:r>
              <w:rPr>
                <w:rFonts w:ascii="Times New Roman"/>
                <w:color w:val="010101"/>
                <w:spacing w:val="-5"/>
                <w:w w:val="130"/>
                <w:sz w:val="26"/>
              </w:rPr>
              <w:t>$-</w:t>
            </w:r>
          </w:p>
        </w:tc>
        <w:tc>
          <w:tcPr>
            <w:tcW w:w="1946" w:type="dxa"/>
          </w:tcPr>
          <w:p w:rsidR="00215B3E" w:rsidRDefault="00215B3E" w:rsidP="00990505">
            <w:pPr>
              <w:pStyle w:val="TableParagraph"/>
              <w:spacing w:before="4" w:line="273" w:lineRule="exact"/>
              <w:rPr>
                <w:rFonts w:ascii="Times New Roman"/>
                <w:b/>
                <w:sz w:val="24"/>
              </w:rPr>
            </w:pPr>
            <w:r>
              <w:rPr>
                <w:rFonts w:ascii="Times New Roman"/>
                <w:b/>
                <w:color w:val="010101"/>
                <w:spacing w:val="-2"/>
                <w:w w:val="130"/>
                <w:sz w:val="24"/>
              </w:rPr>
              <w:t>$3.595</w:t>
            </w:r>
          </w:p>
        </w:tc>
        <w:tc>
          <w:tcPr>
            <w:tcW w:w="1936" w:type="dxa"/>
          </w:tcPr>
          <w:p w:rsidR="00215B3E" w:rsidRDefault="00215B3E" w:rsidP="00990505">
            <w:pPr>
              <w:pStyle w:val="TableParagraph"/>
              <w:spacing w:before="8" w:line="269" w:lineRule="exact"/>
              <w:ind w:left="122"/>
              <w:rPr>
                <w:rFonts w:ascii="Times New Roman"/>
                <w:b/>
                <w:sz w:val="24"/>
              </w:rPr>
            </w:pPr>
            <w:r>
              <w:rPr>
                <w:rFonts w:ascii="Times New Roman"/>
                <w:b/>
                <w:color w:val="010101"/>
                <w:spacing w:val="-2"/>
                <w:w w:val="130"/>
                <w:sz w:val="24"/>
              </w:rPr>
              <w:t>$1.861</w:t>
            </w:r>
          </w:p>
        </w:tc>
      </w:tr>
    </w:tbl>
    <w:p w:rsidR="00215B3E" w:rsidRDefault="00215B3E" w:rsidP="00215B3E">
      <w:pPr>
        <w:pStyle w:val="Textoindependiente"/>
        <w:spacing w:before="360" w:after="240"/>
        <w:ind w:firstLine="1701"/>
        <w:jc w:val="both"/>
        <w:rPr>
          <w:rFonts w:ascii="Arial" w:hAnsi="Arial" w:cs="Arial"/>
          <w:bCs/>
          <w:lang w:val="es-CL"/>
        </w:rPr>
      </w:pPr>
      <w:r w:rsidRPr="003708DD">
        <w:rPr>
          <w:rFonts w:ascii="Arial" w:hAnsi="Arial" w:cs="Arial"/>
          <w:bCs/>
          <w:lang w:val="es-CL"/>
        </w:rPr>
        <w:t>La plataforma Iber@ estará bajo la administración y gestión de la Secretaría General, la cual también determinará un presupuesto anual para el funcionamiento y mantenimiento de aquella. Este presupuesto se financiará mediante cuotas asignadas a cada Estado involucrado, calculadas de la forma que determine para cada periodo bienal una Comisión de seguimiento del Tratado. Estos gastos anuales, durante los dos primeros años desde la entrada en vigencia del Tratado, serán costeados por la Conferencia de Ministros de Justicia de los Países Iberoamericanos (COMJIB), por lo que desde el 2023 Chile debe pagar la cuota correspondiente.</w:t>
      </w:r>
    </w:p>
    <w:p w:rsidR="00215B3E" w:rsidRDefault="00215B3E" w:rsidP="00215B3E">
      <w:pPr>
        <w:pStyle w:val="Textoindependiente"/>
        <w:spacing w:before="360" w:after="240"/>
        <w:ind w:firstLine="1701"/>
        <w:jc w:val="both"/>
        <w:rPr>
          <w:rFonts w:ascii="Arial" w:hAnsi="Arial" w:cs="Arial"/>
          <w:bCs/>
          <w:lang w:val="es-CL"/>
        </w:rPr>
      </w:pPr>
      <w:r w:rsidRPr="003708DD">
        <w:rPr>
          <w:rFonts w:ascii="Arial" w:hAnsi="Arial" w:cs="Arial"/>
          <w:bCs/>
          <w:lang w:val="es-CL"/>
        </w:rPr>
        <w:t xml:space="preserve">El aporte de Chile a COMJIB equivale al 3,58% de la sumatoria de cuotas anuales de los miembros de la COMJIB, por lo que se utiliza ese porcentaje como referencia. En segundo lugar, se considera un presupuesto anual de lber@ de €53.056 (euros), que es el último dato proyectado. </w:t>
      </w:r>
    </w:p>
    <w:p w:rsidR="00215B3E" w:rsidRPr="00C52491" w:rsidRDefault="00215B3E" w:rsidP="00215B3E">
      <w:pPr>
        <w:pStyle w:val="Textoindependiente"/>
        <w:spacing w:before="360" w:after="240"/>
        <w:ind w:firstLine="1701"/>
        <w:jc w:val="both"/>
        <w:rPr>
          <w:rFonts w:ascii="Arial" w:hAnsi="Arial" w:cs="Arial"/>
          <w:b/>
          <w:bCs/>
          <w:lang w:val="es-CL"/>
        </w:rPr>
      </w:pPr>
      <w:r w:rsidRPr="00C52491">
        <w:rPr>
          <w:rFonts w:ascii="Arial" w:hAnsi="Arial" w:cs="Arial"/>
          <w:b/>
          <w:bCs/>
          <w:lang w:val="es-CL"/>
        </w:rPr>
        <w:t xml:space="preserve">Por lo tanto se estima que la contribución anual de Chile debiese ser de €1.899 (euros). </w:t>
      </w:r>
    </w:p>
    <w:p w:rsidR="00215B3E" w:rsidRPr="00C52491" w:rsidRDefault="002F5529" w:rsidP="00215B3E">
      <w:pPr>
        <w:pStyle w:val="Textoindependiente"/>
        <w:spacing w:before="360" w:after="240"/>
        <w:ind w:firstLine="1701"/>
        <w:jc w:val="both"/>
        <w:rPr>
          <w:rFonts w:ascii="Arial" w:hAnsi="Arial" w:cs="Arial"/>
          <w:b/>
          <w:bCs/>
          <w:lang w:val="es-CL"/>
        </w:rPr>
      </w:pPr>
      <w:r>
        <w:rPr>
          <w:rFonts w:ascii="Arial" w:hAnsi="Arial" w:cs="Arial"/>
          <w:b/>
          <w:bCs/>
          <w:lang w:val="es-CL"/>
        </w:rPr>
        <w:t>En consecuencia</w:t>
      </w:r>
      <w:r w:rsidR="00215B3E" w:rsidRPr="00C52491">
        <w:rPr>
          <w:rFonts w:ascii="Arial" w:hAnsi="Arial" w:cs="Arial"/>
          <w:b/>
          <w:bCs/>
          <w:lang w:val="es-CL"/>
        </w:rPr>
        <w:t>, a partir del 2023, el mayor gasto asociado a la contribución de Chile a la gestión de la plataforma Iber@ equivale a $1.861 miles anualmente.</w:t>
      </w:r>
    </w:p>
    <w:p w:rsidR="00215B3E" w:rsidRDefault="00215B3E" w:rsidP="00215B3E">
      <w:pPr>
        <w:pStyle w:val="Textoindependiente"/>
        <w:spacing w:before="360" w:after="240"/>
        <w:ind w:firstLine="1701"/>
        <w:jc w:val="both"/>
        <w:rPr>
          <w:rFonts w:ascii="Arial" w:hAnsi="Arial" w:cs="Arial"/>
          <w:bCs/>
          <w:lang w:val="es-CL"/>
        </w:rPr>
      </w:pPr>
      <w:r w:rsidRPr="003708DD">
        <w:rPr>
          <w:rFonts w:ascii="Arial" w:hAnsi="Arial" w:cs="Arial"/>
          <w:bCs/>
          <w:lang w:val="es-CL"/>
        </w:rPr>
        <w:t>Por otro lado, existirán reuniones ordinarias, las cuales se realizarán bienalmente, con el fin de realizar un seguimiento del Tratado, tal que los asistentes forman parte de la Comisión de Seguimiento del Tratado. Además, se podrá convocar a reuniones extraordinarias. Los costos de la organización de las reuniones serán cubiertos por la COMJIB, pero se contemplan mayores gastos por viáticos (para tres días) y pasaje aéreo, para un funcionario/a, correspondiente a la persona encargada de la Unidad de Cooperación y Asuntos Internacionales del Ministerio de Justicia y Derechos Humanos. Este mayor costo estimado se detalla en la siguiente tabla.</w:t>
      </w:r>
    </w:p>
    <w:p w:rsidR="00215B3E" w:rsidRPr="00844D71" w:rsidRDefault="00215B3E" w:rsidP="00215B3E">
      <w:pPr>
        <w:pStyle w:val="Textoindependiente"/>
        <w:spacing w:before="360" w:after="240"/>
        <w:jc w:val="center"/>
        <w:rPr>
          <w:rFonts w:ascii="Arial" w:hAnsi="Arial" w:cs="Arial"/>
          <w:b/>
          <w:bCs/>
          <w:lang w:val="es-CL"/>
        </w:rPr>
      </w:pPr>
      <w:r w:rsidRPr="00844D71">
        <w:rPr>
          <w:rFonts w:ascii="Arial" w:hAnsi="Arial" w:cs="Arial"/>
          <w:b/>
          <w:bCs/>
          <w:lang w:val="es-CL"/>
        </w:rPr>
        <w:t>Tabla 2: Mayores costos asociados a las reuniones ordinarias de la Comisión de Seguimiento del Tratado</w:t>
      </w:r>
    </w:p>
    <w:tbl>
      <w:tblPr>
        <w:tblStyle w:val="TableNormal"/>
        <w:tblW w:w="9714"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5"/>
        <w:gridCol w:w="3254"/>
        <w:gridCol w:w="3225"/>
      </w:tblGrid>
      <w:tr w:rsidR="00215B3E" w:rsidTr="00990505">
        <w:trPr>
          <w:trHeight w:val="302"/>
        </w:trPr>
        <w:tc>
          <w:tcPr>
            <w:tcW w:w="3235" w:type="dxa"/>
          </w:tcPr>
          <w:p w:rsidR="00215B3E" w:rsidRDefault="00215B3E" w:rsidP="00990505">
            <w:pPr>
              <w:pStyle w:val="TableParagraph"/>
              <w:spacing w:before="7"/>
              <w:ind w:left="114"/>
              <w:rPr>
                <w:b/>
                <w:sz w:val="23"/>
              </w:rPr>
            </w:pPr>
            <w:r>
              <w:rPr>
                <w:b/>
                <w:color w:val="030303"/>
                <w:spacing w:val="-4"/>
                <w:w w:val="130"/>
                <w:sz w:val="23"/>
              </w:rPr>
              <w:t>Ítem</w:t>
            </w:r>
          </w:p>
        </w:tc>
        <w:tc>
          <w:tcPr>
            <w:tcW w:w="3254" w:type="dxa"/>
            <w:tcBorders>
              <w:right w:val="single" w:sz="12" w:space="0" w:color="000000"/>
            </w:tcBorders>
          </w:tcPr>
          <w:p w:rsidR="00215B3E" w:rsidRDefault="00215B3E" w:rsidP="00990505">
            <w:pPr>
              <w:pStyle w:val="TableParagraph"/>
              <w:spacing w:before="3"/>
              <w:ind w:left="119"/>
              <w:rPr>
                <w:b/>
                <w:sz w:val="23"/>
              </w:rPr>
            </w:pPr>
            <w:r>
              <w:rPr>
                <w:b/>
                <w:color w:val="030303"/>
                <w:w w:val="110"/>
                <w:sz w:val="23"/>
              </w:rPr>
              <w:t>Costo</w:t>
            </w:r>
            <w:r>
              <w:rPr>
                <w:b/>
                <w:color w:val="030303"/>
                <w:spacing w:val="-10"/>
                <w:w w:val="110"/>
                <w:sz w:val="23"/>
              </w:rPr>
              <w:t xml:space="preserve"> </w:t>
            </w:r>
            <w:r>
              <w:rPr>
                <w:b/>
                <w:color w:val="030303"/>
                <w:w w:val="110"/>
                <w:sz w:val="23"/>
              </w:rPr>
              <w:t>en</w:t>
            </w:r>
            <w:r>
              <w:rPr>
                <w:b/>
                <w:color w:val="030303"/>
                <w:spacing w:val="6"/>
                <w:w w:val="110"/>
                <w:sz w:val="23"/>
              </w:rPr>
              <w:t xml:space="preserve"> </w:t>
            </w:r>
            <w:r>
              <w:rPr>
                <w:b/>
                <w:color w:val="030303"/>
                <w:spacing w:val="-2"/>
                <w:w w:val="110"/>
                <w:sz w:val="23"/>
              </w:rPr>
              <w:t>dólares</w:t>
            </w:r>
          </w:p>
        </w:tc>
        <w:tc>
          <w:tcPr>
            <w:tcW w:w="3225" w:type="dxa"/>
            <w:tcBorders>
              <w:left w:val="single" w:sz="12" w:space="0" w:color="000000"/>
            </w:tcBorders>
          </w:tcPr>
          <w:p w:rsidR="00215B3E" w:rsidRDefault="00215B3E" w:rsidP="00990505">
            <w:pPr>
              <w:pStyle w:val="TableParagraph"/>
              <w:spacing w:before="4"/>
              <w:ind w:left="107"/>
              <w:rPr>
                <w:rFonts w:ascii="Times New Roman"/>
                <w:b/>
                <w:sz w:val="16"/>
              </w:rPr>
            </w:pPr>
            <w:r>
              <w:rPr>
                <w:b/>
                <w:color w:val="030303"/>
                <w:w w:val="110"/>
                <w:sz w:val="23"/>
              </w:rPr>
              <w:t>Costo</w:t>
            </w:r>
            <w:r>
              <w:rPr>
                <w:b/>
                <w:color w:val="030303"/>
                <w:spacing w:val="-16"/>
                <w:w w:val="110"/>
                <w:sz w:val="23"/>
              </w:rPr>
              <w:t xml:space="preserve"> </w:t>
            </w:r>
            <w:r>
              <w:rPr>
                <w:b/>
                <w:color w:val="030303"/>
                <w:w w:val="110"/>
                <w:sz w:val="23"/>
              </w:rPr>
              <w:t>en</w:t>
            </w:r>
            <w:r>
              <w:rPr>
                <w:b/>
                <w:color w:val="030303"/>
                <w:spacing w:val="8"/>
                <w:w w:val="110"/>
                <w:sz w:val="23"/>
              </w:rPr>
              <w:t xml:space="preserve"> </w:t>
            </w:r>
            <w:r>
              <w:rPr>
                <w:b/>
                <w:color w:val="030303"/>
                <w:w w:val="110"/>
                <w:sz w:val="23"/>
              </w:rPr>
              <w:t>miles</w:t>
            </w:r>
            <w:r>
              <w:rPr>
                <w:b/>
                <w:color w:val="030303"/>
                <w:spacing w:val="-17"/>
                <w:w w:val="110"/>
                <w:sz w:val="23"/>
              </w:rPr>
              <w:t xml:space="preserve"> </w:t>
            </w:r>
            <w:r>
              <w:rPr>
                <w:b/>
                <w:color w:val="030303"/>
                <w:w w:val="110"/>
                <w:sz w:val="23"/>
              </w:rPr>
              <w:t>de</w:t>
            </w:r>
            <w:r>
              <w:rPr>
                <w:b/>
                <w:color w:val="030303"/>
                <w:spacing w:val="-22"/>
                <w:w w:val="110"/>
                <w:sz w:val="23"/>
              </w:rPr>
              <w:t xml:space="preserve"> </w:t>
            </w:r>
            <w:r>
              <w:rPr>
                <w:b/>
                <w:color w:val="030303"/>
                <w:spacing w:val="-2"/>
                <w:w w:val="110"/>
                <w:sz w:val="23"/>
              </w:rPr>
              <w:t>pesos</w:t>
            </w:r>
            <w:r>
              <w:rPr>
                <w:rFonts w:ascii="Times New Roman"/>
                <w:b/>
                <w:color w:val="030303"/>
                <w:spacing w:val="-2"/>
                <w:w w:val="110"/>
                <w:position w:val="7"/>
                <w:sz w:val="16"/>
              </w:rPr>
              <w:t>3</w:t>
            </w:r>
          </w:p>
        </w:tc>
      </w:tr>
      <w:tr w:rsidR="00215B3E" w:rsidTr="00990505">
        <w:trPr>
          <w:trHeight w:val="297"/>
        </w:trPr>
        <w:tc>
          <w:tcPr>
            <w:tcW w:w="3235" w:type="dxa"/>
          </w:tcPr>
          <w:p w:rsidR="00215B3E" w:rsidRDefault="00215B3E" w:rsidP="00990505">
            <w:pPr>
              <w:pStyle w:val="TableParagraph"/>
              <w:spacing w:before="3"/>
              <w:ind w:left="118"/>
              <w:rPr>
                <w:sz w:val="23"/>
              </w:rPr>
            </w:pPr>
            <w:r>
              <w:rPr>
                <w:color w:val="030303"/>
                <w:w w:val="105"/>
                <w:sz w:val="23"/>
              </w:rPr>
              <w:t>Viático</w:t>
            </w:r>
            <w:r>
              <w:rPr>
                <w:color w:val="030303"/>
                <w:spacing w:val="27"/>
                <w:w w:val="105"/>
                <w:sz w:val="23"/>
              </w:rPr>
              <w:t xml:space="preserve"> </w:t>
            </w:r>
            <w:r>
              <w:rPr>
                <w:color w:val="030303"/>
                <w:w w:val="105"/>
                <w:sz w:val="23"/>
              </w:rPr>
              <w:t>3</w:t>
            </w:r>
            <w:r>
              <w:rPr>
                <w:color w:val="030303"/>
                <w:spacing w:val="17"/>
                <w:w w:val="105"/>
                <w:sz w:val="23"/>
              </w:rPr>
              <w:t xml:space="preserve"> </w:t>
            </w:r>
            <w:r>
              <w:rPr>
                <w:color w:val="030303"/>
                <w:spacing w:val="-4"/>
                <w:w w:val="105"/>
                <w:sz w:val="23"/>
              </w:rPr>
              <w:t>días</w:t>
            </w:r>
          </w:p>
        </w:tc>
        <w:tc>
          <w:tcPr>
            <w:tcW w:w="3254" w:type="dxa"/>
            <w:tcBorders>
              <w:right w:val="single" w:sz="12" w:space="0" w:color="000000"/>
            </w:tcBorders>
          </w:tcPr>
          <w:p w:rsidR="00215B3E" w:rsidRDefault="00215B3E" w:rsidP="00990505">
            <w:pPr>
              <w:pStyle w:val="TableParagraph"/>
              <w:spacing w:before="3"/>
              <w:ind w:left="119"/>
              <w:rPr>
                <w:sz w:val="23"/>
              </w:rPr>
            </w:pPr>
            <w:r>
              <w:rPr>
                <w:color w:val="030303"/>
                <w:spacing w:val="-2"/>
                <w:w w:val="110"/>
                <w:sz w:val="23"/>
              </w:rPr>
              <w:t>1.</w:t>
            </w:r>
            <w:r>
              <w:rPr>
                <w:color w:val="232326"/>
                <w:spacing w:val="-2"/>
                <w:w w:val="110"/>
                <w:sz w:val="23"/>
              </w:rPr>
              <w:t>1</w:t>
            </w:r>
            <w:r>
              <w:rPr>
                <w:color w:val="030303"/>
                <w:spacing w:val="-2"/>
                <w:w w:val="110"/>
                <w:sz w:val="23"/>
              </w:rPr>
              <w:t>12</w:t>
            </w:r>
          </w:p>
        </w:tc>
        <w:tc>
          <w:tcPr>
            <w:tcW w:w="3225" w:type="dxa"/>
            <w:tcBorders>
              <w:left w:val="single" w:sz="12" w:space="0" w:color="000000"/>
            </w:tcBorders>
          </w:tcPr>
          <w:p w:rsidR="00215B3E" w:rsidRDefault="00215B3E" w:rsidP="00990505">
            <w:pPr>
              <w:pStyle w:val="TableParagraph"/>
              <w:spacing w:before="7"/>
              <w:ind w:left="119"/>
              <w:rPr>
                <w:sz w:val="23"/>
              </w:rPr>
            </w:pPr>
            <w:r>
              <w:rPr>
                <w:color w:val="030303"/>
                <w:w w:val="110"/>
                <w:sz w:val="23"/>
              </w:rPr>
              <w:t>$</w:t>
            </w:r>
            <w:r>
              <w:rPr>
                <w:color w:val="030303"/>
                <w:spacing w:val="3"/>
                <w:w w:val="110"/>
                <w:sz w:val="23"/>
              </w:rPr>
              <w:t xml:space="preserve"> </w:t>
            </w:r>
            <w:r>
              <w:rPr>
                <w:color w:val="030303"/>
                <w:spacing w:val="-5"/>
                <w:w w:val="110"/>
                <w:sz w:val="23"/>
              </w:rPr>
              <w:t>945</w:t>
            </w:r>
          </w:p>
        </w:tc>
      </w:tr>
      <w:tr w:rsidR="00215B3E" w:rsidTr="00990505">
        <w:trPr>
          <w:trHeight w:val="306"/>
        </w:trPr>
        <w:tc>
          <w:tcPr>
            <w:tcW w:w="3235" w:type="dxa"/>
          </w:tcPr>
          <w:p w:rsidR="00215B3E" w:rsidRDefault="00215B3E" w:rsidP="00990505">
            <w:pPr>
              <w:pStyle w:val="TableParagraph"/>
              <w:spacing w:before="3"/>
              <w:ind w:left="116"/>
              <w:rPr>
                <w:sz w:val="23"/>
              </w:rPr>
            </w:pPr>
            <w:r>
              <w:rPr>
                <w:color w:val="030303"/>
                <w:spacing w:val="-2"/>
                <w:w w:val="105"/>
                <w:sz w:val="23"/>
              </w:rPr>
              <w:t>Pasaje</w:t>
            </w:r>
          </w:p>
        </w:tc>
        <w:tc>
          <w:tcPr>
            <w:tcW w:w="3254" w:type="dxa"/>
            <w:tcBorders>
              <w:right w:val="single" w:sz="12" w:space="0" w:color="000000"/>
            </w:tcBorders>
          </w:tcPr>
          <w:p w:rsidR="00215B3E" w:rsidRDefault="00215B3E" w:rsidP="00990505">
            <w:pPr>
              <w:pStyle w:val="TableParagraph"/>
              <w:spacing w:before="3"/>
              <w:ind w:left="120"/>
              <w:rPr>
                <w:sz w:val="23"/>
              </w:rPr>
            </w:pPr>
            <w:r>
              <w:rPr>
                <w:color w:val="030303"/>
                <w:spacing w:val="-5"/>
                <w:w w:val="110"/>
                <w:sz w:val="23"/>
              </w:rPr>
              <w:t>928</w:t>
            </w:r>
          </w:p>
        </w:tc>
        <w:tc>
          <w:tcPr>
            <w:tcW w:w="3225" w:type="dxa"/>
            <w:tcBorders>
              <w:left w:val="single" w:sz="12" w:space="0" w:color="000000"/>
            </w:tcBorders>
          </w:tcPr>
          <w:p w:rsidR="00215B3E" w:rsidRDefault="00215B3E" w:rsidP="00990505">
            <w:pPr>
              <w:pStyle w:val="TableParagraph"/>
              <w:spacing w:before="7"/>
              <w:ind w:left="114"/>
              <w:rPr>
                <w:sz w:val="23"/>
              </w:rPr>
            </w:pPr>
            <w:r>
              <w:rPr>
                <w:color w:val="030303"/>
                <w:w w:val="110"/>
                <w:sz w:val="23"/>
              </w:rPr>
              <w:t>$</w:t>
            </w:r>
            <w:r>
              <w:rPr>
                <w:color w:val="030303"/>
                <w:spacing w:val="6"/>
                <w:w w:val="110"/>
                <w:sz w:val="23"/>
              </w:rPr>
              <w:t xml:space="preserve"> </w:t>
            </w:r>
            <w:r>
              <w:rPr>
                <w:color w:val="030303"/>
                <w:spacing w:val="-5"/>
                <w:w w:val="110"/>
                <w:sz w:val="23"/>
              </w:rPr>
              <w:t>789</w:t>
            </w:r>
          </w:p>
        </w:tc>
      </w:tr>
      <w:tr w:rsidR="00215B3E" w:rsidTr="00990505">
        <w:trPr>
          <w:trHeight w:val="297"/>
        </w:trPr>
        <w:tc>
          <w:tcPr>
            <w:tcW w:w="3235" w:type="dxa"/>
          </w:tcPr>
          <w:p w:rsidR="00215B3E" w:rsidRDefault="00215B3E" w:rsidP="00990505">
            <w:pPr>
              <w:pStyle w:val="TableParagraph"/>
              <w:spacing w:line="263" w:lineRule="exact"/>
              <w:ind w:left="110"/>
              <w:rPr>
                <w:b/>
                <w:sz w:val="23"/>
              </w:rPr>
            </w:pPr>
            <w:r>
              <w:rPr>
                <w:b/>
                <w:color w:val="030303"/>
                <w:spacing w:val="-2"/>
                <w:w w:val="115"/>
                <w:sz w:val="23"/>
              </w:rPr>
              <w:t>Total</w:t>
            </w:r>
          </w:p>
        </w:tc>
        <w:tc>
          <w:tcPr>
            <w:tcW w:w="3254" w:type="dxa"/>
            <w:tcBorders>
              <w:right w:val="single" w:sz="12" w:space="0" w:color="000000"/>
            </w:tcBorders>
          </w:tcPr>
          <w:p w:rsidR="00215B3E" w:rsidRDefault="00215B3E" w:rsidP="00990505">
            <w:pPr>
              <w:pStyle w:val="TableParagraph"/>
              <w:spacing w:line="258" w:lineRule="exact"/>
              <w:ind w:left="129"/>
              <w:rPr>
                <w:b/>
                <w:sz w:val="23"/>
              </w:rPr>
            </w:pPr>
            <w:r>
              <w:rPr>
                <w:b/>
                <w:color w:val="030303"/>
                <w:spacing w:val="-2"/>
                <w:w w:val="120"/>
                <w:sz w:val="23"/>
              </w:rPr>
              <w:t>2.040</w:t>
            </w:r>
          </w:p>
        </w:tc>
        <w:tc>
          <w:tcPr>
            <w:tcW w:w="3225" w:type="dxa"/>
            <w:tcBorders>
              <w:left w:val="single" w:sz="12" w:space="0" w:color="000000"/>
            </w:tcBorders>
          </w:tcPr>
          <w:p w:rsidR="00215B3E" w:rsidRDefault="00215B3E" w:rsidP="00990505">
            <w:pPr>
              <w:pStyle w:val="TableParagraph"/>
              <w:spacing w:line="267" w:lineRule="exact"/>
              <w:ind w:left="104"/>
              <w:rPr>
                <w:b/>
                <w:sz w:val="23"/>
              </w:rPr>
            </w:pPr>
            <w:r>
              <w:rPr>
                <w:rFonts w:ascii="Times New Roman"/>
                <w:color w:val="030303"/>
                <w:w w:val="120"/>
                <w:sz w:val="27"/>
              </w:rPr>
              <w:t>$</w:t>
            </w:r>
            <w:r>
              <w:rPr>
                <w:rFonts w:ascii="Times New Roman"/>
                <w:color w:val="030303"/>
                <w:spacing w:val="-3"/>
                <w:w w:val="120"/>
                <w:sz w:val="27"/>
              </w:rPr>
              <w:t xml:space="preserve"> </w:t>
            </w:r>
            <w:r>
              <w:rPr>
                <w:b/>
                <w:color w:val="030303"/>
                <w:spacing w:val="-4"/>
                <w:w w:val="120"/>
                <w:sz w:val="23"/>
              </w:rPr>
              <w:t>1.734</w:t>
            </w:r>
          </w:p>
        </w:tc>
      </w:tr>
    </w:tbl>
    <w:p w:rsidR="00215B3E" w:rsidRPr="00C52491" w:rsidRDefault="00215B3E" w:rsidP="00215B3E">
      <w:pPr>
        <w:pStyle w:val="Textoindependiente"/>
        <w:spacing w:before="360" w:after="240"/>
        <w:ind w:firstLine="1701"/>
        <w:jc w:val="both"/>
        <w:rPr>
          <w:rFonts w:ascii="Arial" w:hAnsi="Arial" w:cs="Arial"/>
          <w:b/>
          <w:bCs/>
          <w:lang w:val="es-CL"/>
        </w:rPr>
      </w:pPr>
      <w:r w:rsidRPr="00C52491">
        <w:rPr>
          <w:rFonts w:ascii="Arial" w:hAnsi="Arial" w:cs="Arial"/>
          <w:b/>
          <w:bCs/>
          <w:lang w:val="es-CL"/>
        </w:rPr>
        <w:t>Por lo tanto, respecto de las reuniones ordinarias asociadas al Tratado, se contempla un mayor gasto de $1.734 miles cada dos años.</w:t>
      </w:r>
    </w:p>
    <w:p w:rsidR="00215B3E" w:rsidRPr="00C52491" w:rsidRDefault="00215B3E" w:rsidP="00215B3E">
      <w:pPr>
        <w:pStyle w:val="Textoindependiente"/>
        <w:spacing w:after="240"/>
        <w:ind w:firstLine="1701"/>
        <w:jc w:val="both"/>
        <w:rPr>
          <w:rFonts w:ascii="Arial" w:hAnsi="Arial" w:cs="Arial"/>
          <w:bCs/>
          <w:u w:val="single"/>
          <w:lang w:val="es-CL"/>
        </w:rPr>
      </w:pPr>
      <w:r w:rsidRPr="00C52491">
        <w:rPr>
          <w:rFonts w:ascii="Arial" w:hAnsi="Arial" w:cs="Arial"/>
          <w:bCs/>
          <w:u w:val="single"/>
          <w:lang w:val="es-CL"/>
        </w:rPr>
        <w:t>FUENTE DE LOS RECURSOS</w:t>
      </w:r>
    </w:p>
    <w:p w:rsidR="00215B3E" w:rsidRDefault="00215B3E" w:rsidP="00215B3E">
      <w:pPr>
        <w:pStyle w:val="Textoindependiente"/>
        <w:spacing w:after="240"/>
        <w:ind w:firstLine="1701"/>
        <w:jc w:val="both"/>
        <w:rPr>
          <w:rFonts w:ascii="Arial" w:hAnsi="Arial" w:cs="Arial"/>
          <w:bCs/>
          <w:lang w:val="es-CL"/>
        </w:rPr>
      </w:pPr>
      <w:r w:rsidRPr="003708DD">
        <w:rPr>
          <w:rFonts w:ascii="Arial" w:hAnsi="Arial" w:cs="Arial"/>
          <w:bCs/>
          <w:lang w:val="es-CL"/>
        </w:rPr>
        <w:t>El mayor gasto fiscal que represente la aplicación de la presente ley durante su primer año presupuestario de vigencia se financiará con cargo a los recursos de la Partida del Ministerio de Justicia y Derechos Humanos. En los años siguientes se financiará con cargo a los recursos que disponga la respectiva Ley de Presupuestos del Sector Público.</w:t>
      </w:r>
    </w:p>
    <w:p w:rsidR="00BF51DA" w:rsidRDefault="00BF51DA" w:rsidP="00BF51DA">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w:t>
      </w:r>
      <w:r w:rsidR="00B429B0">
        <w:rPr>
          <w:rFonts w:ascii="Arial" w:hAnsi="Arial" w:cs="Arial"/>
          <w:spacing w:val="-3"/>
          <w:sz w:val="22"/>
          <w:szCs w:val="22"/>
          <w:lang w:val="es-CL" w:eastAsia="en-US" w:bidi="en-US"/>
        </w:rPr>
        <w:t>el</w:t>
      </w:r>
      <w:r w:rsidR="00C11848">
        <w:rPr>
          <w:rFonts w:ascii="Arial" w:hAnsi="Arial" w:cs="Arial"/>
          <w:spacing w:val="-3"/>
          <w:sz w:val="22"/>
          <w:szCs w:val="22"/>
          <w:lang w:val="es-CL" w:eastAsia="en-US" w:bidi="en-US"/>
        </w:rPr>
        <w:t xml:space="preserve"> señor</w:t>
      </w:r>
      <w:r w:rsidRPr="00BF51DA">
        <w:rPr>
          <w:rFonts w:ascii="Arial" w:hAnsi="Arial" w:cs="Arial"/>
          <w:spacing w:val="-3"/>
          <w:sz w:val="22"/>
          <w:szCs w:val="22"/>
          <w:lang w:val="es-CL" w:eastAsia="en-US" w:bidi="en-US"/>
        </w:rPr>
        <w:t xml:space="preserve"> Diputado Informante,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rsidR="00AE05C2" w:rsidRDefault="00AE05C2" w:rsidP="00AE05C2">
      <w:pPr>
        <w:tabs>
          <w:tab w:val="left" w:pos="2268"/>
        </w:tabs>
        <w:spacing w:after="200" w:line="276" w:lineRule="auto"/>
        <w:jc w:val="both"/>
        <w:rPr>
          <w:rFonts w:ascii="Arial" w:hAnsi="Arial" w:cs="Arial"/>
          <w:spacing w:val="-3"/>
          <w:sz w:val="22"/>
          <w:szCs w:val="22"/>
          <w:lang w:val="es-CL" w:eastAsia="en-US" w:bidi="en-US"/>
        </w:rPr>
      </w:pPr>
    </w:p>
    <w:p w:rsidR="00AE05C2" w:rsidRPr="00335FA2" w:rsidRDefault="00AE05C2" w:rsidP="00AE05C2">
      <w:pPr>
        <w:spacing w:after="200" w:line="276" w:lineRule="auto"/>
        <w:jc w:val="both"/>
        <w:rPr>
          <w:rFonts w:ascii="Arial" w:hAnsi="Arial" w:cs="Arial"/>
          <w:b/>
          <w:spacing w:val="-3"/>
          <w:sz w:val="22"/>
          <w:szCs w:val="22"/>
          <w:lang w:val="es-CL" w:eastAsia="en-US" w:bidi="en-US"/>
        </w:rPr>
      </w:pPr>
      <w:r w:rsidRPr="00335FA2">
        <w:rPr>
          <w:rFonts w:ascii="Arial" w:hAnsi="Arial" w:cs="Arial"/>
          <w:b/>
          <w:spacing w:val="-3"/>
          <w:sz w:val="22"/>
          <w:szCs w:val="22"/>
          <w:lang w:val="es-CL" w:eastAsia="en-US" w:bidi="en-US"/>
        </w:rPr>
        <w:t>V.-ACUERDOS ALCANZADOS</w:t>
      </w:r>
    </w:p>
    <w:p w:rsidR="005A4F1D" w:rsidRPr="005A4F1D" w:rsidRDefault="005A4F1D" w:rsidP="005A4F1D">
      <w:pPr>
        <w:spacing w:line="276" w:lineRule="auto"/>
        <w:ind w:firstLine="1701"/>
        <w:jc w:val="both"/>
        <w:rPr>
          <w:rFonts w:ascii="Arial" w:hAnsi="Arial" w:cs="Arial"/>
          <w:sz w:val="22"/>
          <w:szCs w:val="22"/>
          <w:lang w:val="es-ES"/>
        </w:rPr>
      </w:pPr>
      <w:r w:rsidRPr="005A4F1D">
        <w:rPr>
          <w:rFonts w:ascii="Arial" w:hAnsi="Arial" w:cs="Arial"/>
          <w:b/>
          <w:sz w:val="22"/>
          <w:szCs w:val="22"/>
          <w:lang w:val="es-ES"/>
        </w:rPr>
        <w:t>La Comisión recibió al Ministro de Justicia y Derechos Humanos, señor Luis Cordero Vega.</w:t>
      </w:r>
      <w:r w:rsidRPr="005A4F1D">
        <w:rPr>
          <w:rFonts w:ascii="Arial" w:hAnsi="Arial" w:cs="Arial"/>
          <w:sz w:val="22"/>
          <w:szCs w:val="22"/>
          <w:lang w:val="es-ES"/>
        </w:rPr>
        <w:t xml:space="preserve"> </w:t>
      </w:r>
    </w:p>
    <w:p w:rsidR="005A4F1D" w:rsidRPr="005A4F1D" w:rsidRDefault="005A4F1D" w:rsidP="005A4F1D">
      <w:pPr>
        <w:spacing w:line="276" w:lineRule="auto"/>
        <w:ind w:firstLine="1701"/>
        <w:jc w:val="both"/>
        <w:rPr>
          <w:rFonts w:ascii="Arial" w:hAnsi="Arial" w:cs="Arial"/>
          <w:sz w:val="22"/>
          <w:szCs w:val="22"/>
          <w:lang w:val="es-ES"/>
        </w:rPr>
      </w:pPr>
      <w:r w:rsidRPr="005A4F1D">
        <w:rPr>
          <w:rFonts w:ascii="Arial" w:hAnsi="Arial" w:cs="Arial"/>
          <w:sz w:val="22"/>
          <w:szCs w:val="22"/>
          <w:lang w:val="es-ES"/>
        </w:rPr>
        <w:t xml:space="preserve">Explicó que el tratado busca generar mecanismos de transmisión electrónica, expeditos y adecuados, entre las autoridades de los sistemas judiciales, para lograr que las solicitudes de cooperación se lleven a efecto con prontitud. Destacó que estos mecanismos son especialmente relevantes en materias penales, y también en temas de familia, principalmente los vinculados a las obligaciones alimentarias. </w:t>
      </w:r>
    </w:p>
    <w:p w:rsidR="002F5529" w:rsidRDefault="002F5529" w:rsidP="005A4F1D">
      <w:pPr>
        <w:spacing w:line="276" w:lineRule="auto"/>
        <w:ind w:firstLine="1701"/>
        <w:jc w:val="both"/>
        <w:rPr>
          <w:rFonts w:ascii="Arial" w:hAnsi="Arial" w:cs="Arial"/>
          <w:b/>
          <w:sz w:val="22"/>
          <w:szCs w:val="22"/>
          <w:lang w:val="es-ES"/>
        </w:rPr>
      </w:pPr>
    </w:p>
    <w:p w:rsidR="005A4F1D" w:rsidRPr="005A4F1D" w:rsidRDefault="005A4F1D" w:rsidP="005A4F1D">
      <w:pPr>
        <w:spacing w:line="276" w:lineRule="auto"/>
        <w:ind w:firstLine="1701"/>
        <w:jc w:val="both"/>
        <w:rPr>
          <w:rFonts w:ascii="Arial" w:hAnsi="Arial" w:cs="Arial"/>
          <w:sz w:val="22"/>
          <w:szCs w:val="22"/>
          <w:lang w:val="es-ES"/>
        </w:rPr>
      </w:pPr>
      <w:r w:rsidRPr="002F5529">
        <w:rPr>
          <w:rFonts w:ascii="Arial" w:hAnsi="Arial" w:cs="Arial"/>
          <w:b/>
          <w:sz w:val="22"/>
          <w:szCs w:val="22"/>
          <w:lang w:val="es-ES"/>
        </w:rPr>
        <w:t>En representación del Ministerio de Relaciones Exteriores, el señor Pedro Ortúzar Meza</w:t>
      </w:r>
      <w:r w:rsidRPr="005A4F1D">
        <w:rPr>
          <w:rFonts w:ascii="Arial" w:hAnsi="Arial" w:cs="Arial"/>
          <w:sz w:val="22"/>
          <w:szCs w:val="22"/>
          <w:lang w:val="es-ES"/>
        </w:rPr>
        <w:t xml:space="preserve"> compartió los dichos del Ministro de Justicia, destacando que este tratado ya tiene varios países que lo han ratificado. </w:t>
      </w:r>
    </w:p>
    <w:p w:rsidR="005A4F1D" w:rsidRPr="005A4F1D" w:rsidRDefault="005A4F1D" w:rsidP="005A4F1D">
      <w:pPr>
        <w:spacing w:line="276" w:lineRule="auto"/>
        <w:ind w:firstLine="1701"/>
        <w:jc w:val="both"/>
        <w:rPr>
          <w:rFonts w:ascii="Arial" w:hAnsi="Arial" w:cs="Arial"/>
          <w:sz w:val="22"/>
          <w:szCs w:val="22"/>
          <w:lang w:val="es-ES"/>
        </w:rPr>
      </w:pPr>
    </w:p>
    <w:p w:rsidR="002F5529" w:rsidRPr="002F5529" w:rsidRDefault="002F5529" w:rsidP="005A4F1D">
      <w:pPr>
        <w:spacing w:line="276" w:lineRule="auto"/>
        <w:ind w:firstLine="1701"/>
        <w:jc w:val="both"/>
        <w:rPr>
          <w:rFonts w:ascii="Arial" w:hAnsi="Arial" w:cs="Arial"/>
          <w:sz w:val="22"/>
          <w:szCs w:val="22"/>
          <w:u w:val="single"/>
          <w:lang w:val="es-ES"/>
        </w:rPr>
      </w:pPr>
      <w:r w:rsidRPr="002F5529">
        <w:rPr>
          <w:rFonts w:ascii="Arial" w:hAnsi="Arial" w:cs="Arial"/>
          <w:sz w:val="22"/>
          <w:szCs w:val="22"/>
          <w:u w:val="single"/>
          <w:lang w:val="es-ES"/>
        </w:rPr>
        <w:t>VOTACIÓN</w:t>
      </w:r>
    </w:p>
    <w:p w:rsidR="005A4F1D" w:rsidRPr="00617763" w:rsidRDefault="005A4F1D" w:rsidP="005A4F1D">
      <w:pPr>
        <w:spacing w:line="276" w:lineRule="auto"/>
        <w:ind w:firstLine="1701"/>
        <w:jc w:val="both"/>
        <w:rPr>
          <w:rFonts w:ascii="Arial" w:hAnsi="Arial" w:cs="Arial"/>
          <w:sz w:val="22"/>
          <w:szCs w:val="22"/>
        </w:rPr>
      </w:pPr>
      <w:r w:rsidRPr="005A4F1D">
        <w:rPr>
          <w:rFonts w:ascii="Arial" w:hAnsi="Arial" w:cs="Arial"/>
          <w:sz w:val="22"/>
          <w:szCs w:val="22"/>
          <w:lang w:val="es-ES"/>
        </w:rPr>
        <w:t xml:space="preserve">Tras las intervenciones, el proyecto de acuerdo fue aprobado por la unanimidad de los siete </w:t>
      </w:r>
      <w:r>
        <w:rPr>
          <w:rFonts w:ascii="Arial" w:hAnsi="Arial" w:cs="Arial"/>
          <w:sz w:val="22"/>
          <w:szCs w:val="22"/>
        </w:rPr>
        <w:t>integrantes presentes, diputados Bianchi, Ramírez, don Guillermo, Rosas, Sáez, Sepúlveda, Von Mühlenbrock y diputada Yeomans, (Presidenta).</w:t>
      </w:r>
    </w:p>
    <w:p w:rsidR="00335FA2" w:rsidRDefault="00335FA2" w:rsidP="005A4F1D">
      <w:pPr>
        <w:spacing w:line="276" w:lineRule="auto"/>
        <w:ind w:firstLine="1701"/>
        <w:jc w:val="both"/>
        <w:rPr>
          <w:rFonts w:ascii="Arial" w:hAnsi="Arial" w:cs="Arial"/>
          <w:sz w:val="22"/>
          <w:szCs w:val="22"/>
          <w:lang w:val="es-MX"/>
        </w:rPr>
      </w:pPr>
    </w:p>
    <w:p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rsidR="002F5529" w:rsidRDefault="002F5529" w:rsidP="00FD0D7E">
      <w:pPr>
        <w:spacing w:line="276" w:lineRule="auto"/>
        <w:ind w:firstLine="1701"/>
        <w:jc w:val="both"/>
        <w:rPr>
          <w:rFonts w:ascii="Arial" w:hAnsi="Arial" w:cs="Arial"/>
          <w:sz w:val="22"/>
          <w:szCs w:val="22"/>
        </w:rPr>
      </w:pPr>
    </w:p>
    <w:p w:rsidR="00FD0D7E" w:rsidRDefault="00FD0D7E" w:rsidP="00FD0D7E">
      <w:pPr>
        <w:spacing w:line="276" w:lineRule="auto"/>
        <w:ind w:firstLine="1701"/>
        <w:jc w:val="both"/>
        <w:rPr>
          <w:rFonts w:ascii="Arial" w:hAnsi="Arial" w:cs="Arial"/>
          <w:sz w:val="22"/>
          <w:szCs w:val="22"/>
        </w:rPr>
      </w:pPr>
      <w:r>
        <w:rPr>
          <w:rFonts w:ascii="Arial" w:hAnsi="Arial" w:cs="Arial"/>
          <w:sz w:val="22"/>
          <w:szCs w:val="22"/>
        </w:rPr>
        <w:t xml:space="preserve">Tratado y acordado en la sesión celebrada el </w:t>
      </w:r>
      <w:r w:rsidR="00B429B0">
        <w:rPr>
          <w:rFonts w:ascii="Arial" w:hAnsi="Arial" w:cs="Arial"/>
          <w:sz w:val="22"/>
          <w:szCs w:val="22"/>
        </w:rPr>
        <w:t>2</w:t>
      </w:r>
      <w:r w:rsidR="004357D9">
        <w:rPr>
          <w:rFonts w:ascii="Arial" w:hAnsi="Arial" w:cs="Arial"/>
          <w:sz w:val="22"/>
          <w:szCs w:val="22"/>
        </w:rPr>
        <w:t>4</w:t>
      </w:r>
      <w:r>
        <w:rPr>
          <w:rFonts w:ascii="Arial" w:hAnsi="Arial" w:cs="Arial"/>
          <w:sz w:val="22"/>
          <w:szCs w:val="22"/>
        </w:rPr>
        <w:t xml:space="preserve"> de </w:t>
      </w:r>
      <w:r w:rsidR="004357D9">
        <w:rPr>
          <w:rFonts w:ascii="Arial" w:hAnsi="Arial" w:cs="Arial"/>
          <w:sz w:val="22"/>
          <w:szCs w:val="22"/>
        </w:rPr>
        <w:t>octubre</w:t>
      </w:r>
      <w:r>
        <w:rPr>
          <w:rFonts w:ascii="Arial" w:hAnsi="Arial" w:cs="Arial"/>
          <w:sz w:val="22"/>
          <w:szCs w:val="22"/>
        </w:rPr>
        <w:t xml:space="preserve"> </w:t>
      </w:r>
      <w:r w:rsidRPr="00521DE3">
        <w:rPr>
          <w:rFonts w:ascii="Arial" w:hAnsi="Arial" w:cs="Arial"/>
          <w:sz w:val="22"/>
          <w:szCs w:val="22"/>
        </w:rPr>
        <w:t xml:space="preserve">del </w:t>
      </w:r>
      <w:r>
        <w:rPr>
          <w:rFonts w:ascii="Arial" w:hAnsi="Arial" w:cs="Arial"/>
          <w:sz w:val="22"/>
          <w:szCs w:val="22"/>
        </w:rPr>
        <w:t>año en curso, con la asistencia presencial o remota, de</w:t>
      </w:r>
      <w:r w:rsidRPr="00520907">
        <w:rPr>
          <w:rFonts w:ascii="Arial" w:hAnsi="Arial" w:cs="Arial"/>
          <w:sz w:val="22"/>
          <w:szCs w:val="22"/>
        </w:rPr>
        <w:t xml:space="preserve"> lo</w:t>
      </w:r>
      <w:r>
        <w:rPr>
          <w:rFonts w:ascii="Arial" w:hAnsi="Arial" w:cs="Arial"/>
          <w:sz w:val="22"/>
          <w:szCs w:val="22"/>
        </w:rPr>
        <w:t xml:space="preserve">s diputados (a) señores, </w:t>
      </w:r>
      <w:r w:rsidR="00B429B0">
        <w:rPr>
          <w:rFonts w:ascii="Arial" w:hAnsi="Arial" w:cs="Arial"/>
          <w:sz w:val="22"/>
          <w:szCs w:val="22"/>
        </w:rPr>
        <w:t>Guillermo Ramírez Diez, Jaime Sáez Quiroz, Alexis Sepúlveda Soto, Gastón Von Mühlenbrock Zamora, Gael Yeomans Araya.</w:t>
      </w:r>
    </w:p>
    <w:p w:rsidR="00B429B0" w:rsidRDefault="00B429B0" w:rsidP="00FD0D7E">
      <w:pPr>
        <w:spacing w:line="276" w:lineRule="auto"/>
        <w:ind w:firstLine="1701"/>
        <w:jc w:val="both"/>
        <w:rPr>
          <w:rFonts w:ascii="Arial" w:hAnsi="Arial" w:cs="Arial"/>
          <w:sz w:val="22"/>
          <w:szCs w:val="22"/>
        </w:rPr>
      </w:pPr>
    </w:p>
    <w:p w:rsidR="00B429B0" w:rsidRDefault="00B429B0" w:rsidP="00FD0D7E">
      <w:pPr>
        <w:spacing w:line="276" w:lineRule="auto"/>
        <w:ind w:firstLine="1701"/>
        <w:jc w:val="both"/>
        <w:rPr>
          <w:rFonts w:ascii="Arial" w:hAnsi="Arial" w:cs="Arial"/>
          <w:sz w:val="22"/>
          <w:szCs w:val="22"/>
        </w:rPr>
      </w:pPr>
      <w:r>
        <w:rPr>
          <w:rFonts w:ascii="Arial" w:hAnsi="Arial" w:cs="Arial"/>
          <w:sz w:val="22"/>
          <w:szCs w:val="22"/>
        </w:rPr>
        <w:t xml:space="preserve">La diputada Camila Rojas Valderrama fue reemplazada por </w:t>
      </w:r>
      <w:r w:rsidR="004357D9">
        <w:rPr>
          <w:rFonts w:ascii="Arial" w:hAnsi="Arial" w:cs="Arial"/>
          <w:sz w:val="22"/>
          <w:szCs w:val="22"/>
        </w:rPr>
        <w:t>el diputado</w:t>
      </w:r>
      <w:r w:rsidR="00AD7B37">
        <w:rPr>
          <w:rFonts w:ascii="Arial" w:hAnsi="Arial" w:cs="Arial"/>
          <w:sz w:val="22"/>
          <w:szCs w:val="22"/>
        </w:rPr>
        <w:t xml:space="preserve"> Patricio</w:t>
      </w:r>
      <w:r w:rsidR="004357D9">
        <w:rPr>
          <w:rFonts w:ascii="Arial" w:hAnsi="Arial" w:cs="Arial"/>
          <w:sz w:val="22"/>
          <w:szCs w:val="22"/>
        </w:rPr>
        <w:t xml:space="preserve"> Rosas</w:t>
      </w:r>
      <w:r w:rsidR="00AD7B37">
        <w:rPr>
          <w:rFonts w:ascii="Arial" w:hAnsi="Arial" w:cs="Arial"/>
          <w:sz w:val="22"/>
          <w:szCs w:val="22"/>
        </w:rPr>
        <w:t xml:space="preserve"> Barrientos.</w:t>
      </w: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B429B0">
        <w:rPr>
          <w:rFonts w:ascii="Arial" w:hAnsi="Arial" w:cs="Arial"/>
          <w:sz w:val="22"/>
          <w:szCs w:val="22"/>
        </w:rPr>
        <w:t>2</w:t>
      </w:r>
      <w:r w:rsidR="004357D9">
        <w:rPr>
          <w:rFonts w:ascii="Arial" w:hAnsi="Arial" w:cs="Arial"/>
          <w:sz w:val="22"/>
          <w:szCs w:val="22"/>
        </w:rPr>
        <w:t>4</w:t>
      </w:r>
      <w:r w:rsidRPr="00BF51DA">
        <w:rPr>
          <w:rFonts w:ascii="Arial" w:hAnsi="Arial" w:cs="Arial"/>
          <w:sz w:val="22"/>
          <w:szCs w:val="22"/>
        </w:rPr>
        <w:t xml:space="preserve"> de </w:t>
      </w:r>
      <w:r w:rsidR="004357D9">
        <w:rPr>
          <w:rFonts w:ascii="Arial" w:hAnsi="Arial" w:cs="Arial"/>
          <w:sz w:val="22"/>
          <w:szCs w:val="22"/>
        </w:rPr>
        <w:t>octubre</w:t>
      </w:r>
      <w:r w:rsidR="005A4F1D">
        <w:rPr>
          <w:rFonts w:ascii="Arial" w:hAnsi="Arial" w:cs="Arial"/>
          <w:sz w:val="22"/>
          <w:szCs w:val="22"/>
        </w:rPr>
        <w:t xml:space="preserve"> </w:t>
      </w:r>
      <w:r w:rsidRPr="00BF51DA">
        <w:rPr>
          <w:rFonts w:ascii="Arial" w:hAnsi="Arial" w:cs="Arial"/>
          <w:sz w:val="22"/>
          <w:szCs w:val="22"/>
        </w:rPr>
        <w:t>de 20</w:t>
      </w:r>
      <w:r w:rsidR="00FD0D7E">
        <w:rPr>
          <w:rFonts w:ascii="Arial" w:hAnsi="Arial" w:cs="Arial"/>
          <w:sz w:val="22"/>
          <w:szCs w:val="22"/>
        </w:rPr>
        <w:t>2</w:t>
      </w:r>
      <w:r w:rsidR="00B429B0">
        <w:rPr>
          <w:rFonts w:ascii="Arial" w:hAnsi="Arial" w:cs="Arial"/>
          <w:sz w:val="22"/>
          <w:szCs w:val="22"/>
        </w:rPr>
        <w:t>3</w:t>
      </w:r>
      <w:r w:rsidR="00FD0D7E">
        <w:rPr>
          <w:rFonts w:ascii="Arial" w:hAnsi="Arial" w:cs="Arial"/>
          <w:sz w:val="22"/>
          <w:szCs w:val="22"/>
        </w:rPr>
        <w:t>.</w:t>
      </w:r>
    </w:p>
    <w:p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rsidR="008B0791" w:rsidRPr="002E1ACA" w:rsidRDefault="008B0791" w:rsidP="00D1415C">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93F" w:rsidRDefault="004C193F" w:rsidP="00A71F7D">
      <w:r>
        <w:separator/>
      </w:r>
    </w:p>
  </w:endnote>
  <w:endnote w:type="continuationSeparator" w:id="0">
    <w:p w:rsidR="004C193F" w:rsidRDefault="004C193F"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93F" w:rsidRDefault="004C193F" w:rsidP="00A71F7D">
      <w:r>
        <w:separator/>
      </w:r>
    </w:p>
  </w:footnote>
  <w:footnote w:type="continuationSeparator" w:id="0">
    <w:p w:rsidR="004C193F" w:rsidRDefault="004C193F" w:rsidP="00A7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265A0"/>
    <w:rsid w:val="000331F0"/>
    <w:rsid w:val="00034632"/>
    <w:rsid w:val="00037B2E"/>
    <w:rsid w:val="00052259"/>
    <w:rsid w:val="00062743"/>
    <w:rsid w:val="00090FA1"/>
    <w:rsid w:val="000C6118"/>
    <w:rsid w:val="001255F7"/>
    <w:rsid w:val="001439FE"/>
    <w:rsid w:val="00147243"/>
    <w:rsid w:val="00164773"/>
    <w:rsid w:val="00181BEE"/>
    <w:rsid w:val="0018279D"/>
    <w:rsid w:val="001A4C6B"/>
    <w:rsid w:val="001F5A85"/>
    <w:rsid w:val="00215B3E"/>
    <w:rsid w:val="00232E13"/>
    <w:rsid w:val="00253FAC"/>
    <w:rsid w:val="00255254"/>
    <w:rsid w:val="00275697"/>
    <w:rsid w:val="002E1ACA"/>
    <w:rsid w:val="002F5529"/>
    <w:rsid w:val="003058A0"/>
    <w:rsid w:val="00335FA2"/>
    <w:rsid w:val="00345868"/>
    <w:rsid w:val="00350CCD"/>
    <w:rsid w:val="00376C1E"/>
    <w:rsid w:val="003A1366"/>
    <w:rsid w:val="003B3D95"/>
    <w:rsid w:val="003D6D5A"/>
    <w:rsid w:val="003E487C"/>
    <w:rsid w:val="003E76C5"/>
    <w:rsid w:val="003F0FC8"/>
    <w:rsid w:val="003F2693"/>
    <w:rsid w:val="00403451"/>
    <w:rsid w:val="004038D7"/>
    <w:rsid w:val="00420AFD"/>
    <w:rsid w:val="00430B94"/>
    <w:rsid w:val="00431C62"/>
    <w:rsid w:val="00432104"/>
    <w:rsid w:val="004357D9"/>
    <w:rsid w:val="00443FA2"/>
    <w:rsid w:val="00444CCC"/>
    <w:rsid w:val="00460840"/>
    <w:rsid w:val="00461E99"/>
    <w:rsid w:val="00470037"/>
    <w:rsid w:val="00486D42"/>
    <w:rsid w:val="004C193F"/>
    <w:rsid w:val="004F146B"/>
    <w:rsid w:val="00503BE7"/>
    <w:rsid w:val="00515B7A"/>
    <w:rsid w:val="005171DE"/>
    <w:rsid w:val="00543A55"/>
    <w:rsid w:val="005474DB"/>
    <w:rsid w:val="00566BC6"/>
    <w:rsid w:val="005766A3"/>
    <w:rsid w:val="005778D8"/>
    <w:rsid w:val="0059157C"/>
    <w:rsid w:val="005A4F1D"/>
    <w:rsid w:val="005E7775"/>
    <w:rsid w:val="005F634C"/>
    <w:rsid w:val="0060199B"/>
    <w:rsid w:val="00616315"/>
    <w:rsid w:val="00617763"/>
    <w:rsid w:val="006352EC"/>
    <w:rsid w:val="00637D97"/>
    <w:rsid w:val="006A5537"/>
    <w:rsid w:val="006B066F"/>
    <w:rsid w:val="006D155A"/>
    <w:rsid w:val="006E221A"/>
    <w:rsid w:val="00705A09"/>
    <w:rsid w:val="00724587"/>
    <w:rsid w:val="00755EFD"/>
    <w:rsid w:val="007C772A"/>
    <w:rsid w:val="007D4205"/>
    <w:rsid w:val="007E1E24"/>
    <w:rsid w:val="00813C23"/>
    <w:rsid w:val="0084116C"/>
    <w:rsid w:val="00873B39"/>
    <w:rsid w:val="00881094"/>
    <w:rsid w:val="008A6916"/>
    <w:rsid w:val="008B0791"/>
    <w:rsid w:val="008E330A"/>
    <w:rsid w:val="00931FD3"/>
    <w:rsid w:val="00952837"/>
    <w:rsid w:val="009D44A6"/>
    <w:rsid w:val="009E1604"/>
    <w:rsid w:val="009F507F"/>
    <w:rsid w:val="00A219D3"/>
    <w:rsid w:val="00A37E7E"/>
    <w:rsid w:val="00A62646"/>
    <w:rsid w:val="00A71F7D"/>
    <w:rsid w:val="00A779E6"/>
    <w:rsid w:val="00A809F7"/>
    <w:rsid w:val="00A83679"/>
    <w:rsid w:val="00A86D28"/>
    <w:rsid w:val="00A87D5C"/>
    <w:rsid w:val="00AA26C7"/>
    <w:rsid w:val="00AD7B37"/>
    <w:rsid w:val="00AE05C2"/>
    <w:rsid w:val="00B4156C"/>
    <w:rsid w:val="00B429B0"/>
    <w:rsid w:val="00B629A9"/>
    <w:rsid w:val="00B71BB2"/>
    <w:rsid w:val="00B86BC9"/>
    <w:rsid w:val="00BE164D"/>
    <w:rsid w:val="00BF51DA"/>
    <w:rsid w:val="00BF54AF"/>
    <w:rsid w:val="00C11816"/>
    <w:rsid w:val="00C11848"/>
    <w:rsid w:val="00C17A2F"/>
    <w:rsid w:val="00C41124"/>
    <w:rsid w:val="00C516DE"/>
    <w:rsid w:val="00C57749"/>
    <w:rsid w:val="00C61FB7"/>
    <w:rsid w:val="00CA02AC"/>
    <w:rsid w:val="00CF2DA0"/>
    <w:rsid w:val="00D1415C"/>
    <w:rsid w:val="00D20B3B"/>
    <w:rsid w:val="00D242B3"/>
    <w:rsid w:val="00D84505"/>
    <w:rsid w:val="00DD5715"/>
    <w:rsid w:val="00E028DB"/>
    <w:rsid w:val="00E1271D"/>
    <w:rsid w:val="00E4540D"/>
    <w:rsid w:val="00E570E7"/>
    <w:rsid w:val="00E86292"/>
    <w:rsid w:val="00EA5CD9"/>
    <w:rsid w:val="00EB5B48"/>
    <w:rsid w:val="00EC0CB0"/>
    <w:rsid w:val="00EE62DA"/>
    <w:rsid w:val="00F00FE2"/>
    <w:rsid w:val="00F11F0D"/>
    <w:rsid w:val="00F21093"/>
    <w:rsid w:val="00F23AEF"/>
    <w:rsid w:val="00F419A2"/>
    <w:rsid w:val="00F721DC"/>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paragraph" w:styleId="Ttulo2">
    <w:name w:val="heading 2"/>
    <w:basedOn w:val="Normal"/>
    <w:next w:val="Normal"/>
    <w:link w:val="Ttulo2Car"/>
    <w:unhideWhenUsed/>
    <w:qFormat/>
    <w:rsid w:val="00215B3E"/>
    <w:pPr>
      <w:keepNext/>
      <w:spacing w:before="240" w:after="60" w:line="276" w:lineRule="auto"/>
      <w:outlineLvl w:val="1"/>
    </w:pPr>
    <w:rPr>
      <w:rFonts w:ascii="Calibri Light" w:hAnsi="Calibri Light"/>
      <w:b/>
      <w:bCs/>
      <w:i/>
      <w:iCs/>
      <w:sz w:val="28"/>
      <w:szCs w:val="28"/>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 w:type="paragraph" w:styleId="Sinespaciado">
    <w:name w:val="No Spacing"/>
    <w:uiPriority w:val="1"/>
    <w:qFormat/>
    <w:rsid w:val="00AA26C7"/>
    <w:pPr>
      <w:spacing w:after="0" w:line="240" w:lineRule="auto"/>
    </w:pPr>
    <w:rPr>
      <w:lang w:val="es-CL"/>
    </w:rPr>
  </w:style>
  <w:style w:type="character" w:customStyle="1" w:styleId="Ttulo2Car">
    <w:name w:val="Título 2 Car"/>
    <w:basedOn w:val="Fuentedeprrafopredeter"/>
    <w:link w:val="Ttulo2"/>
    <w:rsid w:val="00215B3E"/>
    <w:rPr>
      <w:rFonts w:ascii="Calibri Light" w:eastAsia="Times New Roman" w:hAnsi="Calibri Light" w:cs="Times New Roman"/>
      <w:b/>
      <w:bCs/>
      <w:i/>
      <w:iCs/>
      <w:sz w:val="28"/>
      <w:szCs w:val="28"/>
      <w:lang w:val="x-none"/>
    </w:rPr>
  </w:style>
  <w:style w:type="paragraph" w:styleId="Textoindependiente">
    <w:name w:val="Body Text"/>
    <w:basedOn w:val="Normal"/>
    <w:link w:val="TextoindependienteCar"/>
    <w:uiPriority w:val="99"/>
    <w:unhideWhenUsed/>
    <w:rsid w:val="00215B3E"/>
    <w:pPr>
      <w:spacing w:after="120" w:line="276" w:lineRule="auto"/>
    </w:pPr>
    <w:rPr>
      <w:rFonts w:ascii="Calibri" w:eastAsia="Calibri" w:hAnsi="Calibri"/>
      <w:sz w:val="22"/>
      <w:szCs w:val="22"/>
      <w:lang w:val="x-none" w:eastAsia="en-US"/>
    </w:rPr>
  </w:style>
  <w:style w:type="character" w:customStyle="1" w:styleId="TextoindependienteCar">
    <w:name w:val="Texto independiente Car"/>
    <w:basedOn w:val="Fuentedeprrafopredeter"/>
    <w:link w:val="Textoindependiente"/>
    <w:uiPriority w:val="99"/>
    <w:rsid w:val="00215B3E"/>
    <w:rPr>
      <w:rFonts w:ascii="Calibri" w:eastAsia="Calibri" w:hAnsi="Calibri" w:cs="Times New Roman"/>
      <w:lang w:val="x-none"/>
    </w:rPr>
  </w:style>
  <w:style w:type="table" w:customStyle="1" w:styleId="TableNormal">
    <w:name w:val="Table Normal"/>
    <w:uiPriority w:val="2"/>
    <w:semiHidden/>
    <w:unhideWhenUsed/>
    <w:qFormat/>
    <w:rsid w:val="00215B3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5B3E"/>
    <w:pPr>
      <w:widowControl w:val="0"/>
      <w:autoSpaceDE w:val="0"/>
      <w:autoSpaceDN w:val="0"/>
      <w:ind w:left="121"/>
    </w:pPr>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3.xml><?xml version="1.0" encoding="utf-8"?>
<ds:datastoreItem xmlns:ds="http://schemas.openxmlformats.org/officeDocument/2006/customXml" ds:itemID="{3BFFB1E7-7D53-4693-B83D-C47E58E4C0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447D45-DA79-4971-9568-BE11D7BD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1891</Words>
  <Characters>10404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Maria Eugenia Silva Ferrer</cp:lastModifiedBy>
  <cp:revision>11</cp:revision>
  <dcterms:created xsi:type="dcterms:W3CDTF">2023-10-24T19:21:00Z</dcterms:created>
  <dcterms:modified xsi:type="dcterms:W3CDTF">2023-10-24T21:32:00Z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