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C5" w:rsidRDefault="00FD7FC5" w:rsidP="00E72869">
      <w:pPr>
        <w:tabs>
          <w:tab w:val="left" w:pos="1276"/>
        </w:tabs>
        <w:ind w:left="2835" w:firstLine="0"/>
      </w:pPr>
      <w:r>
        <w:rPr>
          <w:b/>
        </w:rPr>
        <w:t xml:space="preserve">INFORME DE LA COMISIÓN </w:t>
      </w:r>
      <w:r w:rsidR="00E21FA2">
        <w:rPr>
          <w:b/>
        </w:rPr>
        <w:t>DE</w:t>
      </w:r>
      <w:r w:rsidR="004B161A">
        <w:rPr>
          <w:b/>
        </w:rPr>
        <w:t xml:space="preserve"> HACIENDA, </w:t>
      </w:r>
      <w:r w:rsidR="00E21FA2">
        <w:t>r</w:t>
      </w:r>
      <w:r w:rsidR="0055106A">
        <w:t>ecaído en el proyecto de ley,</w:t>
      </w:r>
      <w:r w:rsidR="0085721A">
        <w:t xml:space="preserve"> </w:t>
      </w:r>
      <w:r>
        <w:t>en</w:t>
      </w:r>
      <w:r w:rsidR="003336AD">
        <w:t xml:space="preserve"> prime</w:t>
      </w:r>
      <w:r w:rsidR="004B161A">
        <w:t xml:space="preserve">r trámite constitucional, que </w:t>
      </w:r>
      <w:r w:rsidR="0099414E">
        <w:t>e</w:t>
      </w:r>
      <w:r w:rsidR="004B161A" w:rsidRPr="004B161A">
        <w:t>stablece un bono transitorio para la Policía de Investigaciones de Chile</w:t>
      </w:r>
      <w:r w:rsidR="004B161A">
        <w:t>.</w:t>
      </w:r>
    </w:p>
    <w:p w:rsidR="00FD7FC5" w:rsidRDefault="00FD7FC5" w:rsidP="002B628B">
      <w:pPr>
        <w:tabs>
          <w:tab w:val="left" w:pos="0"/>
        </w:tabs>
        <w:rPr>
          <w:b/>
        </w:rPr>
      </w:pPr>
    </w:p>
    <w:p w:rsidR="00FD7FC5" w:rsidRDefault="00DD2D6D" w:rsidP="00FD7FC5">
      <w:pPr>
        <w:tabs>
          <w:tab w:val="left" w:pos="0"/>
        </w:tabs>
        <w:ind w:firstLine="2835"/>
        <w:rPr>
          <w:b/>
        </w:rPr>
      </w:pPr>
      <w:hyperlink r:id="rId8" w:history="1">
        <w:r w:rsidR="00E21FA2" w:rsidRPr="004B161A">
          <w:rPr>
            <w:rStyle w:val="Hipervnculo"/>
            <w:b/>
          </w:rPr>
          <w:t xml:space="preserve">BOLETÍN Nº </w:t>
        </w:r>
        <w:r w:rsidR="004B161A" w:rsidRPr="004B161A">
          <w:rPr>
            <w:rStyle w:val="Hipervnculo"/>
            <w:b/>
          </w:rPr>
          <w:t>17.374-05</w:t>
        </w:r>
      </w:hyperlink>
    </w:p>
    <w:p w:rsidR="00FD7FC5" w:rsidRDefault="00FD7FC5" w:rsidP="00FD7FC5">
      <w:pPr>
        <w:tabs>
          <w:tab w:val="left" w:pos="0"/>
        </w:tabs>
        <w:ind w:firstLine="2835"/>
      </w:pPr>
      <w:r>
        <w:t>_____________________________</w:t>
      </w:r>
    </w:p>
    <w:p w:rsidR="00FD7FC5" w:rsidRDefault="00FD7FC5" w:rsidP="00BF168C">
      <w:pPr>
        <w:pStyle w:val="Textoindependiente31"/>
        <w:tabs>
          <w:tab w:val="clear" w:pos="170"/>
          <w:tab w:val="left" w:pos="0"/>
          <w:tab w:val="left" w:pos="2835"/>
        </w:tabs>
        <w:spacing w:before="0"/>
        <w:rPr>
          <w:spacing w:val="0"/>
          <w:lang w:val="es-ES_tradnl"/>
        </w:rPr>
      </w:pPr>
    </w:p>
    <w:p w:rsidR="00FD7FC5" w:rsidRPr="007C08AD" w:rsidRDefault="00DD2D6D"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Objetivo(s)</w:t>
        </w:r>
      </w:hyperlink>
      <w:r w:rsidR="006172FB" w:rsidRPr="007C08AD">
        <w:rPr>
          <w:color w:val="000000"/>
        </w:rPr>
        <w:t xml:space="preserve"> / </w:t>
      </w:r>
      <w:hyperlink w:anchor="constancias" w:history="1">
        <w:r w:rsidR="006172FB" w:rsidRPr="008B7957">
          <w:rPr>
            <w:rStyle w:val="Hipervnculo"/>
          </w:rPr>
          <w:t>Constancias</w:t>
        </w:r>
      </w:hyperlink>
      <w:r w:rsidR="006172FB" w:rsidRPr="007C08AD">
        <w:rPr>
          <w:color w:val="000000"/>
        </w:rPr>
        <w:t xml:space="preserve"> / </w:t>
      </w:r>
      <w:hyperlink w:anchor="NORMASDEQUORUMPARCHE" w:history="1">
        <w:r w:rsidR="006172FB" w:rsidRPr="00F3037A">
          <w:rPr>
            <w:rStyle w:val="Hipervnculo"/>
          </w:rPr>
          <w:t>Normas de Quórum Especial</w:t>
        </w:r>
      </w:hyperlink>
      <w:r w:rsidR="006172FB" w:rsidRPr="007C08AD">
        <w:rPr>
          <w:color w:val="000000"/>
        </w:rPr>
        <w:t xml:space="preserve"> (</w:t>
      </w:r>
      <w:r w:rsidR="000815AB" w:rsidRPr="007C08AD">
        <w:rPr>
          <w:color w:val="000000"/>
        </w:rPr>
        <w:t>no</w:t>
      </w:r>
      <w:r w:rsidR="002A16F9" w:rsidRPr="007C08AD">
        <w:rPr>
          <w:color w:val="000000"/>
        </w:rPr>
        <w:t xml:space="preserve"> tiene</w:t>
      </w:r>
      <w:r w:rsidR="006172FB" w:rsidRPr="007C08AD">
        <w:rPr>
          <w:color w:val="000000"/>
        </w:rPr>
        <w:t xml:space="preserve">) / </w:t>
      </w:r>
      <w:hyperlink w:anchor="CORTESUPREMAPARCHE" w:history="1">
        <w:r w:rsidR="006172FB" w:rsidRPr="00F3037A">
          <w:rPr>
            <w:rStyle w:val="Hipervnculo"/>
          </w:rPr>
          <w:t>C</w:t>
        </w:r>
        <w:r w:rsidR="003F0A41" w:rsidRPr="00F3037A">
          <w:rPr>
            <w:rStyle w:val="Hipervnculo"/>
          </w:rPr>
          <w:t>onsulta Excma. Corte Suprema</w:t>
        </w:r>
      </w:hyperlink>
      <w:r w:rsidR="003F0A41" w:rsidRPr="007C08AD">
        <w:rPr>
          <w:color w:val="000000"/>
        </w:rPr>
        <w:t xml:space="preserve"> (</w:t>
      </w:r>
      <w:r w:rsidR="000815AB" w:rsidRPr="007C08AD">
        <w:rPr>
          <w:color w:val="000000"/>
        </w:rPr>
        <w:t>no</w:t>
      </w:r>
      <w:r w:rsidR="002A16F9" w:rsidRPr="007C08AD">
        <w:rPr>
          <w:color w:val="000000"/>
        </w:rPr>
        <w:t xml:space="preserve"> hubo</w:t>
      </w:r>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 </w:t>
      </w:r>
      <w:hyperlink w:anchor="antecedentes" w:history="1">
        <w:r w:rsidR="006172FB" w:rsidRPr="00F3037A">
          <w:rPr>
            <w:rStyle w:val="Hipervnculo"/>
          </w:rPr>
          <w:t>Antecedentes de Hecho</w:t>
        </w:r>
      </w:hyperlink>
      <w:r w:rsidR="006172FB" w:rsidRPr="007C08AD">
        <w:rPr>
          <w:color w:val="000000"/>
        </w:rPr>
        <w:t xml:space="preserve"> / </w:t>
      </w:r>
      <w:hyperlink w:anchor="aspectoscentrales" w:history="1">
        <w:r w:rsidR="006172FB" w:rsidRPr="00F3037A">
          <w:rPr>
            <w:rStyle w:val="Hipervnculo"/>
          </w:rPr>
          <w:t>Aspectos Centrales del Debate</w:t>
        </w:r>
      </w:hyperlink>
      <w:r w:rsidR="006172FB" w:rsidRPr="007C08AD">
        <w:rPr>
          <w:color w:val="000000"/>
        </w:rPr>
        <w:t xml:space="preserve"> / </w:t>
      </w:r>
      <w:hyperlink w:anchor="discusióngeneral" w:history="1">
        <w:r w:rsidR="006172FB" w:rsidRPr="00F3037A">
          <w:rPr>
            <w:rStyle w:val="Hipervnculo"/>
          </w:rPr>
          <w:t>Discusión en General</w:t>
        </w:r>
      </w:hyperlink>
      <w:r w:rsidR="006172FB" w:rsidRPr="007C08AD">
        <w:rPr>
          <w:color w:val="000000"/>
        </w:rPr>
        <w:t xml:space="preserve"> / </w:t>
      </w:r>
      <w:hyperlink w:anchor="votacióngeneral" w:history="1">
        <w:r w:rsidR="006172FB" w:rsidRPr="00F3037A">
          <w:rPr>
            <w:rStyle w:val="Hipervnculo"/>
          </w:rPr>
          <w:t>Votación en General</w:t>
        </w:r>
      </w:hyperlink>
      <w:r w:rsidR="006172FB" w:rsidRPr="007C08AD">
        <w:rPr>
          <w:color w:val="000000"/>
        </w:rPr>
        <w:t xml:space="preserve"> / </w:t>
      </w:r>
      <w:hyperlink w:anchor="informefinanciero" w:history="1">
        <w:r w:rsidR="006172FB" w:rsidRPr="00F3037A">
          <w:rPr>
            <w:rStyle w:val="Hipervnculo"/>
          </w:rPr>
          <w:t>Inform</w:t>
        </w:r>
        <w:r w:rsidR="00DC6A4F" w:rsidRPr="00F3037A">
          <w:rPr>
            <w:rStyle w:val="Hipervnculo"/>
          </w:rPr>
          <w:t>e Financiero</w:t>
        </w:r>
      </w:hyperlink>
      <w:r w:rsidR="006172FB" w:rsidRPr="007C08AD">
        <w:rPr>
          <w:color w:val="000000"/>
        </w:rPr>
        <w:t xml:space="preserve"> /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resumenejecutivo" w:history="1">
        <w:r w:rsidR="006172FB" w:rsidRPr="00F3037A">
          <w:rPr>
            <w:rStyle w:val="Hipervnculo"/>
          </w:rPr>
          <w:t>Resumen Ejecutivo</w:t>
        </w:r>
      </w:hyperlink>
      <w:r w:rsidR="006172FB" w:rsidRPr="007C08AD">
        <w:rPr>
          <w:color w:val="000000"/>
        </w:rPr>
        <w:t>.</w:t>
      </w:r>
    </w:p>
    <w:p w:rsidR="00244F5E" w:rsidRDefault="00244F5E" w:rsidP="00022282">
      <w:pPr>
        <w:tabs>
          <w:tab w:val="left" w:pos="0"/>
          <w:tab w:val="left" w:pos="2835"/>
        </w:tabs>
        <w:rPr>
          <w:color w:val="000000"/>
          <w:u w:val="single"/>
        </w:rPr>
      </w:pPr>
    </w:p>
    <w:p w:rsidR="00244F5E" w:rsidRPr="007C08AD" w:rsidRDefault="00244F5E" w:rsidP="00022282">
      <w:pPr>
        <w:tabs>
          <w:tab w:val="left" w:pos="0"/>
          <w:tab w:val="left" w:pos="2835"/>
        </w:tabs>
        <w:rPr>
          <w:color w:val="000000"/>
          <w:u w:val="single"/>
        </w:rPr>
      </w:pPr>
    </w:p>
    <w:p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r w:rsidR="00402D03">
        <w:rPr>
          <w:color w:val="000000"/>
        </w:rPr>
        <w:t xml:space="preserve"> </w:t>
      </w:r>
    </w:p>
    <w:p w:rsidR="00244F5E" w:rsidRPr="00244F5E" w:rsidRDefault="00244F5E" w:rsidP="00FD7FC5">
      <w:pPr>
        <w:pStyle w:val="Textoindependiente3"/>
        <w:tabs>
          <w:tab w:val="left" w:pos="0"/>
          <w:tab w:val="left" w:pos="2835"/>
        </w:tabs>
        <w:spacing w:line="240" w:lineRule="auto"/>
        <w:rPr>
          <w:color w:val="000000"/>
          <w:sz w:val="22"/>
          <w:szCs w:val="22"/>
        </w:rPr>
      </w:pPr>
    </w:p>
    <w:p w:rsidR="00304B55" w:rsidRDefault="00304B55" w:rsidP="00304B55">
      <w:pPr>
        <w:tabs>
          <w:tab w:val="left" w:pos="0"/>
        </w:tabs>
      </w:pPr>
      <w:r>
        <w:t xml:space="preserve">La </w:t>
      </w:r>
      <w:r w:rsidRPr="009F799B">
        <w:t>Comisión de</w:t>
      </w:r>
      <w:r w:rsidR="000A382A">
        <w:t xml:space="preserve"> Hacienda, </w:t>
      </w:r>
      <w:r w:rsidRPr="009F799B">
        <w:t xml:space="preserve">tiene el honor de </w:t>
      </w:r>
      <w:r>
        <w:t>informar</w:t>
      </w:r>
      <w:r w:rsidRPr="009F799B">
        <w:t xml:space="preserve"> el proyecto de ley de la referencia, iniciado en</w:t>
      </w:r>
      <w:r w:rsidR="000A382A">
        <w:t xml:space="preserve"> Mensaje del Presidente de la Repú</w:t>
      </w:r>
      <w:r w:rsidR="002C50C8">
        <w:t xml:space="preserve">blica, señor Gabriel </w:t>
      </w:r>
      <w:proofErr w:type="spellStart"/>
      <w:r w:rsidR="002C50C8">
        <w:t>Boric</w:t>
      </w:r>
      <w:proofErr w:type="spellEnd"/>
      <w:r w:rsidR="002C50C8">
        <w:t xml:space="preserve"> Font, con urgencia calificada de “suma”.</w:t>
      </w:r>
    </w:p>
    <w:p w:rsidR="00E72869" w:rsidRDefault="00E72869" w:rsidP="00304B55">
      <w:pPr>
        <w:tabs>
          <w:tab w:val="left" w:pos="0"/>
        </w:tabs>
      </w:pPr>
    </w:p>
    <w:p w:rsidR="001403EC" w:rsidRPr="006B5941" w:rsidRDefault="00F239EE" w:rsidP="000A382A">
      <w:r w:rsidRPr="00A974F4">
        <w:t>Se hace presente que, de</w:t>
      </w:r>
      <w:r w:rsidR="005C67CF" w:rsidRPr="00A974F4">
        <w:t xml:space="preserve"> conformidad a lo dispuesto en el artículo 36 del Reglamento </w:t>
      </w:r>
      <w:r w:rsidR="005C67CF" w:rsidRPr="00D67E5D">
        <w:t>de la Corporación,</w:t>
      </w:r>
      <w:r w:rsidR="005B7164" w:rsidRPr="00D67E5D">
        <w:t xml:space="preserve"> </w:t>
      </w:r>
      <w:r w:rsidR="00A14A22" w:rsidRPr="00D67E5D">
        <w:t>la Comisión discutió so</w:t>
      </w:r>
      <w:r w:rsidR="005C67CF" w:rsidRPr="00D67E5D">
        <w:t xml:space="preserve">lo en </w:t>
      </w:r>
      <w:r w:rsidR="00E53A05" w:rsidRPr="00D67E5D">
        <w:t>general esta iniciativa de ley, la que</w:t>
      </w:r>
      <w:r w:rsidR="001E047F" w:rsidRPr="00D67E5D">
        <w:t xml:space="preserve"> resultó aprobada por </w:t>
      </w:r>
      <w:r w:rsidR="00633281" w:rsidRPr="00D67E5D">
        <w:t>la unanimidad sus integrantes</w:t>
      </w:r>
      <w:r w:rsidR="00D67E5D" w:rsidRPr="00D67E5D">
        <w:t xml:space="preserve"> presentes</w:t>
      </w:r>
      <w:r w:rsidR="00633281" w:rsidRPr="00D67E5D">
        <w:t xml:space="preserve"> </w:t>
      </w:r>
      <w:r w:rsidR="000A382A" w:rsidRPr="00D67E5D">
        <w:t>(</w:t>
      </w:r>
      <w:r w:rsidR="00D67E5D" w:rsidRPr="00D67E5D">
        <w:t>4</w:t>
      </w:r>
      <w:r w:rsidR="001E047F" w:rsidRPr="00D67E5D">
        <w:t>x0)</w:t>
      </w:r>
      <w:r w:rsidR="006B5941">
        <w:t>.</w:t>
      </w:r>
      <w:r w:rsidR="001E047F" w:rsidRPr="006B5941">
        <w:t xml:space="preserve"> </w:t>
      </w:r>
    </w:p>
    <w:p w:rsidR="00A57DDD" w:rsidRPr="007C08AD" w:rsidRDefault="00736DCC" w:rsidP="00736DCC">
      <w:pPr>
        <w:tabs>
          <w:tab w:val="left" w:pos="4584"/>
        </w:tabs>
        <w:rPr>
          <w:rFonts w:cs="Arial"/>
          <w:color w:val="000000"/>
        </w:rPr>
      </w:pPr>
      <w:r>
        <w:rPr>
          <w:rFonts w:cs="Arial"/>
          <w:color w:val="000000"/>
        </w:rPr>
        <w:tab/>
      </w:r>
    </w:p>
    <w:p w:rsidR="00AD6480" w:rsidRPr="007C08AD" w:rsidRDefault="00AD6480" w:rsidP="00515BC8">
      <w:pPr>
        <w:ind w:firstLine="0"/>
        <w:jc w:val="center"/>
        <w:rPr>
          <w:rFonts w:cs="Arial"/>
          <w:color w:val="000000"/>
        </w:rPr>
      </w:pPr>
      <w:r w:rsidRPr="007C08AD">
        <w:rPr>
          <w:rFonts w:cs="Arial"/>
          <w:color w:val="000000"/>
        </w:rPr>
        <w:t>- - -</w:t>
      </w:r>
    </w:p>
    <w:p w:rsidR="00A21282" w:rsidRPr="00C06382" w:rsidRDefault="00A21282" w:rsidP="00C06382"/>
    <w:p w:rsidR="00AD6480" w:rsidRPr="00866165" w:rsidRDefault="00AD6480" w:rsidP="00866165">
      <w:pPr>
        <w:pStyle w:val="Ttulo"/>
      </w:pPr>
      <w:bookmarkStart w:id="0" w:name="_Toc80957977"/>
      <w:bookmarkStart w:id="1" w:name="objetivos"/>
      <w:r w:rsidRPr="00866165">
        <w:t>OBJETIVO</w:t>
      </w:r>
      <w:r w:rsidR="008E32EC" w:rsidRPr="00866165">
        <w:t xml:space="preserve"> (</w:t>
      </w:r>
      <w:r w:rsidRPr="00866165">
        <w:t>S</w:t>
      </w:r>
      <w:r w:rsidR="008E32EC" w:rsidRPr="00866165">
        <w:t>)</w:t>
      </w:r>
      <w:r w:rsidRPr="00866165">
        <w:t xml:space="preserve"> DEL PROYECTO</w:t>
      </w:r>
      <w:bookmarkEnd w:id="0"/>
    </w:p>
    <w:bookmarkEnd w:id="1"/>
    <w:p w:rsidR="00F75B18" w:rsidRPr="007C08AD" w:rsidRDefault="00F75B18" w:rsidP="00AD6480">
      <w:pPr>
        <w:tabs>
          <w:tab w:val="left" w:pos="0"/>
          <w:tab w:val="left" w:pos="2835"/>
        </w:tabs>
        <w:rPr>
          <w:color w:val="000000"/>
        </w:rPr>
      </w:pPr>
    </w:p>
    <w:p w:rsidR="0047479D" w:rsidRPr="0099414E" w:rsidRDefault="0047479D" w:rsidP="0047479D">
      <w:pPr>
        <w:rPr>
          <w:rFonts w:cs="Arial"/>
        </w:rPr>
      </w:pPr>
      <w:r w:rsidRPr="0099414E">
        <w:rPr>
          <w:rFonts w:cs="Arial"/>
        </w:rPr>
        <w:t>Otorgar, entre el 1 de enero y el 31 de diciembre de 2025, un bono mensual para el personal que perciba las gratificaciones especiales de riesgo y de reacción táctica de la Policía de Investigaciones de Chile, que será de hasta un 10% y un 2,5% de su sueldo en posesión, respectivamente.</w:t>
      </w:r>
    </w:p>
    <w:p w:rsidR="00AD6480" w:rsidRPr="0047479D" w:rsidRDefault="00AD6480" w:rsidP="00AD6480">
      <w:pPr>
        <w:tabs>
          <w:tab w:val="left" w:pos="0"/>
          <w:tab w:val="left" w:pos="2835"/>
        </w:tabs>
        <w:rPr>
          <w:color w:val="000000"/>
        </w:rPr>
      </w:pPr>
    </w:p>
    <w:p w:rsidR="00AD6480" w:rsidRPr="007C08AD" w:rsidRDefault="00AD6480" w:rsidP="00515BC8">
      <w:pPr>
        <w:tabs>
          <w:tab w:val="left" w:pos="0"/>
          <w:tab w:val="left" w:pos="2835"/>
        </w:tabs>
        <w:ind w:firstLine="0"/>
        <w:jc w:val="center"/>
        <w:rPr>
          <w:color w:val="000000"/>
        </w:rPr>
      </w:pPr>
      <w:r w:rsidRPr="007C08AD">
        <w:rPr>
          <w:color w:val="000000"/>
        </w:rPr>
        <w:t xml:space="preserve">- - - </w:t>
      </w:r>
    </w:p>
    <w:p w:rsidR="002E2262" w:rsidRPr="00866165" w:rsidRDefault="00A21282" w:rsidP="00866165">
      <w:pPr>
        <w:pStyle w:val="Ttulo"/>
      </w:pPr>
      <w:bookmarkStart w:id="2" w:name="_Toc80957978"/>
      <w:bookmarkStart w:id="3" w:name="constancias"/>
      <w:r w:rsidRPr="00866165">
        <w:t>CONSTANCIAS</w:t>
      </w:r>
      <w:bookmarkEnd w:id="2"/>
    </w:p>
    <w:bookmarkEnd w:id="3"/>
    <w:p w:rsidR="00022282" w:rsidRPr="007C08AD" w:rsidRDefault="00022282" w:rsidP="000910FE">
      <w:pPr>
        <w:pStyle w:val="Textoindependiente"/>
        <w:rPr>
          <w:rFonts w:cs="Arial"/>
          <w:b/>
          <w:color w:val="000000"/>
          <w:lang w:val="es-ES"/>
        </w:rPr>
      </w:pPr>
    </w:p>
    <w:p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normasquorum" w:history="1">
        <w:r w:rsidRPr="00F3037A">
          <w:rPr>
            <w:rStyle w:val="Hipervnculo"/>
            <w:rFonts w:cs="Arial"/>
            <w:b/>
            <w:lang w:val="es-ES"/>
          </w:rPr>
          <w:t>Normas de quórum especial</w:t>
        </w:r>
      </w:hyperlink>
      <w:r w:rsidRPr="007C08AD">
        <w:rPr>
          <w:rFonts w:cs="Arial"/>
          <w:b/>
          <w:color w:val="000000"/>
          <w:lang w:val="es-ES"/>
        </w:rPr>
        <w:t xml:space="preserve">: </w:t>
      </w:r>
      <w:bookmarkStart w:id="4" w:name="NORMASDEQUORUMPARCHE"/>
      <w:r w:rsidRPr="007C08AD">
        <w:rPr>
          <w:rFonts w:cs="Arial"/>
          <w:color w:val="000000"/>
          <w:lang w:val="es-ES"/>
        </w:rPr>
        <w:t>No tiene</w:t>
      </w:r>
      <w:bookmarkEnd w:id="4"/>
      <w:r w:rsidRPr="007C08AD">
        <w:rPr>
          <w:rFonts w:cs="Arial"/>
          <w:color w:val="000000"/>
          <w:lang w:val="es-ES"/>
        </w:rPr>
        <w:t>.</w:t>
      </w:r>
    </w:p>
    <w:p w:rsidR="00543588" w:rsidRPr="007C08AD" w:rsidRDefault="00543588" w:rsidP="00A067D7">
      <w:pPr>
        <w:pStyle w:val="Textoindependiente"/>
        <w:spacing w:after="0"/>
        <w:rPr>
          <w:rFonts w:cs="Arial"/>
          <w:color w:val="000000"/>
          <w:lang w:val="es-ES"/>
        </w:rPr>
      </w:pPr>
    </w:p>
    <w:p w:rsidR="00A21282" w:rsidRPr="007C08AD" w:rsidRDefault="00A21282" w:rsidP="00A067D7">
      <w:pPr>
        <w:pStyle w:val="Textoindependiente"/>
        <w:spacing w:after="0"/>
        <w:rPr>
          <w:rFonts w:cs="Arial"/>
          <w:color w:val="000000"/>
          <w:lang w:val="es-ES"/>
        </w:rPr>
      </w:pPr>
      <w:r w:rsidRPr="007C08AD">
        <w:rPr>
          <w:rFonts w:cs="Arial"/>
          <w:b/>
          <w:color w:val="000000"/>
          <w:lang w:val="es-ES"/>
        </w:rPr>
        <w:t xml:space="preserve">- </w:t>
      </w:r>
      <w:hyperlink w:anchor="consultaCS" w:history="1">
        <w:r w:rsidRPr="00F3037A">
          <w:rPr>
            <w:rStyle w:val="Hipervnculo"/>
            <w:rFonts w:cs="Arial"/>
            <w:b/>
            <w:lang w:val="es-ES"/>
          </w:rPr>
          <w:t>Consulta a la Excma. Corte Suprema</w:t>
        </w:r>
      </w:hyperlink>
      <w:r w:rsidRPr="007C08AD">
        <w:rPr>
          <w:rFonts w:cs="Arial"/>
          <w:b/>
          <w:color w:val="000000"/>
          <w:lang w:val="es-ES"/>
        </w:rPr>
        <w:t>:</w:t>
      </w:r>
      <w:r w:rsidR="000A382A">
        <w:rPr>
          <w:rFonts w:cs="Arial"/>
          <w:color w:val="000000"/>
          <w:lang w:val="es-ES"/>
        </w:rPr>
        <w:t xml:space="preserve"> </w:t>
      </w:r>
      <w:bookmarkStart w:id="5" w:name="CORTESUPREMAPARCHE"/>
      <w:r w:rsidR="00022282" w:rsidRPr="007C08AD">
        <w:rPr>
          <w:rFonts w:cs="Arial"/>
          <w:color w:val="000000"/>
          <w:lang w:val="es-ES"/>
        </w:rPr>
        <w:t>No</w:t>
      </w:r>
      <w:r w:rsidR="0089772C" w:rsidRPr="007C08AD">
        <w:rPr>
          <w:rFonts w:cs="Arial"/>
          <w:color w:val="000000"/>
          <w:lang w:val="es-ES"/>
        </w:rPr>
        <w:t xml:space="preserve"> hubo</w:t>
      </w:r>
      <w:bookmarkEnd w:id="5"/>
      <w:r w:rsidR="00022282" w:rsidRPr="007C08AD">
        <w:rPr>
          <w:rFonts w:cs="Arial"/>
          <w:color w:val="000000"/>
          <w:lang w:val="es-ES"/>
        </w:rPr>
        <w:t>.</w:t>
      </w:r>
    </w:p>
    <w:p w:rsidR="00A21282" w:rsidRPr="007C08AD" w:rsidRDefault="00A21282" w:rsidP="00A21282">
      <w:pPr>
        <w:pStyle w:val="Textoindependiente"/>
        <w:rPr>
          <w:rFonts w:cs="Arial"/>
          <w:b/>
          <w:color w:val="000000"/>
          <w:lang w:val="es-ES"/>
        </w:rPr>
      </w:pPr>
    </w:p>
    <w:p w:rsidR="000C01C0" w:rsidRPr="007C08AD" w:rsidRDefault="000C01C0" w:rsidP="00515BC8">
      <w:pPr>
        <w:tabs>
          <w:tab w:val="left" w:pos="0"/>
          <w:tab w:val="left" w:pos="2835"/>
        </w:tabs>
        <w:ind w:firstLine="0"/>
        <w:jc w:val="center"/>
        <w:rPr>
          <w:color w:val="000000"/>
        </w:rPr>
      </w:pPr>
      <w:r w:rsidRPr="007C08AD">
        <w:rPr>
          <w:color w:val="000000"/>
        </w:rPr>
        <w:t xml:space="preserve">- - - </w:t>
      </w:r>
    </w:p>
    <w:p w:rsidR="00C64DFB" w:rsidRPr="007C08AD" w:rsidRDefault="00C64DFB" w:rsidP="008D27C4">
      <w:pPr>
        <w:tabs>
          <w:tab w:val="left" w:pos="0"/>
          <w:tab w:val="left" w:pos="2835"/>
        </w:tabs>
        <w:rPr>
          <w:color w:val="000000"/>
        </w:rPr>
      </w:pPr>
    </w:p>
    <w:p w:rsidR="0090498F" w:rsidRPr="007C08AD" w:rsidRDefault="0090498F" w:rsidP="00606A56">
      <w:pPr>
        <w:pStyle w:val="Ttulo"/>
      </w:pPr>
      <w:bookmarkStart w:id="6" w:name="_Toc80957983"/>
      <w:bookmarkStart w:id="7" w:name="asistencia"/>
      <w:r w:rsidRPr="007C08AD">
        <w:lastRenderedPageBreak/>
        <w:t>ASISTENCIA</w:t>
      </w:r>
      <w:bookmarkEnd w:id="6"/>
    </w:p>
    <w:bookmarkEnd w:id="7"/>
    <w:p w:rsidR="0090498F" w:rsidRPr="007C08AD" w:rsidRDefault="0090498F" w:rsidP="0090498F">
      <w:pPr>
        <w:tabs>
          <w:tab w:val="left" w:pos="2835"/>
        </w:tabs>
        <w:rPr>
          <w:rFonts w:cs="Arial"/>
          <w:color w:val="000000"/>
        </w:rPr>
      </w:pPr>
    </w:p>
    <w:p w:rsidR="0090498F" w:rsidRPr="00D67E5D" w:rsidRDefault="0090498F" w:rsidP="0090498F">
      <w:pPr>
        <w:tabs>
          <w:tab w:val="left" w:pos="0"/>
          <w:tab w:val="left" w:pos="2835"/>
        </w:tabs>
        <w:rPr>
          <w:b/>
          <w:lang w:val="es-CL"/>
        </w:rPr>
      </w:pPr>
      <w:r w:rsidRPr="00D67E5D">
        <w:rPr>
          <w:b/>
          <w:lang w:val="es-CL"/>
        </w:rPr>
        <w:t xml:space="preserve">- Senadores </w:t>
      </w:r>
      <w:r w:rsidR="00FD6166" w:rsidRPr="00D67E5D">
        <w:rPr>
          <w:b/>
          <w:lang w:val="es-CL"/>
        </w:rPr>
        <w:t xml:space="preserve">y Diputados </w:t>
      </w:r>
      <w:r w:rsidRPr="00D67E5D">
        <w:rPr>
          <w:b/>
          <w:lang w:val="es-CL"/>
        </w:rPr>
        <w:t xml:space="preserve">no integrantes de la Comisión: </w:t>
      </w:r>
    </w:p>
    <w:p w:rsidR="0090498F" w:rsidRPr="00D67E5D" w:rsidRDefault="0090498F" w:rsidP="0090498F">
      <w:pPr>
        <w:tabs>
          <w:tab w:val="left" w:pos="0"/>
          <w:tab w:val="left" w:pos="2835"/>
        </w:tabs>
        <w:rPr>
          <w:b/>
          <w:lang w:val="es-CL"/>
        </w:rPr>
      </w:pPr>
    </w:p>
    <w:p w:rsidR="000A382A" w:rsidRPr="00D67E5D" w:rsidRDefault="00D67E5D" w:rsidP="0090498F">
      <w:pPr>
        <w:tabs>
          <w:tab w:val="left" w:pos="0"/>
          <w:tab w:val="left" w:pos="2835"/>
        </w:tabs>
        <w:rPr>
          <w:lang w:val="es-CL"/>
        </w:rPr>
      </w:pPr>
      <w:r w:rsidRPr="00D67E5D">
        <w:rPr>
          <w:lang w:val="es-CL"/>
        </w:rPr>
        <w:t>Los</w:t>
      </w:r>
      <w:r w:rsidR="00BD1F86" w:rsidRPr="00D67E5D">
        <w:rPr>
          <w:lang w:val="es-CL"/>
        </w:rPr>
        <w:t xml:space="preserve"> Honorable</w:t>
      </w:r>
      <w:r w:rsidRPr="00D67E5D">
        <w:rPr>
          <w:lang w:val="es-CL"/>
        </w:rPr>
        <w:t>s</w:t>
      </w:r>
      <w:r w:rsidR="00BD1F86" w:rsidRPr="00D67E5D">
        <w:rPr>
          <w:lang w:val="es-CL"/>
        </w:rPr>
        <w:t xml:space="preserve"> Senador</w:t>
      </w:r>
      <w:r w:rsidRPr="00D67E5D">
        <w:rPr>
          <w:lang w:val="es-CL"/>
        </w:rPr>
        <w:t>es</w:t>
      </w:r>
      <w:r w:rsidR="00BD1F86" w:rsidRPr="00D67E5D">
        <w:rPr>
          <w:lang w:val="es-CL"/>
        </w:rPr>
        <w:t xml:space="preserve"> señor</w:t>
      </w:r>
      <w:r w:rsidRPr="00D67E5D">
        <w:rPr>
          <w:lang w:val="es-CL"/>
        </w:rPr>
        <w:t xml:space="preserve">es Castro Prieto y </w:t>
      </w:r>
      <w:proofErr w:type="spellStart"/>
      <w:r w:rsidRPr="00D67E5D">
        <w:rPr>
          <w:lang w:val="es-CL"/>
        </w:rPr>
        <w:t>Kuschel</w:t>
      </w:r>
      <w:proofErr w:type="spellEnd"/>
      <w:r w:rsidRPr="00D67E5D">
        <w:rPr>
          <w:lang w:val="es-CL"/>
        </w:rPr>
        <w:t>.</w:t>
      </w:r>
    </w:p>
    <w:p w:rsidR="00BD1F86" w:rsidRPr="007E7D41" w:rsidRDefault="00BD1F86" w:rsidP="0090498F">
      <w:pPr>
        <w:tabs>
          <w:tab w:val="left" w:pos="0"/>
          <w:tab w:val="left" w:pos="2835"/>
        </w:tabs>
        <w:rPr>
          <w:b/>
          <w:lang w:val="es-CL"/>
        </w:rPr>
      </w:pPr>
    </w:p>
    <w:p w:rsidR="0090498F" w:rsidRPr="007E7D41" w:rsidRDefault="0090498F" w:rsidP="0090498F">
      <w:pPr>
        <w:tabs>
          <w:tab w:val="left" w:pos="0"/>
          <w:tab w:val="left" w:pos="2835"/>
        </w:tabs>
        <w:rPr>
          <w:b/>
          <w:lang w:val="es-CL"/>
        </w:rPr>
      </w:pPr>
      <w:r w:rsidRPr="007E7D41">
        <w:rPr>
          <w:b/>
          <w:lang w:val="es-CL"/>
        </w:rPr>
        <w:t xml:space="preserve">- </w:t>
      </w:r>
      <w:r w:rsidR="002F578E" w:rsidRPr="007E7D41">
        <w:rPr>
          <w:b/>
          <w:lang w:val="es-CL"/>
        </w:rPr>
        <w:t>R</w:t>
      </w:r>
      <w:r w:rsidRPr="007E7D41">
        <w:rPr>
          <w:b/>
          <w:lang w:val="es-CL"/>
        </w:rPr>
        <w:t>epresentantes del Ejecutivo</w:t>
      </w:r>
      <w:r w:rsidR="002F578E" w:rsidRPr="007E7D41">
        <w:rPr>
          <w:b/>
          <w:lang w:val="es-CL"/>
        </w:rPr>
        <w:t xml:space="preserve"> e invitados</w:t>
      </w:r>
      <w:r w:rsidRPr="007E7D41">
        <w:rPr>
          <w:b/>
          <w:lang w:val="es-CL"/>
        </w:rPr>
        <w:t xml:space="preserve">: </w:t>
      </w:r>
    </w:p>
    <w:p w:rsidR="0090498F" w:rsidRPr="007E7D41" w:rsidRDefault="0090498F" w:rsidP="0090498F">
      <w:pPr>
        <w:tabs>
          <w:tab w:val="left" w:pos="0"/>
          <w:tab w:val="left" w:pos="2835"/>
        </w:tabs>
        <w:rPr>
          <w:b/>
          <w:lang w:val="es-CL"/>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 xml:space="preserve">Del Ministerio del Interior y Seguridad Pública, el Jefe de la División de Gestión y Modernización de las Policías, señor Luis </w:t>
      </w:r>
      <w:proofErr w:type="spellStart"/>
      <w:r w:rsidRPr="007E7D41">
        <w:rPr>
          <w:rFonts w:eastAsia="Calibri" w:cs="Arial"/>
          <w:bCs/>
          <w:spacing w:val="0"/>
          <w:lang w:val="es-CL" w:eastAsia="en-US"/>
        </w:rPr>
        <w:t>Pradenas</w:t>
      </w:r>
      <w:proofErr w:type="spellEnd"/>
      <w:r w:rsidRPr="007E7D41">
        <w:rPr>
          <w:rFonts w:eastAsia="Calibri" w:cs="Arial"/>
          <w:bCs/>
          <w:spacing w:val="0"/>
          <w:lang w:val="es-CL" w:eastAsia="en-US"/>
        </w:rPr>
        <w:t xml:space="preserve"> y la asesora Legislativa, señora Patricia Araya.</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Del Ministerio Secretaría General de la Presidencia, el asesor, señor Carlos Valenzuela.</w:t>
      </w:r>
    </w:p>
    <w:p w:rsidR="000A382A" w:rsidRPr="007E7D41" w:rsidRDefault="000A382A" w:rsidP="0090498F">
      <w:pPr>
        <w:tabs>
          <w:tab w:val="left" w:pos="0"/>
          <w:tab w:val="left" w:pos="2835"/>
        </w:tabs>
        <w:rPr>
          <w:b/>
          <w:lang w:val="es-CL"/>
        </w:rPr>
      </w:pPr>
    </w:p>
    <w:p w:rsidR="0090498F" w:rsidRPr="007E7D41" w:rsidRDefault="0090498F" w:rsidP="0090498F">
      <w:pPr>
        <w:tabs>
          <w:tab w:val="left" w:pos="0"/>
          <w:tab w:val="left" w:pos="2835"/>
        </w:tabs>
        <w:rPr>
          <w:lang w:val="es-CL"/>
        </w:rPr>
      </w:pPr>
      <w:r w:rsidRPr="007E7D41">
        <w:rPr>
          <w:b/>
          <w:lang w:val="es-CL"/>
        </w:rPr>
        <w:t>- Otros</w:t>
      </w:r>
      <w:r w:rsidR="000A382A" w:rsidRPr="007E7D41">
        <w:rPr>
          <w:b/>
          <w:lang w:val="es-CL"/>
        </w:rPr>
        <w:t>:</w:t>
      </w:r>
      <w:r w:rsidRPr="007E7D41">
        <w:rPr>
          <w:lang w:val="es-CL"/>
        </w:rPr>
        <w:t xml:space="preserve"> </w:t>
      </w:r>
    </w:p>
    <w:p w:rsidR="007E7D41" w:rsidRPr="007E7D41" w:rsidRDefault="007E7D41" w:rsidP="0090498F">
      <w:pPr>
        <w:tabs>
          <w:tab w:val="left" w:pos="0"/>
          <w:tab w:val="left" w:pos="2835"/>
        </w:tabs>
        <w:rPr>
          <w:lang w:val="es-CL"/>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El asesor del Honorable Senador García, señor José Miguel Rey.</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 xml:space="preserve">Los asesores del Honorable Senador </w:t>
      </w:r>
      <w:proofErr w:type="spellStart"/>
      <w:r w:rsidRPr="007E7D41">
        <w:rPr>
          <w:rFonts w:eastAsia="Calibri" w:cs="Arial"/>
          <w:bCs/>
          <w:spacing w:val="0"/>
          <w:lang w:val="es-CL" w:eastAsia="en-US"/>
        </w:rPr>
        <w:t>Kast</w:t>
      </w:r>
      <w:proofErr w:type="spellEnd"/>
      <w:r w:rsidRPr="007E7D41">
        <w:rPr>
          <w:rFonts w:eastAsia="Calibri" w:cs="Arial"/>
          <w:bCs/>
          <w:spacing w:val="0"/>
          <w:lang w:val="es-CL" w:eastAsia="en-US"/>
        </w:rPr>
        <w:t>, señores Oscar Morales y José Manuel Astorga.</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 xml:space="preserve">El asesor del Honorable Senador Lagos, señor Reinaldo </w:t>
      </w:r>
      <w:proofErr w:type="spellStart"/>
      <w:r w:rsidRPr="007E7D41">
        <w:rPr>
          <w:rFonts w:eastAsia="Calibri" w:cs="Arial"/>
          <w:bCs/>
          <w:spacing w:val="0"/>
          <w:lang w:val="es-CL" w:eastAsia="en-US"/>
        </w:rPr>
        <w:t>Monardes</w:t>
      </w:r>
      <w:proofErr w:type="spellEnd"/>
      <w:r w:rsidRPr="007E7D41">
        <w:rPr>
          <w:rFonts w:eastAsia="Calibri" w:cs="Arial"/>
          <w:bCs/>
          <w:spacing w:val="0"/>
          <w:lang w:val="es-CL" w:eastAsia="en-US"/>
        </w:rPr>
        <w:t>.</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El asesor del Honorable Senador Sandoval, señor Pablo Castellano.</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Del Comité Partido Socialista, la asesora, señora Martina Riveros.</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 xml:space="preserve">De la Fundación Jaime Guzmán, la Directora del Área Legislativa, señora Bárbara </w:t>
      </w:r>
      <w:proofErr w:type="spellStart"/>
      <w:r w:rsidRPr="007E7D41">
        <w:rPr>
          <w:rFonts w:eastAsia="Calibri" w:cs="Arial"/>
          <w:bCs/>
          <w:spacing w:val="0"/>
          <w:lang w:val="es-CL" w:eastAsia="en-US"/>
        </w:rPr>
        <w:t>Bayolo</w:t>
      </w:r>
      <w:proofErr w:type="spellEnd"/>
      <w:r w:rsidRPr="007E7D41">
        <w:rPr>
          <w:rFonts w:eastAsia="Calibri" w:cs="Arial"/>
          <w:bCs/>
          <w:spacing w:val="0"/>
          <w:lang w:val="es-CL" w:eastAsia="en-US"/>
        </w:rPr>
        <w:t>.</w:t>
      </w:r>
    </w:p>
    <w:p w:rsidR="007E7D41" w:rsidRPr="007E7D41" w:rsidRDefault="007E7D41" w:rsidP="007E7D41">
      <w:pPr>
        <w:widowControl w:val="0"/>
        <w:rPr>
          <w:rFonts w:eastAsia="Calibri" w:cs="Arial"/>
          <w:bCs/>
          <w:spacing w:val="0"/>
          <w:lang w:val="es-CL" w:eastAsia="en-US"/>
        </w:rPr>
      </w:pPr>
    </w:p>
    <w:p w:rsidR="007E7D41" w:rsidRPr="007E7D41" w:rsidRDefault="007E7D41" w:rsidP="007E7D41">
      <w:pPr>
        <w:widowControl w:val="0"/>
        <w:rPr>
          <w:rFonts w:eastAsia="Calibri" w:cs="Arial"/>
          <w:bCs/>
          <w:spacing w:val="0"/>
          <w:lang w:val="es-CL" w:eastAsia="en-US"/>
        </w:rPr>
      </w:pPr>
      <w:r w:rsidRPr="007E7D41">
        <w:rPr>
          <w:rFonts w:eastAsia="Calibri" w:cs="Arial"/>
          <w:bCs/>
          <w:spacing w:val="0"/>
          <w:lang w:val="es-CL" w:eastAsia="en-US"/>
        </w:rPr>
        <w:t>De la Biblioteca del Congreso Nacional, el analista, señor Samuel Argüello.</w:t>
      </w:r>
    </w:p>
    <w:p w:rsidR="0090498F" w:rsidRPr="007C08AD" w:rsidRDefault="0090498F" w:rsidP="00931F9C">
      <w:pPr>
        <w:tabs>
          <w:tab w:val="left" w:pos="0"/>
          <w:tab w:val="left" w:pos="2835"/>
        </w:tabs>
        <w:rPr>
          <w:color w:val="000000"/>
          <w:lang w:val="es-CL"/>
        </w:rPr>
      </w:pPr>
    </w:p>
    <w:p w:rsidR="0090498F" w:rsidRPr="007C08AD" w:rsidRDefault="0090498F" w:rsidP="00E72869">
      <w:pPr>
        <w:tabs>
          <w:tab w:val="left" w:pos="2835"/>
        </w:tabs>
        <w:ind w:firstLine="0"/>
        <w:jc w:val="center"/>
        <w:rPr>
          <w:color w:val="000000"/>
        </w:rPr>
      </w:pPr>
      <w:r w:rsidRPr="007C08AD">
        <w:rPr>
          <w:color w:val="000000"/>
        </w:rPr>
        <w:t>- - -</w:t>
      </w:r>
    </w:p>
    <w:p w:rsidR="0090498F" w:rsidRPr="007C08AD" w:rsidRDefault="0090498F" w:rsidP="008D27C4">
      <w:pPr>
        <w:tabs>
          <w:tab w:val="left" w:pos="0"/>
          <w:tab w:val="left" w:pos="2835"/>
        </w:tabs>
        <w:rPr>
          <w:color w:val="000000"/>
        </w:rPr>
      </w:pPr>
    </w:p>
    <w:p w:rsidR="00FD7FC5" w:rsidRPr="007C08AD" w:rsidRDefault="00D448C2" w:rsidP="00606A56">
      <w:pPr>
        <w:pStyle w:val="Ttulo"/>
      </w:pPr>
      <w:bookmarkStart w:id="8" w:name="_Toc80957984"/>
      <w:bookmarkStart w:id="9" w:name="antecedentes"/>
      <w:r w:rsidRPr="007C08AD">
        <w:rPr>
          <w:lang w:val="es-ES"/>
        </w:rPr>
        <w:t>ANTECEDENTES</w:t>
      </w:r>
      <w:r w:rsidR="00161523" w:rsidRPr="007C08AD">
        <w:rPr>
          <w:lang w:val="es-ES"/>
        </w:rPr>
        <w:t xml:space="preserve"> DE HECHO</w:t>
      </w:r>
      <w:bookmarkEnd w:id="8"/>
    </w:p>
    <w:bookmarkEnd w:id="9"/>
    <w:p w:rsidR="00FD7FC5" w:rsidRPr="007C08AD" w:rsidRDefault="00FD7FC5" w:rsidP="00F72C6E">
      <w:pPr>
        <w:tabs>
          <w:tab w:val="left" w:pos="0"/>
          <w:tab w:val="left" w:pos="2835"/>
        </w:tabs>
        <w:rPr>
          <w:color w:val="000000"/>
        </w:rPr>
      </w:pPr>
    </w:p>
    <w:p w:rsidR="000C01C0" w:rsidRPr="007C08AD" w:rsidRDefault="005375CE" w:rsidP="00A974F4">
      <w:r w:rsidRPr="007C08AD">
        <w:t xml:space="preserve">Para el debido estudio de este proyecto de ley, se ha tenido en consideración el </w:t>
      </w:r>
      <w:hyperlink r:id="rId9" w:history="1">
        <w:r w:rsidR="000C01C0" w:rsidRPr="00FC202E">
          <w:rPr>
            <w:rStyle w:val="Hipervnculo"/>
          </w:rPr>
          <w:t>Mensaje</w:t>
        </w:r>
      </w:hyperlink>
      <w:r w:rsidR="000C01C0" w:rsidRPr="007C08AD">
        <w:t xml:space="preserve"> de Su Excelencia el Presidente de la República</w:t>
      </w:r>
      <w:r w:rsidR="000A382A">
        <w:t xml:space="preserve">, señor Gabriel </w:t>
      </w:r>
      <w:proofErr w:type="spellStart"/>
      <w:r w:rsidR="000A382A">
        <w:t>Boric</w:t>
      </w:r>
      <w:proofErr w:type="spellEnd"/>
      <w:r w:rsidR="000A382A">
        <w:t xml:space="preserve"> Font.</w:t>
      </w:r>
    </w:p>
    <w:p w:rsidR="00354E11" w:rsidRPr="007C08AD" w:rsidRDefault="00354E11" w:rsidP="00FD7FC5">
      <w:pPr>
        <w:tabs>
          <w:tab w:val="left" w:pos="0"/>
          <w:tab w:val="left" w:pos="2835"/>
        </w:tabs>
        <w:rPr>
          <w:color w:val="000000"/>
        </w:rPr>
      </w:pPr>
    </w:p>
    <w:p w:rsidR="00FD7FC5" w:rsidRDefault="000A382A" w:rsidP="00A974F4">
      <w:r>
        <w:t>El Mensaje</w:t>
      </w:r>
      <w:r w:rsidR="0092595A" w:rsidRPr="007C08AD">
        <w:t xml:space="preserve"> que da origen al presente proyecto de ley señala que</w:t>
      </w:r>
      <w:r w:rsidR="00106AA9">
        <w:t>, e</w:t>
      </w:r>
      <w:r w:rsidR="00106AA9" w:rsidRPr="00106AA9">
        <w:t xml:space="preserve">n el contexto de la aprobación de la Ley de Reajuste del Sector Público de 2025, </w:t>
      </w:r>
      <w:r w:rsidR="00106AA9" w:rsidRPr="00106AA9">
        <w:lastRenderedPageBreak/>
        <w:t xml:space="preserve">se comprometió el ingreso por parte del Ejecutivo de diversas iniciativas legislativas relativas al fortalecimiento de las Fuerzas de Orden y Seguridad Pública. Ello, a partir del análisis compartido con el Poder Legislativo acerca de la necesidad de contar con mejores herramientas para enfrentar la evolución del fenómeno delictivo que ha experimentado en los últimos años nuestro país, caracterizado por nuevas expresiones y formas de organización delictivas, la diversificación de mercados ilegales y el incremento de la violencia. Por ello, </w:t>
      </w:r>
      <w:r w:rsidR="00106AA9">
        <w:t xml:space="preserve">precisa que </w:t>
      </w:r>
      <w:r w:rsidR="00106AA9" w:rsidRPr="00106AA9">
        <w:t>resulta imprescindible robustecer al Estado para enfrentar el crimen y la violencia y asegurar el derecho de las y los ciudadanos de vivir en un entorno libre de violencia.</w:t>
      </w:r>
    </w:p>
    <w:p w:rsidR="00106AA9" w:rsidRDefault="00106AA9" w:rsidP="00A974F4"/>
    <w:p w:rsidR="00106AA9" w:rsidRDefault="00106AA9" w:rsidP="00106AA9">
      <w:pPr>
        <w:rPr>
          <w:rFonts w:cs="Arial"/>
        </w:rPr>
      </w:pPr>
      <w:r>
        <w:rPr>
          <w:rFonts w:cs="Arial"/>
        </w:rPr>
        <w:t>Dispone que u</w:t>
      </w:r>
      <w:r w:rsidRPr="009710B6">
        <w:rPr>
          <w:rFonts w:cs="Arial"/>
        </w:rPr>
        <w:t>no de aquellos compromisos consistió en la presentac</w:t>
      </w:r>
      <w:r>
        <w:rPr>
          <w:rFonts w:cs="Arial"/>
        </w:rPr>
        <w:t>ión al Senado de la República</w:t>
      </w:r>
      <w:r w:rsidRPr="009710B6">
        <w:rPr>
          <w:rFonts w:cs="Arial"/>
        </w:rPr>
        <w:t xml:space="preserve"> de un proyecto de ley que cree un beneficio pecuniario, de carácter transitorio, para los funcionarios de la Policía de Investigaciones de Chile que se ven expuestos, en la ejecución de sus labores, a un mayor riesgo de afe</w:t>
      </w:r>
      <w:r>
        <w:rPr>
          <w:rFonts w:cs="Arial"/>
        </w:rPr>
        <w:t>ctación de su integridad física, por lo que resalta que e</w:t>
      </w:r>
      <w:r w:rsidRPr="009710B6">
        <w:rPr>
          <w:rFonts w:cs="Arial"/>
        </w:rPr>
        <w:t>l presente proyecto de ley pretende cumplir con dicho compromiso.</w:t>
      </w:r>
    </w:p>
    <w:p w:rsidR="00106AA9" w:rsidRDefault="00106AA9" w:rsidP="00106AA9">
      <w:pPr>
        <w:rPr>
          <w:rFonts w:cs="Arial"/>
        </w:rPr>
      </w:pPr>
    </w:p>
    <w:p w:rsidR="00106AA9" w:rsidRDefault="00106AA9" w:rsidP="00106AA9">
      <w:pPr>
        <w:rPr>
          <w:rFonts w:cs="Arial"/>
        </w:rPr>
      </w:pPr>
      <w:r>
        <w:rPr>
          <w:rFonts w:cs="Arial"/>
        </w:rPr>
        <w:t>Acota que el</w:t>
      </w:r>
      <w:r w:rsidRPr="009710B6">
        <w:rPr>
          <w:rFonts w:cs="Arial"/>
        </w:rPr>
        <w:t xml:space="preserve"> compromiso reseñado en el párrafo anterior no es una iniciativa aislada, sino que forma parte de un conjunto de iniciativas legales que ha impulsado el Ejecutivo, que buscan fortalecer la labor policial para el resguardo del orden y la seguridad públicos.</w:t>
      </w:r>
    </w:p>
    <w:p w:rsidR="00106AA9" w:rsidRDefault="00106AA9" w:rsidP="00106AA9">
      <w:pPr>
        <w:rPr>
          <w:rFonts w:cs="Arial"/>
        </w:rPr>
      </w:pPr>
    </w:p>
    <w:p w:rsidR="00106AA9" w:rsidRDefault="00106AA9" w:rsidP="00106AA9">
      <w:pPr>
        <w:rPr>
          <w:rFonts w:cs="Arial"/>
        </w:rPr>
      </w:pPr>
      <w:r>
        <w:rPr>
          <w:rFonts w:cs="Arial"/>
        </w:rPr>
        <w:t>Continúa informando que</w:t>
      </w:r>
      <w:r w:rsidR="00E92AE4">
        <w:rPr>
          <w:rFonts w:cs="Arial"/>
        </w:rPr>
        <w:t>,</w:t>
      </w:r>
      <w:r w:rsidR="00290716">
        <w:rPr>
          <w:rFonts w:cs="Arial"/>
        </w:rPr>
        <w:t xml:space="preserve"> </w:t>
      </w:r>
      <w:r w:rsidRPr="00106AA9">
        <w:rPr>
          <w:rFonts w:cs="Arial"/>
        </w:rPr>
        <w:t>dentro de aquellas iniciativas cabe mencionar, a modo de ejemplo, el proyecto de ley que modifica diversos cuerpos legales, con el objeto de modernizar el Escalafón de Agentes Policiales de la Policía de Investigaciones de Chile y su Estatuto del Personal, ya aprobado por el H. Congreso y en trámite de promulgación (boletín N°17195-25), el proyecto de ley que aumenta las plazas del Escalafón de Agentes Policiales y crea el Escalafón de Agentes Policiales Estudiantes. Asimismo, destaca el proyecto de ley que crea una nueva modalidad de ingreso a la Policía de Investigaciones de Chile y modifica su estatuto del personal,</w:t>
      </w:r>
      <w:r>
        <w:rPr>
          <w:rFonts w:cs="Arial"/>
        </w:rPr>
        <w:t xml:space="preserve"> ingresado al Senado de la República</w:t>
      </w:r>
      <w:r w:rsidRPr="00106AA9">
        <w:rPr>
          <w:rFonts w:cs="Arial"/>
        </w:rPr>
        <w:t xml:space="preserve"> el 30 de enero de 2025. </w:t>
      </w:r>
      <w:r>
        <w:rPr>
          <w:rFonts w:cs="Arial"/>
        </w:rPr>
        <w:t>Refiere que d</w:t>
      </w:r>
      <w:r w:rsidRPr="00106AA9">
        <w:rPr>
          <w:rFonts w:cs="Arial"/>
        </w:rPr>
        <w:t>icho proyecto de ley establece una nueva modalidad de ingreso para oficiales policiales a la institución, crea el escalafón de Oficiales Policiales Investigadores y el escalafón de Aspirantes Investigadores, y establece una asignación profesional para los Oficiales Policiales Profesionales en Línea que se encuentren entre los grados de Detective y Subcomisario.</w:t>
      </w:r>
    </w:p>
    <w:p w:rsidR="00106AA9" w:rsidRDefault="00106AA9" w:rsidP="00106AA9">
      <w:pPr>
        <w:rPr>
          <w:rFonts w:cs="Arial"/>
        </w:rPr>
      </w:pPr>
    </w:p>
    <w:p w:rsidR="00106AA9" w:rsidRPr="009710B6" w:rsidRDefault="00E92AE4" w:rsidP="00106AA9">
      <w:pPr>
        <w:rPr>
          <w:rFonts w:cs="Arial"/>
        </w:rPr>
      </w:pPr>
      <w:r>
        <w:rPr>
          <w:rFonts w:cs="Arial"/>
        </w:rPr>
        <w:t>Enseguida</w:t>
      </w:r>
      <w:r w:rsidR="00106AA9">
        <w:rPr>
          <w:rFonts w:cs="Arial"/>
        </w:rPr>
        <w:t>, consigna que l</w:t>
      </w:r>
      <w:r w:rsidR="0051147E">
        <w:rPr>
          <w:rFonts w:cs="Arial"/>
        </w:rPr>
        <w:t xml:space="preserve">a </w:t>
      </w:r>
      <w:r w:rsidR="00106AA9" w:rsidRPr="009710B6">
        <w:rPr>
          <w:rFonts w:cs="Arial"/>
        </w:rPr>
        <w:t>iniciativa legislativa tiene como objetivo mejorar las condiciones laborales de los funcionarios de la Policía de</w:t>
      </w:r>
      <w:r w:rsidR="00106AA9">
        <w:rPr>
          <w:rFonts w:cs="Arial"/>
        </w:rPr>
        <w:t xml:space="preserve"> </w:t>
      </w:r>
      <w:r w:rsidR="00106AA9" w:rsidRPr="009710B6">
        <w:rPr>
          <w:rFonts w:cs="Arial"/>
        </w:rPr>
        <w:t xml:space="preserve">Investigaciones que, en el cumplimiento de sus funciones, exponen diariamente su vida e integridad física, mediante la asignación de un bono que podrá significar un incremento </w:t>
      </w:r>
      <w:proofErr w:type="spellStart"/>
      <w:r w:rsidR="00106AA9" w:rsidRPr="009710B6">
        <w:rPr>
          <w:rFonts w:cs="Arial"/>
        </w:rPr>
        <w:t>remuneracional</w:t>
      </w:r>
      <w:proofErr w:type="spellEnd"/>
      <w:r w:rsidR="00106AA9" w:rsidRPr="009710B6">
        <w:rPr>
          <w:rFonts w:cs="Arial"/>
        </w:rPr>
        <w:t xml:space="preserve"> de hasta un sueldo adicional al año. </w:t>
      </w:r>
      <w:r w:rsidR="00290716">
        <w:rPr>
          <w:rFonts w:cs="Arial"/>
        </w:rPr>
        <w:t>Añade que e</w:t>
      </w:r>
      <w:r w:rsidR="00106AA9" w:rsidRPr="009710B6">
        <w:rPr>
          <w:rFonts w:cs="Arial"/>
        </w:rPr>
        <w:t xml:space="preserve">stos funcionarios ejecutan funciones de alto riesgo que son de suma importancia para la mantención del orden y la seguridad públicos, tales como la protección de personas importantes, encargados de guardias, traslado de </w:t>
      </w:r>
      <w:r w:rsidR="00106AA9" w:rsidRPr="009710B6">
        <w:rPr>
          <w:rFonts w:cs="Arial"/>
        </w:rPr>
        <w:lastRenderedPageBreak/>
        <w:t>imputados, detenidos o arrestados; resguardo del sitio del suceso, auxilio a víctimas y testigos, o la verificación del cumplimiento de medidas cautelares personales o de condiciones decretadas en el marco de suspensiones condicionales del procedimiento, entre otras.</w:t>
      </w:r>
    </w:p>
    <w:p w:rsidR="00106AA9" w:rsidRDefault="00106AA9" w:rsidP="00106AA9">
      <w:pPr>
        <w:rPr>
          <w:rFonts w:cs="Arial"/>
        </w:rPr>
      </w:pPr>
    </w:p>
    <w:p w:rsidR="00106AA9" w:rsidRDefault="00106AA9" w:rsidP="00106AA9">
      <w:pPr>
        <w:rPr>
          <w:rFonts w:cs="Arial"/>
        </w:rPr>
      </w:pPr>
      <w:r>
        <w:rPr>
          <w:rFonts w:cs="Arial"/>
        </w:rPr>
        <w:t xml:space="preserve">Finalmente, </w:t>
      </w:r>
      <w:r w:rsidR="0051147E">
        <w:rPr>
          <w:rFonts w:cs="Arial"/>
        </w:rPr>
        <w:t>señala que la</w:t>
      </w:r>
      <w:r w:rsidRPr="009710B6">
        <w:rPr>
          <w:rFonts w:cs="Arial"/>
        </w:rPr>
        <w:t xml:space="preserve"> iniciativa tiene por fundamento igualar las condiciones de asignación de bonos para los funcionarios de la Policía de Investigaciones de Chile respecto de las condiciones para los funcionarios de Carabineros de Chile, que ejecutan funciones de riesgo similar, y a modo de incentivo y compensación por sus funciones.</w:t>
      </w:r>
    </w:p>
    <w:p w:rsidR="006F10D5" w:rsidRPr="007C08AD" w:rsidRDefault="006F10D5" w:rsidP="00A067D7">
      <w:pPr>
        <w:tabs>
          <w:tab w:val="left" w:pos="2835"/>
        </w:tabs>
        <w:ind w:firstLine="2835"/>
        <w:rPr>
          <w:color w:val="000000"/>
        </w:rPr>
      </w:pPr>
    </w:p>
    <w:p w:rsidR="006F10D5" w:rsidRPr="007C08AD" w:rsidRDefault="006F10D5" w:rsidP="00515BC8">
      <w:pPr>
        <w:tabs>
          <w:tab w:val="left" w:pos="2835"/>
        </w:tabs>
        <w:ind w:firstLine="0"/>
        <w:jc w:val="center"/>
        <w:rPr>
          <w:color w:val="000000"/>
        </w:rPr>
      </w:pPr>
      <w:r w:rsidRPr="007C08AD">
        <w:rPr>
          <w:color w:val="000000"/>
        </w:rPr>
        <w:t>- - -</w:t>
      </w:r>
    </w:p>
    <w:p w:rsidR="00161523" w:rsidRPr="007C08AD" w:rsidRDefault="00161523" w:rsidP="00F75B18">
      <w:pPr>
        <w:tabs>
          <w:tab w:val="left" w:pos="2835"/>
        </w:tabs>
        <w:rPr>
          <w:color w:val="000000"/>
        </w:rPr>
      </w:pPr>
    </w:p>
    <w:p w:rsidR="00161523" w:rsidRPr="007C08AD" w:rsidRDefault="00161523" w:rsidP="00606A56">
      <w:pPr>
        <w:pStyle w:val="Ttulo"/>
        <w:rPr>
          <w:lang w:val="es-ES"/>
        </w:rPr>
      </w:pPr>
      <w:bookmarkStart w:id="10" w:name="_Toc80957985"/>
      <w:bookmarkStart w:id="11" w:name="aspectoscentrales"/>
      <w:r w:rsidRPr="007C08AD">
        <w:rPr>
          <w:lang w:val="es-ES"/>
        </w:rPr>
        <w:t>ASPECTOS CENTRALES DEL DEBATE</w:t>
      </w:r>
      <w:bookmarkEnd w:id="10"/>
    </w:p>
    <w:bookmarkEnd w:id="11"/>
    <w:p w:rsidR="00161523" w:rsidRPr="006B5941" w:rsidRDefault="00161523" w:rsidP="00161523">
      <w:pPr>
        <w:tabs>
          <w:tab w:val="left" w:pos="0"/>
          <w:tab w:val="left" w:pos="2835"/>
        </w:tabs>
        <w:rPr>
          <w:lang w:val="es-CL"/>
        </w:rPr>
      </w:pPr>
    </w:p>
    <w:p w:rsidR="00161523" w:rsidRPr="00785AAB" w:rsidRDefault="00881740" w:rsidP="00161523">
      <w:pPr>
        <w:tabs>
          <w:tab w:val="left" w:pos="0"/>
          <w:tab w:val="left" w:pos="2835"/>
        </w:tabs>
        <w:rPr>
          <w:lang w:val="es-CL"/>
        </w:rPr>
      </w:pPr>
      <w:r w:rsidRPr="006B5941">
        <w:rPr>
          <w:lang w:val="es-CL"/>
        </w:rPr>
        <w:t>En la sesión en que se discutió la ini</w:t>
      </w:r>
      <w:r w:rsidRPr="00785AAB">
        <w:rPr>
          <w:lang w:val="es-CL"/>
        </w:rPr>
        <w:t>ciativa legal, el Ejecutivo dio cuen</w:t>
      </w:r>
      <w:r w:rsidR="00771C09">
        <w:rPr>
          <w:lang w:val="es-CL"/>
        </w:rPr>
        <w:t xml:space="preserve">ta </w:t>
      </w:r>
      <w:r w:rsidR="006B5941">
        <w:rPr>
          <w:lang w:val="es-CL"/>
        </w:rPr>
        <w:t xml:space="preserve">de </w:t>
      </w:r>
      <w:r w:rsidR="00771C09">
        <w:rPr>
          <w:lang w:val="es-CL"/>
        </w:rPr>
        <w:t xml:space="preserve">que el proyecto de ley </w:t>
      </w:r>
      <w:r w:rsidR="000957BE" w:rsidRPr="00785AAB">
        <w:rPr>
          <w:lang w:val="es-CL"/>
        </w:rPr>
        <w:t>materializa</w:t>
      </w:r>
      <w:r w:rsidRPr="00785AAB">
        <w:rPr>
          <w:lang w:val="es-CL"/>
        </w:rPr>
        <w:t xml:space="preserve"> un compromiso consignado en el protocolo de acuerdo suscrito durante la tramitación del proyecto de ley de reajuste del sector público del año 2025, con el fi</w:t>
      </w:r>
      <w:r w:rsidR="00A97A0F" w:rsidRPr="00785AAB">
        <w:rPr>
          <w:lang w:val="es-CL"/>
        </w:rPr>
        <w:t>n de establecer</w:t>
      </w:r>
      <w:r w:rsidRPr="00785AAB">
        <w:rPr>
          <w:lang w:val="es-CL"/>
        </w:rPr>
        <w:t xml:space="preserve"> un bono análogo </w:t>
      </w:r>
      <w:r w:rsidR="00A97A0F" w:rsidRPr="00785AAB">
        <w:rPr>
          <w:lang w:val="es-CL"/>
        </w:rPr>
        <w:t>al que en dicha instancia se otorgó a favor del</w:t>
      </w:r>
      <w:r w:rsidR="00785AAB">
        <w:rPr>
          <w:lang w:val="es-CL"/>
        </w:rPr>
        <w:t xml:space="preserve"> personal de O</w:t>
      </w:r>
      <w:r w:rsidRPr="00785AAB">
        <w:rPr>
          <w:lang w:val="es-CL"/>
        </w:rPr>
        <w:t>r</w:t>
      </w:r>
      <w:r w:rsidR="00785AAB">
        <w:rPr>
          <w:lang w:val="es-CL"/>
        </w:rPr>
        <w:t xml:space="preserve">den y Seguridad que perciba </w:t>
      </w:r>
      <w:r w:rsidR="00771C09">
        <w:rPr>
          <w:lang w:val="es-CL"/>
        </w:rPr>
        <w:t xml:space="preserve">las </w:t>
      </w:r>
      <w:r w:rsidRPr="00785AAB">
        <w:rPr>
          <w:lang w:val="es-CL"/>
        </w:rPr>
        <w:t xml:space="preserve">gratificaciones especiales de Riesgo, de Operaciones Especiales, de Fuerzas Especiales y de Protección de Autoridades, de manera tal que pudiese </w:t>
      </w:r>
      <w:r w:rsidR="00A97A0F" w:rsidRPr="00785AAB">
        <w:rPr>
          <w:lang w:val="es-CL"/>
        </w:rPr>
        <w:t>favorecerse al Personal de Planta de la Policía de Investigaciones de Chile que perciba las gratificaciones especiales de Riesgo y de Reacción Táctica.</w:t>
      </w:r>
    </w:p>
    <w:p w:rsidR="00A97A0F" w:rsidRPr="00785AAB" w:rsidRDefault="00A97A0F" w:rsidP="00161523">
      <w:pPr>
        <w:tabs>
          <w:tab w:val="left" w:pos="0"/>
          <w:tab w:val="left" w:pos="2835"/>
        </w:tabs>
        <w:rPr>
          <w:lang w:val="es-CL"/>
        </w:rPr>
      </w:pPr>
    </w:p>
    <w:p w:rsidR="00A97A0F" w:rsidRPr="00785AAB" w:rsidRDefault="00A97A0F" w:rsidP="00A97A0F">
      <w:pPr>
        <w:tabs>
          <w:tab w:val="left" w:pos="0"/>
          <w:tab w:val="left" w:pos="2835"/>
        </w:tabs>
        <w:rPr>
          <w:lang w:val="es-CL"/>
        </w:rPr>
      </w:pPr>
      <w:r w:rsidRPr="00785AAB">
        <w:rPr>
          <w:lang w:val="es-CL"/>
        </w:rPr>
        <w:t>Asimismo, desde el Ministerio del Interior</w:t>
      </w:r>
      <w:r w:rsidR="00ED48C8">
        <w:rPr>
          <w:lang w:val="es-CL"/>
        </w:rPr>
        <w:t xml:space="preserve"> y Seguridad Pública</w:t>
      </w:r>
      <w:r w:rsidRPr="00785AAB">
        <w:rPr>
          <w:lang w:val="es-CL"/>
        </w:rPr>
        <w:t xml:space="preserve"> expresaron que el presente beneficio será acotado, aplicable para aquellos funcionarios policiales que, d</w:t>
      </w:r>
      <w:r w:rsidR="006B5941">
        <w:rPr>
          <w:lang w:val="es-CL"/>
        </w:rPr>
        <w:t>esde</w:t>
      </w:r>
      <w:r w:rsidRPr="00785AAB">
        <w:rPr>
          <w:lang w:val="es-CL"/>
        </w:rPr>
        <w:t xml:space="preserve"> el 1 de enero al 31 de diciembre de 2025, </w:t>
      </w:r>
      <w:r w:rsidR="00785AAB">
        <w:rPr>
          <w:lang w:val="es-CL"/>
        </w:rPr>
        <w:t>reciban</w:t>
      </w:r>
      <w:r w:rsidRPr="00785AAB">
        <w:rPr>
          <w:lang w:val="es-CL"/>
        </w:rPr>
        <w:t xml:space="preserve"> las gratificaciones especiales de Riesgo y Reacción Táctica.</w:t>
      </w:r>
      <w:bookmarkStart w:id="12" w:name="_GoBack"/>
      <w:bookmarkEnd w:id="12"/>
    </w:p>
    <w:p w:rsidR="00A97A0F" w:rsidRPr="00785AAB" w:rsidRDefault="00A97A0F" w:rsidP="00A97A0F">
      <w:pPr>
        <w:tabs>
          <w:tab w:val="left" w:pos="0"/>
          <w:tab w:val="left" w:pos="2835"/>
        </w:tabs>
        <w:rPr>
          <w:lang w:val="es-CL"/>
        </w:rPr>
      </w:pPr>
    </w:p>
    <w:p w:rsidR="00A97A0F" w:rsidRPr="00785AAB" w:rsidRDefault="00785AAB" w:rsidP="00A97A0F">
      <w:pPr>
        <w:tabs>
          <w:tab w:val="left" w:pos="0"/>
          <w:tab w:val="left" w:pos="2835"/>
        </w:tabs>
        <w:rPr>
          <w:lang w:val="es-CL"/>
        </w:rPr>
      </w:pPr>
      <w:r>
        <w:rPr>
          <w:lang w:val="es-CL"/>
        </w:rPr>
        <w:t>En relación</w:t>
      </w:r>
      <w:r w:rsidR="00A97A0F" w:rsidRPr="00785AAB">
        <w:rPr>
          <w:lang w:val="es-CL"/>
        </w:rPr>
        <w:t xml:space="preserve"> a esto último, la Comisión se mostró interesada en la posibilidad </w:t>
      </w:r>
      <w:r w:rsidR="006B5941">
        <w:rPr>
          <w:lang w:val="es-CL"/>
        </w:rPr>
        <w:t xml:space="preserve">de </w:t>
      </w:r>
      <w:r w:rsidR="00A97A0F" w:rsidRPr="00785AAB">
        <w:rPr>
          <w:lang w:val="es-CL"/>
        </w:rPr>
        <w:t>que pueda existir algún pago retroactivo del bono y la</w:t>
      </w:r>
      <w:r w:rsidR="000957BE" w:rsidRPr="00785AAB">
        <w:rPr>
          <w:lang w:val="es-CL"/>
        </w:rPr>
        <w:t xml:space="preserve"> eventualidad</w:t>
      </w:r>
      <w:r w:rsidR="00A97A0F" w:rsidRPr="00785AAB">
        <w:rPr>
          <w:lang w:val="es-CL"/>
        </w:rPr>
        <w:t xml:space="preserve"> </w:t>
      </w:r>
      <w:r w:rsidR="006B5941">
        <w:rPr>
          <w:lang w:val="es-CL"/>
        </w:rPr>
        <w:t xml:space="preserve">de </w:t>
      </w:r>
      <w:r w:rsidR="00A97A0F" w:rsidRPr="00785AAB">
        <w:rPr>
          <w:lang w:val="es-CL"/>
        </w:rPr>
        <w:t>que su imputación presupuestaria, respecto a los últimos meses del año 2025, sea con cargo a la ley de presupuestos del año 202</w:t>
      </w:r>
      <w:r w:rsidR="000957BE" w:rsidRPr="00785AAB">
        <w:rPr>
          <w:lang w:val="es-CL"/>
        </w:rPr>
        <w:t>6</w:t>
      </w:r>
      <w:r>
        <w:rPr>
          <w:lang w:val="es-CL"/>
        </w:rPr>
        <w:t>. Al respecto, se consultó sobre la redacción consignada en la parte final del</w:t>
      </w:r>
      <w:r w:rsidR="00A97A0F" w:rsidRPr="00785AAB">
        <w:rPr>
          <w:lang w:val="es-CL"/>
        </w:rPr>
        <w:t xml:space="preserve"> artículo tercero transitorio de la iniciativa legal. </w:t>
      </w:r>
    </w:p>
    <w:p w:rsidR="00A97A0F" w:rsidRPr="00785AAB" w:rsidRDefault="00A97A0F" w:rsidP="00A97A0F">
      <w:pPr>
        <w:tabs>
          <w:tab w:val="left" w:pos="0"/>
          <w:tab w:val="left" w:pos="2835"/>
        </w:tabs>
        <w:rPr>
          <w:lang w:val="es-CL"/>
        </w:rPr>
      </w:pPr>
    </w:p>
    <w:p w:rsidR="00A97A0F" w:rsidRPr="00785AAB" w:rsidRDefault="004B1B45" w:rsidP="00A97A0F">
      <w:pPr>
        <w:tabs>
          <w:tab w:val="left" w:pos="0"/>
          <w:tab w:val="left" w:pos="2835"/>
        </w:tabs>
        <w:rPr>
          <w:lang w:val="es-CL"/>
        </w:rPr>
      </w:pPr>
      <w:r>
        <w:rPr>
          <w:lang w:val="es-CL"/>
        </w:rPr>
        <w:t>Al concluir, el Ejecutivo</w:t>
      </w:r>
      <w:r w:rsidR="00A97A0F" w:rsidRPr="00785AAB">
        <w:rPr>
          <w:lang w:val="es-CL"/>
        </w:rPr>
        <w:t xml:space="preserve"> resaltó que, sin perjuicio del beneficio que impl</w:t>
      </w:r>
      <w:r>
        <w:rPr>
          <w:lang w:val="es-CL"/>
        </w:rPr>
        <w:t>ica el proyecto de ley para la Policía de Investigaciones de Chile</w:t>
      </w:r>
      <w:r w:rsidR="00A97A0F" w:rsidRPr="00785AAB">
        <w:rPr>
          <w:lang w:val="es-CL"/>
        </w:rPr>
        <w:t>, se están considerando transformaciones más profundas dentro</w:t>
      </w:r>
      <w:r w:rsidR="00C94391" w:rsidRPr="00785AAB">
        <w:rPr>
          <w:lang w:val="es-CL"/>
        </w:rPr>
        <w:t xml:space="preserve"> las policías a través de di</w:t>
      </w:r>
      <w:r w:rsidR="00771C09">
        <w:rPr>
          <w:lang w:val="es-CL"/>
        </w:rPr>
        <w:t>stintas iniciativas legales</w:t>
      </w:r>
      <w:r w:rsidR="00C94391" w:rsidRPr="00785AAB">
        <w:rPr>
          <w:lang w:val="es-CL"/>
        </w:rPr>
        <w:t>,</w:t>
      </w:r>
      <w:r w:rsidR="00A97A0F" w:rsidRPr="00785AAB">
        <w:rPr>
          <w:lang w:val="es-CL"/>
        </w:rPr>
        <w:t xml:space="preserve"> cuya discusión en el Congreso Nacional ameritará un tiempo mayor. </w:t>
      </w:r>
    </w:p>
    <w:p w:rsidR="00A97A0F" w:rsidRPr="006B5941" w:rsidRDefault="00A97A0F" w:rsidP="00161523">
      <w:pPr>
        <w:tabs>
          <w:tab w:val="left" w:pos="0"/>
          <w:tab w:val="left" w:pos="2835"/>
        </w:tabs>
        <w:rPr>
          <w:i/>
          <w:lang w:val="es-CL"/>
        </w:rPr>
      </w:pPr>
    </w:p>
    <w:p w:rsidR="00161523" w:rsidRPr="007C08AD" w:rsidRDefault="00161523" w:rsidP="00161523">
      <w:pPr>
        <w:tabs>
          <w:tab w:val="left" w:pos="0"/>
          <w:tab w:val="left" w:pos="2835"/>
        </w:tabs>
        <w:rPr>
          <w:i/>
          <w:color w:val="000000"/>
          <w:lang w:val="es-CL"/>
        </w:rPr>
      </w:pPr>
    </w:p>
    <w:p w:rsidR="00161523" w:rsidRPr="007C08AD" w:rsidRDefault="00161523" w:rsidP="00E72869">
      <w:pPr>
        <w:tabs>
          <w:tab w:val="left" w:pos="2835"/>
        </w:tabs>
        <w:ind w:firstLine="0"/>
        <w:jc w:val="center"/>
        <w:rPr>
          <w:color w:val="000000"/>
        </w:rPr>
      </w:pPr>
      <w:r w:rsidRPr="007C08AD">
        <w:rPr>
          <w:color w:val="000000"/>
        </w:rPr>
        <w:t>- - -</w:t>
      </w:r>
    </w:p>
    <w:p w:rsidR="00F75B18" w:rsidRPr="007C08AD" w:rsidRDefault="00F75B18" w:rsidP="00F75B18">
      <w:pPr>
        <w:tabs>
          <w:tab w:val="left" w:pos="2835"/>
        </w:tabs>
        <w:rPr>
          <w:color w:val="000000"/>
        </w:rPr>
      </w:pPr>
    </w:p>
    <w:p w:rsidR="00FD7FC5" w:rsidRPr="007C08AD" w:rsidRDefault="00FD7FC5" w:rsidP="00606A56">
      <w:pPr>
        <w:pStyle w:val="Ttulo"/>
      </w:pPr>
      <w:bookmarkStart w:id="13" w:name="discusióngeneral"/>
      <w:bookmarkStart w:id="14" w:name="_Toc80957986"/>
      <w:r w:rsidRPr="007C08AD">
        <w:t>DISCUSIÓN EN GENERAL</w:t>
      </w:r>
      <w:bookmarkEnd w:id="13"/>
      <w:r w:rsidR="00741223" w:rsidRPr="007C08AD">
        <w:rPr>
          <w:rStyle w:val="Refdenotaalpie"/>
          <w:b w:val="0"/>
          <w:color w:val="000000"/>
        </w:rPr>
        <w:footnoteReference w:id="1"/>
      </w:r>
      <w:bookmarkEnd w:id="14"/>
    </w:p>
    <w:p w:rsidR="00A7305C" w:rsidRPr="007C08AD" w:rsidRDefault="00A7305C" w:rsidP="004058E7">
      <w:pPr>
        <w:tabs>
          <w:tab w:val="left" w:pos="0"/>
          <w:tab w:val="left" w:pos="2835"/>
        </w:tabs>
        <w:rPr>
          <w:b/>
          <w:color w:val="000000"/>
        </w:rPr>
      </w:pPr>
    </w:p>
    <w:p w:rsidR="004058E7" w:rsidRPr="000A382A" w:rsidRDefault="00DA3386" w:rsidP="00A067D7">
      <w:pPr>
        <w:rPr>
          <w:b/>
        </w:rPr>
      </w:pPr>
      <w:r w:rsidRPr="000A382A">
        <w:rPr>
          <w:b/>
        </w:rPr>
        <w:t>A.</w:t>
      </w:r>
      <w:r w:rsidR="0089772C" w:rsidRPr="000A382A">
        <w:rPr>
          <w:b/>
        </w:rPr>
        <w:t xml:space="preserve">- </w:t>
      </w:r>
      <w:r w:rsidR="000A382A" w:rsidRPr="000A382A">
        <w:rPr>
          <w:b/>
        </w:rPr>
        <w:t>Presentación del proyecto de ley por parte del Ejecutivo, y debate preliminar en la Comisión.</w:t>
      </w:r>
    </w:p>
    <w:p w:rsidR="004058E7" w:rsidRPr="007C08AD" w:rsidRDefault="004058E7" w:rsidP="004058E7">
      <w:pPr>
        <w:ind w:firstLine="2835"/>
        <w:rPr>
          <w:rFonts w:cs="Arial"/>
          <w:color w:val="000000"/>
          <w:u w:val="single"/>
          <w:lang w:val="es-CL"/>
        </w:rPr>
      </w:pPr>
    </w:p>
    <w:p w:rsidR="000A382A" w:rsidRPr="00A97A0F" w:rsidRDefault="000A382A" w:rsidP="000A382A">
      <w:pPr>
        <w:rPr>
          <w:rFonts w:cs="Arial"/>
          <w:bCs/>
          <w:spacing w:val="0"/>
          <w:lang w:val="es-ES"/>
        </w:rPr>
      </w:pPr>
      <w:r w:rsidRPr="00A97A0F">
        <w:rPr>
          <w:rFonts w:cs="Arial"/>
          <w:bCs/>
          <w:spacing w:val="0"/>
        </w:rPr>
        <w:t>E</w:t>
      </w:r>
      <w:r w:rsidRPr="00A97A0F">
        <w:rPr>
          <w:rFonts w:cs="Arial"/>
          <w:bCs/>
          <w:spacing w:val="0"/>
          <w:lang w:val="es-ES"/>
        </w:rPr>
        <w:t>n</w:t>
      </w:r>
      <w:r w:rsidRPr="00A97A0F">
        <w:rPr>
          <w:rFonts w:cs="Arial"/>
          <w:b/>
          <w:spacing w:val="0"/>
          <w:lang w:val="es-ES"/>
        </w:rPr>
        <w:t xml:space="preserve"> </w:t>
      </w:r>
      <w:r w:rsidR="002C50C8" w:rsidRPr="00A97A0F">
        <w:rPr>
          <w:rFonts w:cs="Arial"/>
          <w:b/>
          <w:bCs/>
          <w:spacing w:val="0"/>
          <w:lang w:val="es-ES"/>
        </w:rPr>
        <w:t>sesión de 26</w:t>
      </w:r>
      <w:r w:rsidRPr="00A97A0F">
        <w:rPr>
          <w:rFonts w:cs="Arial"/>
          <w:b/>
          <w:bCs/>
          <w:spacing w:val="0"/>
          <w:lang w:val="es-ES"/>
        </w:rPr>
        <w:t xml:space="preserve"> de marzo de 2025</w:t>
      </w:r>
      <w:r w:rsidRPr="00A97A0F">
        <w:rPr>
          <w:rFonts w:cs="Arial"/>
          <w:b/>
          <w:spacing w:val="0"/>
          <w:lang w:val="es-ES"/>
        </w:rPr>
        <w:t xml:space="preserve">, </w:t>
      </w:r>
      <w:r w:rsidRPr="00A97A0F">
        <w:rPr>
          <w:rFonts w:cs="Arial"/>
          <w:spacing w:val="0"/>
          <w:lang w:val="es-ES"/>
        </w:rPr>
        <w:t>la Comisión escuchó al</w:t>
      </w:r>
      <w:r w:rsidR="002C50C8" w:rsidRPr="00A97A0F">
        <w:rPr>
          <w:rFonts w:cs="Arial"/>
          <w:b/>
          <w:spacing w:val="0"/>
          <w:lang w:val="es-ES"/>
        </w:rPr>
        <w:t xml:space="preserve"> Jefe de la División de Gestión y Modernización de las Policías del Ministerio del Interior y Seguridad Pública</w:t>
      </w:r>
      <w:r w:rsidRPr="00A97A0F">
        <w:rPr>
          <w:rFonts w:cs="Arial"/>
          <w:b/>
          <w:spacing w:val="0"/>
          <w:lang w:val="es-ES"/>
        </w:rPr>
        <w:t>, señor</w:t>
      </w:r>
      <w:r w:rsidR="002C50C8" w:rsidRPr="00A97A0F">
        <w:rPr>
          <w:rFonts w:cs="Arial"/>
          <w:b/>
          <w:spacing w:val="0"/>
          <w:lang w:val="es-ES"/>
        </w:rPr>
        <w:t xml:space="preserve"> Luis </w:t>
      </w:r>
      <w:proofErr w:type="spellStart"/>
      <w:r w:rsidR="002C50C8" w:rsidRPr="00A97A0F">
        <w:rPr>
          <w:rFonts w:cs="Arial"/>
          <w:b/>
          <w:spacing w:val="0"/>
          <w:lang w:val="es-ES"/>
        </w:rPr>
        <w:t>Pradenas</w:t>
      </w:r>
      <w:proofErr w:type="spellEnd"/>
      <w:r w:rsidRPr="00A97A0F">
        <w:rPr>
          <w:rFonts w:cs="Arial"/>
          <w:b/>
          <w:spacing w:val="0"/>
          <w:lang w:val="es-ES"/>
        </w:rPr>
        <w:t>,</w:t>
      </w:r>
      <w:r w:rsidR="00BD1F86" w:rsidRPr="00A97A0F">
        <w:rPr>
          <w:rFonts w:cs="Arial"/>
          <w:b/>
          <w:spacing w:val="0"/>
          <w:lang w:val="es-ES"/>
        </w:rPr>
        <w:t xml:space="preserve"> y a su Asesora Legislativa, señora Patricia Araya</w:t>
      </w:r>
      <w:r w:rsidR="00BD1F86" w:rsidRPr="00A97A0F">
        <w:rPr>
          <w:rFonts w:cs="Arial"/>
          <w:spacing w:val="0"/>
          <w:lang w:val="es-ES"/>
        </w:rPr>
        <w:t>, quienes efectuaron</w:t>
      </w:r>
      <w:r w:rsidRPr="00A97A0F">
        <w:rPr>
          <w:rFonts w:cs="Arial"/>
          <w:bCs/>
          <w:spacing w:val="0"/>
          <w:lang w:val="es-ES"/>
        </w:rPr>
        <w:t xml:space="preserve"> una </w:t>
      </w:r>
      <w:hyperlink r:id="rId10" w:history="1">
        <w:r w:rsidRPr="00A97A0F">
          <w:rPr>
            <w:rStyle w:val="Hipervnculo"/>
            <w:rFonts w:cs="Arial"/>
            <w:bCs/>
            <w:spacing w:val="0"/>
            <w:lang w:val="es-ES"/>
          </w:rPr>
          <w:t>presentación</w:t>
        </w:r>
      </w:hyperlink>
      <w:r w:rsidRPr="00A97A0F">
        <w:rPr>
          <w:rFonts w:cs="Arial"/>
          <w:bCs/>
          <w:spacing w:val="0"/>
          <w:lang w:val="es-ES"/>
        </w:rPr>
        <w:t xml:space="preserve">, en formato </w:t>
      </w:r>
      <w:proofErr w:type="spellStart"/>
      <w:r w:rsidRPr="00A97A0F">
        <w:rPr>
          <w:rFonts w:cs="Arial"/>
          <w:bCs/>
          <w:spacing w:val="0"/>
          <w:lang w:val="es-ES"/>
        </w:rPr>
        <w:t>ppt</w:t>
      </w:r>
      <w:proofErr w:type="spellEnd"/>
      <w:r w:rsidRPr="00A97A0F">
        <w:rPr>
          <w:rFonts w:cs="Arial"/>
          <w:bCs/>
          <w:spacing w:val="0"/>
          <w:lang w:val="es-ES"/>
        </w:rPr>
        <w:t>, del siguiente tenor:</w:t>
      </w:r>
    </w:p>
    <w:p w:rsidR="000A382A" w:rsidRPr="006B5941" w:rsidRDefault="000A382A" w:rsidP="000A382A">
      <w:pPr>
        <w:rPr>
          <w:rFonts w:cs="Arial"/>
          <w:bCs/>
          <w:spacing w:val="0"/>
          <w:lang w:val="es-ES"/>
        </w:rPr>
      </w:pPr>
    </w:p>
    <w:p w:rsidR="002C50C8" w:rsidRPr="002C50C8" w:rsidRDefault="002C50C8" w:rsidP="002C50C8">
      <w:pPr>
        <w:widowControl w:val="0"/>
        <w:rPr>
          <w:rFonts w:eastAsia="Calibri" w:cs="Arial"/>
          <w:b/>
          <w:bCs/>
          <w:spacing w:val="0"/>
          <w:lang w:val="es-CL" w:eastAsia="en-US"/>
        </w:rPr>
      </w:pPr>
      <w:r w:rsidRPr="002C50C8">
        <w:rPr>
          <w:rFonts w:eastAsia="Calibri" w:cs="Arial"/>
          <w:b/>
          <w:bCs/>
          <w:spacing w:val="0"/>
          <w:lang w:val="es-CL" w:eastAsia="en-US"/>
        </w:rPr>
        <w:t>PROYECTO DE LEY QUE ESTABLECE UN BONO TRANSITORIO PARA LA POLICÍA DE INVESTIGACIONES DE CHILE</w:t>
      </w:r>
    </w:p>
    <w:p w:rsidR="002C50C8" w:rsidRPr="002C50C8" w:rsidRDefault="002C50C8" w:rsidP="002C50C8">
      <w:pPr>
        <w:widowControl w:val="0"/>
        <w:rPr>
          <w:rFonts w:eastAsia="Calibri" w:cs="Arial"/>
          <w:b/>
          <w:bCs/>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b/>
          <w:bCs/>
          <w:spacing w:val="0"/>
          <w:lang w:val="es-CL" w:eastAsia="en-US"/>
        </w:rPr>
        <w:t>ANTECEDENTES</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b/>
          <w:bCs/>
          <w:spacing w:val="0"/>
          <w:lang w:val="es-CL" w:eastAsia="en-US"/>
        </w:rPr>
        <w:t>Ley de Reajuste del Sector Público de 2025</w:t>
      </w:r>
      <w:r w:rsidRPr="002C50C8">
        <w:rPr>
          <w:rFonts w:eastAsia="Calibri" w:cs="Arial"/>
          <w:spacing w:val="0"/>
          <w:lang w:val="es-CL" w:eastAsia="en-US"/>
        </w:rPr>
        <w:t xml:space="preserve"> crea bono transitorio para Carabineros que reciban la gratificación especial de riesgo, de Operaciones Especiales, de Fuerzas Especiales y de Protección de Autoridades.</w:t>
      </w:r>
    </w:p>
    <w:p w:rsidR="002C50C8" w:rsidRPr="002C50C8" w:rsidRDefault="002C50C8" w:rsidP="002C50C8">
      <w:pPr>
        <w:widowControl w:val="0"/>
        <w:rPr>
          <w:rFonts w:eastAsia="Calibri" w:cs="Arial"/>
          <w:b/>
          <w:bCs/>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b/>
          <w:bCs/>
          <w:spacing w:val="0"/>
          <w:lang w:val="es-CL" w:eastAsia="en-US"/>
        </w:rPr>
        <w:t>Protocolo de acuerdo</w:t>
      </w:r>
      <w:r w:rsidRPr="002C50C8">
        <w:rPr>
          <w:rFonts w:eastAsia="Calibri" w:cs="Arial"/>
          <w:spacing w:val="0"/>
          <w:lang w:val="es-CL" w:eastAsia="en-US"/>
        </w:rPr>
        <w:t xml:space="preserve"> para viabilizar el despacho de la ley de reajuste del sector público 2025 incluyó bono análogo para los funcionarios de la PDI.</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b/>
          <w:bCs/>
          <w:spacing w:val="0"/>
          <w:lang w:val="es-CL" w:eastAsia="en-US"/>
        </w:rPr>
        <w:t>OBJETIVO DEL PROYECTO</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lang w:val="es-CL" w:eastAsia="en-US"/>
        </w:rPr>
        <w:t xml:space="preserve">Mejorar las condiciones laborales de los funcionarios de la Policía de Investigaciones que, en el cumplimiento de sus funciones, exponen diariamente su vida e integridad física, mediante la asignación de un bono que podrá significar un incremento </w:t>
      </w:r>
      <w:proofErr w:type="spellStart"/>
      <w:r w:rsidRPr="002C50C8">
        <w:rPr>
          <w:rFonts w:eastAsia="Calibri" w:cs="Arial"/>
          <w:spacing w:val="0"/>
          <w:lang w:val="es-CL" w:eastAsia="en-US"/>
        </w:rPr>
        <w:t>remuneracional</w:t>
      </w:r>
      <w:proofErr w:type="spellEnd"/>
      <w:r w:rsidRPr="002C50C8">
        <w:rPr>
          <w:rFonts w:eastAsia="Calibri" w:cs="Arial"/>
          <w:spacing w:val="0"/>
          <w:lang w:val="es-CL" w:eastAsia="en-US"/>
        </w:rPr>
        <w:t xml:space="preserve"> de hasta un sueldo adicional al año. Esto permitirá igualar las condiciones de asignación de bonos para los funcionarios de la Policía de Investigaciones de Chile respecto de las condiciones para los funcionarios de Carabineros de Chile, que ejecutan funciones de riesgo similar.</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b/>
          <w:spacing w:val="0"/>
          <w:lang w:val="es-CL" w:eastAsia="en-US"/>
        </w:rPr>
      </w:pPr>
      <w:r w:rsidRPr="002C50C8">
        <w:rPr>
          <w:rFonts w:eastAsia="Calibri" w:cs="Arial"/>
          <w:b/>
          <w:spacing w:val="0"/>
          <w:lang w:val="es-CL" w:eastAsia="en-US"/>
        </w:rPr>
        <w:t>CONTENIDO</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spacing w:val="0"/>
          <w:lang w:val="es-CL" w:eastAsia="en-US"/>
        </w:rPr>
        <w:t xml:space="preserve">Se otorga, desde el 1 de enero al 31 de diciembre de 2025, un bono mensual para el personal que perciba las </w:t>
      </w:r>
      <w:r w:rsidRPr="002C50C8">
        <w:rPr>
          <w:rFonts w:eastAsia="Calibri" w:cs="Arial"/>
          <w:b/>
          <w:spacing w:val="0"/>
          <w:lang w:val="es-CL" w:eastAsia="en-US"/>
        </w:rPr>
        <w:t xml:space="preserve">gratificaciones especiales de </w:t>
      </w:r>
      <w:r w:rsidRPr="002C50C8">
        <w:rPr>
          <w:rFonts w:eastAsia="Calibri" w:cs="Arial"/>
          <w:b/>
          <w:spacing w:val="0"/>
          <w:lang w:val="es-CL" w:eastAsia="en-US"/>
        </w:rPr>
        <w:lastRenderedPageBreak/>
        <w:t>riesgo y de reacción táctica de la Policía de Investigaciones de Chile</w:t>
      </w:r>
      <w:r w:rsidRPr="002C50C8">
        <w:rPr>
          <w:rFonts w:eastAsia="Calibri" w:cs="Arial"/>
          <w:spacing w:val="0"/>
          <w:lang w:val="es-CL" w:eastAsia="en-US"/>
        </w:rPr>
        <w:t xml:space="preserve">. </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spacing w:val="0"/>
          <w:lang w:val="es-CL" w:eastAsia="en-US"/>
        </w:rPr>
        <w:t xml:space="preserve">La suma del bono mensual supondrá </w:t>
      </w:r>
      <w:r w:rsidRPr="002C50C8">
        <w:rPr>
          <w:rFonts w:eastAsia="Calibri" w:cs="Arial"/>
          <w:b/>
          <w:spacing w:val="0"/>
          <w:lang w:val="es-CL" w:eastAsia="en-US"/>
        </w:rPr>
        <w:t>un sueldo extra al año 2025</w:t>
      </w:r>
      <w:r w:rsidRPr="002C50C8">
        <w:rPr>
          <w:rFonts w:eastAsia="Calibri" w:cs="Arial"/>
          <w:spacing w:val="0"/>
          <w:lang w:val="es-CL" w:eastAsia="en-US"/>
        </w:rPr>
        <w:t>. Un decreto supremo determinará la metodología para definir el porcentaje preciso a otorgar a cada beneficiario y así conseguir tal resultado. El mismo decreto otorgará el bono.</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ind w:firstLine="0"/>
        <w:jc w:val="center"/>
        <w:rPr>
          <w:rFonts w:eastAsia="Calibri" w:cs="Arial"/>
          <w:spacing w:val="0"/>
          <w:lang w:val="es-CL" w:eastAsia="en-US"/>
        </w:rPr>
      </w:pPr>
      <w:r w:rsidRPr="002C50C8">
        <w:rPr>
          <w:rFonts w:eastAsia="Calibri" w:cs="Arial"/>
          <w:noProof/>
          <w:spacing w:val="0"/>
          <w:lang w:val="es-CL" w:eastAsia="es-CL"/>
        </w:rPr>
        <w:drawing>
          <wp:inline distT="0" distB="0" distL="0" distR="0" wp14:anchorId="327BBBAA" wp14:editId="4FDB2B98">
            <wp:extent cx="5252085" cy="991870"/>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2085" cy="991870"/>
                    </a:xfrm>
                    <a:prstGeom prst="rect">
                      <a:avLst/>
                    </a:prstGeom>
                  </pic:spPr>
                </pic:pic>
              </a:graphicData>
            </a:graphic>
          </wp:inline>
        </w:drawing>
      </w:r>
    </w:p>
    <w:p w:rsidR="002C50C8" w:rsidRPr="002C50C8" w:rsidRDefault="002C50C8" w:rsidP="002C50C8">
      <w:pPr>
        <w:widowControl w:val="0"/>
        <w:ind w:firstLine="0"/>
        <w:jc w:val="center"/>
        <w:rPr>
          <w:rFonts w:eastAsia="Calibri" w:cs="Arial"/>
          <w:spacing w:val="0"/>
          <w:lang w:val="es-CL" w:eastAsia="en-US"/>
        </w:rPr>
      </w:pPr>
    </w:p>
    <w:p w:rsidR="002C50C8" w:rsidRPr="002C50C8" w:rsidRDefault="002C50C8" w:rsidP="002C50C8">
      <w:pPr>
        <w:widowControl w:val="0"/>
        <w:rPr>
          <w:rFonts w:eastAsia="Calibri" w:cs="Arial"/>
          <w:b/>
          <w:spacing w:val="0"/>
          <w:lang w:val="es-CL" w:eastAsia="en-US"/>
        </w:rPr>
      </w:pPr>
      <w:r w:rsidRPr="002C50C8">
        <w:rPr>
          <w:rFonts w:eastAsia="Calibri" w:cs="Arial"/>
          <w:b/>
          <w:spacing w:val="0"/>
          <w:lang w:val="es-CL" w:eastAsia="en-US"/>
        </w:rPr>
        <w:t>ENTRADA EN VIGENCIA</w:t>
      </w:r>
    </w:p>
    <w:p w:rsidR="002C50C8" w:rsidRPr="002C50C8" w:rsidRDefault="002C50C8" w:rsidP="002C50C8">
      <w:pPr>
        <w:widowControl w:val="0"/>
        <w:rPr>
          <w:rFonts w:eastAsia="Calibri" w:cs="Arial"/>
          <w:b/>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spacing w:val="0"/>
          <w:lang w:val="es-CL" w:eastAsia="en-US"/>
        </w:rPr>
        <w:t>El decreto que determinará la metodología para definir el porcentaje preciso a otorgar a cada beneficiario y otorgará el bono, será dictado en el plazo de un mes desde la publicación de la ley en el Diario Oficial.</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spacing w:val="0"/>
          <w:lang w:val="es-CL" w:eastAsia="en-US"/>
        </w:rPr>
        <w:t>El bono comenzará a pagarse al mes siguiente de la publicación en el Diario Oficial del decreto referido.</w:t>
      </w:r>
    </w:p>
    <w:p w:rsidR="002C50C8" w:rsidRPr="002C50C8" w:rsidRDefault="002C50C8" w:rsidP="002C50C8">
      <w:pPr>
        <w:widowControl w:val="0"/>
        <w:rPr>
          <w:rFonts w:eastAsia="Calibri" w:cs="Arial"/>
          <w:spacing w:val="0"/>
          <w:lang w:val="es-CL" w:eastAsia="en-US"/>
        </w:rPr>
      </w:pPr>
    </w:p>
    <w:p w:rsidR="002C50C8" w:rsidRPr="002C50C8" w:rsidRDefault="002C50C8" w:rsidP="002C50C8">
      <w:pPr>
        <w:widowControl w:val="0"/>
        <w:rPr>
          <w:rFonts w:eastAsia="Calibri" w:cs="Arial"/>
          <w:spacing w:val="0"/>
          <w:lang w:val="es-CL" w:eastAsia="en-US"/>
        </w:rPr>
      </w:pPr>
      <w:r w:rsidRPr="002C50C8">
        <w:rPr>
          <w:rFonts w:eastAsia="Calibri" w:cs="Arial"/>
          <w:spacing w:val="0"/>
          <w:sz w:val="22"/>
          <w:szCs w:val="22"/>
          <w:lang w:val="es-CL" w:eastAsia="en-US"/>
        </w:rPr>
        <w:t xml:space="preserve">• </w:t>
      </w:r>
      <w:r w:rsidRPr="002C50C8">
        <w:rPr>
          <w:rFonts w:eastAsia="Calibri" w:cs="Arial"/>
          <w:spacing w:val="0"/>
          <w:lang w:val="es-CL" w:eastAsia="en-US"/>
        </w:rPr>
        <w:t>Independiente de la fecha de su publicación, se aplicará a aquellos funcionarios policiales que, durante el 1 de enero al 31 de diciembre de 2025, perciban las gratificaciones especiales de Riesgo y Reacción Táctica.</w:t>
      </w:r>
    </w:p>
    <w:p w:rsidR="000A382A" w:rsidRPr="006B5941" w:rsidRDefault="000A382A" w:rsidP="000A382A">
      <w:pPr>
        <w:rPr>
          <w:rFonts w:cs="Arial"/>
          <w:bCs/>
          <w:spacing w:val="0"/>
          <w:lang w:val="es-ES"/>
        </w:rPr>
      </w:pPr>
    </w:p>
    <w:p w:rsidR="000A382A" w:rsidRPr="006B5941" w:rsidRDefault="000A382A" w:rsidP="000A382A">
      <w:pPr>
        <w:rPr>
          <w:rFonts w:cs="Arial"/>
          <w:bCs/>
          <w:spacing w:val="0"/>
          <w:lang w:val="es-ES"/>
        </w:rPr>
      </w:pPr>
    </w:p>
    <w:p w:rsidR="003E6475" w:rsidRPr="007121E9" w:rsidRDefault="00285009" w:rsidP="003E6475">
      <w:pPr>
        <w:rPr>
          <w:rFonts w:cs="Arial"/>
          <w:bCs/>
          <w:spacing w:val="0"/>
          <w:lang w:val="es-ES"/>
        </w:rPr>
      </w:pPr>
      <w:r w:rsidRPr="007121E9">
        <w:rPr>
          <w:rFonts w:cs="Arial"/>
          <w:bCs/>
          <w:spacing w:val="0"/>
          <w:lang w:val="es-ES"/>
        </w:rPr>
        <w:t xml:space="preserve">Al término de la presentación, la </w:t>
      </w:r>
      <w:r w:rsidRPr="007121E9">
        <w:rPr>
          <w:rFonts w:cs="Arial"/>
          <w:b/>
          <w:bCs/>
          <w:spacing w:val="0"/>
          <w:lang w:val="es-ES"/>
        </w:rPr>
        <w:t>señora</w:t>
      </w:r>
      <w:r w:rsidR="00D67E5D" w:rsidRPr="007121E9">
        <w:rPr>
          <w:rFonts w:cs="Arial"/>
          <w:b/>
          <w:bCs/>
          <w:spacing w:val="0"/>
          <w:lang w:val="es-ES"/>
        </w:rPr>
        <w:t xml:space="preserve"> Araya</w:t>
      </w:r>
      <w:r w:rsidR="00D67E5D" w:rsidRPr="007121E9">
        <w:rPr>
          <w:rFonts w:cs="Arial"/>
          <w:bCs/>
          <w:spacing w:val="0"/>
          <w:lang w:val="es-ES"/>
        </w:rPr>
        <w:t xml:space="preserve"> </w:t>
      </w:r>
      <w:r w:rsidRPr="007121E9">
        <w:rPr>
          <w:rFonts w:cs="Arial"/>
          <w:bCs/>
          <w:spacing w:val="0"/>
          <w:lang w:val="es-ES"/>
        </w:rPr>
        <w:t>resaltó que en el artículo tercero transitorio</w:t>
      </w:r>
      <w:r w:rsidR="003E6475" w:rsidRPr="007121E9">
        <w:rPr>
          <w:rFonts w:cs="Arial"/>
          <w:bCs/>
          <w:spacing w:val="0"/>
          <w:lang w:val="es-ES"/>
        </w:rPr>
        <w:t xml:space="preserve"> del proyecto de ley se dispone</w:t>
      </w:r>
      <w:r w:rsidRPr="007121E9">
        <w:rPr>
          <w:rFonts w:cs="Arial"/>
          <w:bCs/>
          <w:spacing w:val="0"/>
          <w:lang w:val="es-ES"/>
        </w:rPr>
        <w:t xml:space="preserve"> que todos los gastos que se generen en el año presupuestario siguiente al año</w:t>
      </w:r>
      <w:r w:rsidR="003E6475" w:rsidRPr="007121E9">
        <w:rPr>
          <w:rFonts w:cs="Arial"/>
          <w:bCs/>
          <w:spacing w:val="0"/>
          <w:lang w:val="es-ES"/>
        </w:rPr>
        <w:t xml:space="preserve"> 2025 para </w:t>
      </w:r>
      <w:r w:rsidR="00743AAA" w:rsidRPr="007121E9">
        <w:rPr>
          <w:rFonts w:cs="Arial"/>
          <w:bCs/>
          <w:spacing w:val="0"/>
          <w:lang w:val="es-ES"/>
        </w:rPr>
        <w:t>el pago del bono</w:t>
      </w:r>
      <w:r w:rsidR="003E6475" w:rsidRPr="007121E9">
        <w:rPr>
          <w:rFonts w:cs="Arial"/>
          <w:bCs/>
          <w:spacing w:val="0"/>
          <w:lang w:val="es-ES"/>
        </w:rPr>
        <w:t xml:space="preserve"> serán con cargo a los recursos que se establezcan en las respectivas leyes de presupuestos del Sector Público.</w:t>
      </w:r>
    </w:p>
    <w:p w:rsidR="003E6475" w:rsidRPr="007121E9" w:rsidRDefault="003E6475" w:rsidP="003E6475">
      <w:pPr>
        <w:rPr>
          <w:rFonts w:cs="Arial"/>
          <w:bCs/>
          <w:spacing w:val="0"/>
          <w:lang w:val="es-ES"/>
        </w:rPr>
      </w:pPr>
    </w:p>
    <w:p w:rsidR="003E6475" w:rsidRPr="007121E9" w:rsidRDefault="003E6475" w:rsidP="003E6475">
      <w:pPr>
        <w:rPr>
          <w:rFonts w:cs="Arial"/>
          <w:bCs/>
          <w:spacing w:val="0"/>
          <w:lang w:val="es-ES"/>
        </w:rPr>
      </w:pPr>
      <w:r w:rsidRPr="007121E9">
        <w:rPr>
          <w:rFonts w:cs="Arial"/>
          <w:bCs/>
          <w:spacing w:val="0"/>
          <w:lang w:val="es-ES"/>
        </w:rPr>
        <w:t>Explicó que esta precisión se hace para evitar eventuales inconvenientes relacionados</w:t>
      </w:r>
      <w:r w:rsidR="007121E9" w:rsidRPr="007121E9">
        <w:rPr>
          <w:rFonts w:cs="Arial"/>
          <w:bCs/>
          <w:spacing w:val="0"/>
          <w:lang w:val="es-ES"/>
        </w:rPr>
        <w:t xml:space="preserve"> con la tramitación de la iniciativa legal</w:t>
      </w:r>
      <w:r w:rsidRPr="007121E9">
        <w:rPr>
          <w:rFonts w:cs="Arial"/>
          <w:bCs/>
          <w:spacing w:val="0"/>
          <w:lang w:val="es-ES"/>
        </w:rPr>
        <w:t xml:space="preserve"> en el Parlamento, o bien, con situaci</w:t>
      </w:r>
      <w:r w:rsidR="007121E9" w:rsidRPr="007121E9">
        <w:rPr>
          <w:rFonts w:cs="Arial"/>
          <w:bCs/>
          <w:spacing w:val="0"/>
          <w:lang w:val="es-ES"/>
        </w:rPr>
        <w:t>ones administrativas relacionada</w:t>
      </w:r>
      <w:r w:rsidRPr="007121E9">
        <w:rPr>
          <w:rFonts w:cs="Arial"/>
          <w:bCs/>
          <w:spacing w:val="0"/>
          <w:lang w:val="es-ES"/>
        </w:rPr>
        <w:t xml:space="preserve">s </w:t>
      </w:r>
      <w:r w:rsidR="00203CEF">
        <w:rPr>
          <w:rFonts w:cs="Arial"/>
          <w:bCs/>
          <w:spacing w:val="0"/>
          <w:lang w:val="es-ES"/>
        </w:rPr>
        <w:t>con e</w:t>
      </w:r>
      <w:r w:rsidRPr="007121E9">
        <w:rPr>
          <w:rFonts w:cs="Arial"/>
          <w:bCs/>
          <w:spacing w:val="0"/>
          <w:lang w:val="es-ES"/>
        </w:rPr>
        <w:t xml:space="preserve">l proceso de pago dentro del servicio. </w:t>
      </w:r>
    </w:p>
    <w:p w:rsidR="00285009" w:rsidRPr="007121E9" w:rsidRDefault="00285009" w:rsidP="00285009">
      <w:pPr>
        <w:rPr>
          <w:rFonts w:cs="Arial"/>
          <w:bCs/>
          <w:spacing w:val="0"/>
          <w:lang w:val="es-ES"/>
        </w:rPr>
      </w:pPr>
    </w:p>
    <w:p w:rsidR="000A382A" w:rsidRPr="007121E9" w:rsidRDefault="000A382A" w:rsidP="000A382A">
      <w:pPr>
        <w:rPr>
          <w:rFonts w:cs="Arial"/>
          <w:bCs/>
          <w:spacing w:val="0"/>
          <w:lang w:val="es-ES"/>
        </w:rPr>
      </w:pPr>
      <w:r w:rsidRPr="007121E9">
        <w:rPr>
          <w:rFonts w:cs="Arial"/>
          <w:bCs/>
          <w:spacing w:val="0"/>
          <w:lang w:val="es-ES"/>
        </w:rPr>
        <w:t xml:space="preserve">El </w:t>
      </w:r>
      <w:r w:rsidRPr="007121E9">
        <w:rPr>
          <w:rFonts w:cs="Arial"/>
          <w:b/>
          <w:bCs/>
          <w:spacing w:val="0"/>
          <w:lang w:val="es-ES"/>
        </w:rPr>
        <w:t>Honorable Senador señor</w:t>
      </w:r>
      <w:r w:rsidR="00BD1F86" w:rsidRPr="007121E9">
        <w:rPr>
          <w:rFonts w:cs="Arial"/>
          <w:b/>
          <w:bCs/>
          <w:spacing w:val="0"/>
          <w:lang w:val="es-ES"/>
        </w:rPr>
        <w:t xml:space="preserve"> </w:t>
      </w:r>
      <w:r w:rsidR="00285009" w:rsidRPr="007121E9">
        <w:rPr>
          <w:rFonts w:cs="Arial"/>
          <w:b/>
          <w:bCs/>
          <w:spacing w:val="0"/>
          <w:lang w:val="es-ES"/>
        </w:rPr>
        <w:t xml:space="preserve">Castro Prieto </w:t>
      </w:r>
      <w:r w:rsidR="003E6475" w:rsidRPr="007121E9">
        <w:rPr>
          <w:rFonts w:cs="Arial"/>
          <w:bCs/>
          <w:spacing w:val="0"/>
          <w:lang w:val="es-ES"/>
        </w:rPr>
        <w:t>solicitó corroborar que el bono en cuestión beneficiará solamente a</w:t>
      </w:r>
      <w:r w:rsidR="00285009" w:rsidRPr="007121E9">
        <w:rPr>
          <w:rFonts w:cs="Arial"/>
          <w:bCs/>
          <w:spacing w:val="0"/>
          <w:lang w:val="es-ES"/>
        </w:rPr>
        <w:t xml:space="preserve"> aquellos funcionarios</w:t>
      </w:r>
      <w:r w:rsidR="003E6475" w:rsidRPr="007121E9">
        <w:rPr>
          <w:rFonts w:cs="Arial"/>
          <w:bCs/>
          <w:spacing w:val="0"/>
          <w:lang w:val="es-ES"/>
        </w:rPr>
        <w:t xml:space="preserve"> de la PDI</w:t>
      </w:r>
      <w:r w:rsidR="00285009" w:rsidRPr="007121E9">
        <w:rPr>
          <w:rFonts w:cs="Arial"/>
          <w:bCs/>
          <w:spacing w:val="0"/>
          <w:lang w:val="es-ES"/>
        </w:rPr>
        <w:t xml:space="preserve"> </w:t>
      </w:r>
      <w:r w:rsidR="003E6475" w:rsidRPr="007121E9">
        <w:rPr>
          <w:rFonts w:cs="Arial"/>
          <w:bCs/>
          <w:spacing w:val="0"/>
          <w:lang w:val="es-ES"/>
        </w:rPr>
        <w:t>que perciban las gratificaciones especiales de Riesgo y de Reacción Táctica</w:t>
      </w:r>
      <w:r w:rsidR="007121E9" w:rsidRPr="007121E9">
        <w:rPr>
          <w:rFonts w:cs="Arial"/>
          <w:bCs/>
          <w:spacing w:val="0"/>
          <w:lang w:val="es-ES"/>
        </w:rPr>
        <w:t>, sin que se extienda a</w:t>
      </w:r>
      <w:r w:rsidR="003E6475" w:rsidRPr="007121E9">
        <w:rPr>
          <w:rFonts w:cs="Arial"/>
          <w:bCs/>
          <w:spacing w:val="0"/>
          <w:lang w:val="es-ES"/>
        </w:rPr>
        <w:t>l resto del personal.</w:t>
      </w:r>
    </w:p>
    <w:p w:rsidR="00285009" w:rsidRPr="007121E9" w:rsidRDefault="00285009" w:rsidP="000A382A">
      <w:pPr>
        <w:rPr>
          <w:rFonts w:cs="Arial"/>
          <w:bCs/>
          <w:spacing w:val="0"/>
          <w:lang w:val="es-ES"/>
        </w:rPr>
      </w:pPr>
    </w:p>
    <w:p w:rsidR="00285009" w:rsidRPr="007121E9" w:rsidRDefault="00285009" w:rsidP="000A382A">
      <w:pPr>
        <w:rPr>
          <w:rFonts w:cs="Arial"/>
          <w:bCs/>
          <w:spacing w:val="0"/>
          <w:lang w:val="es-ES"/>
        </w:rPr>
      </w:pPr>
      <w:r w:rsidRPr="007121E9">
        <w:rPr>
          <w:rFonts w:cs="Arial"/>
          <w:bCs/>
          <w:spacing w:val="0"/>
          <w:lang w:val="es-ES"/>
        </w:rPr>
        <w:t xml:space="preserve">La </w:t>
      </w:r>
      <w:r w:rsidRPr="007121E9">
        <w:rPr>
          <w:rFonts w:cs="Arial"/>
          <w:b/>
          <w:bCs/>
          <w:spacing w:val="0"/>
          <w:lang w:val="es-ES"/>
        </w:rPr>
        <w:t>señora Araya</w:t>
      </w:r>
      <w:r w:rsidRPr="007121E9">
        <w:rPr>
          <w:rFonts w:cs="Arial"/>
          <w:bCs/>
          <w:spacing w:val="0"/>
          <w:lang w:val="es-ES"/>
        </w:rPr>
        <w:t xml:space="preserve"> respondió afirmativamente.</w:t>
      </w:r>
    </w:p>
    <w:p w:rsidR="00285009" w:rsidRPr="007121E9" w:rsidRDefault="00285009" w:rsidP="000A382A">
      <w:pPr>
        <w:rPr>
          <w:rFonts w:cs="Arial"/>
          <w:bCs/>
          <w:spacing w:val="0"/>
          <w:lang w:val="es-ES"/>
        </w:rPr>
      </w:pPr>
    </w:p>
    <w:p w:rsidR="00285009" w:rsidRPr="00771C09" w:rsidRDefault="00285009" w:rsidP="000A382A">
      <w:pPr>
        <w:rPr>
          <w:rFonts w:cs="Arial"/>
          <w:bCs/>
          <w:spacing w:val="0"/>
          <w:lang w:val="es-ES"/>
        </w:rPr>
      </w:pPr>
      <w:r w:rsidRPr="00771C09">
        <w:rPr>
          <w:rFonts w:cs="Arial"/>
          <w:bCs/>
          <w:spacing w:val="0"/>
          <w:lang w:val="es-ES"/>
        </w:rPr>
        <w:lastRenderedPageBreak/>
        <w:t xml:space="preserve">El </w:t>
      </w:r>
      <w:r w:rsidRPr="00771C09">
        <w:rPr>
          <w:rFonts w:cs="Arial"/>
          <w:b/>
          <w:bCs/>
          <w:spacing w:val="0"/>
          <w:lang w:val="es-ES"/>
        </w:rPr>
        <w:t>Honorable Senador señor García</w:t>
      </w:r>
      <w:r w:rsidRPr="00771C09">
        <w:rPr>
          <w:rFonts w:cs="Arial"/>
          <w:bCs/>
          <w:spacing w:val="0"/>
          <w:lang w:val="es-ES"/>
        </w:rPr>
        <w:t xml:space="preserve"> </w:t>
      </w:r>
      <w:r w:rsidR="007121E9" w:rsidRPr="00771C09">
        <w:rPr>
          <w:rFonts w:cs="Arial"/>
          <w:bCs/>
          <w:spacing w:val="0"/>
          <w:lang w:val="es-ES"/>
        </w:rPr>
        <w:t>pregunt</w:t>
      </w:r>
      <w:r w:rsidR="003E6475" w:rsidRPr="00771C09">
        <w:rPr>
          <w:rFonts w:cs="Arial"/>
          <w:bCs/>
          <w:spacing w:val="0"/>
          <w:lang w:val="es-ES"/>
        </w:rPr>
        <w:t>ó a los representantes del Ejecutivo si efectivamente el beneficio se pagará durante el año 2025.</w:t>
      </w:r>
      <w:r w:rsidRPr="00771C09">
        <w:rPr>
          <w:rFonts w:cs="Arial"/>
          <w:bCs/>
          <w:spacing w:val="0"/>
          <w:lang w:val="es-ES"/>
        </w:rPr>
        <w:t xml:space="preserve"> </w:t>
      </w:r>
    </w:p>
    <w:p w:rsidR="00285009" w:rsidRPr="00771C09" w:rsidRDefault="00285009" w:rsidP="000A382A">
      <w:pPr>
        <w:rPr>
          <w:rFonts w:cs="Arial"/>
          <w:bCs/>
          <w:spacing w:val="0"/>
          <w:lang w:val="es-ES"/>
        </w:rPr>
      </w:pPr>
    </w:p>
    <w:p w:rsidR="00285009" w:rsidRPr="00771C09" w:rsidRDefault="007121E9" w:rsidP="000A382A">
      <w:pPr>
        <w:rPr>
          <w:rFonts w:cs="Arial"/>
          <w:bCs/>
          <w:spacing w:val="0"/>
          <w:lang w:val="es-ES"/>
        </w:rPr>
      </w:pPr>
      <w:r w:rsidRPr="00771C09">
        <w:rPr>
          <w:rFonts w:cs="Arial"/>
          <w:bCs/>
          <w:spacing w:val="0"/>
          <w:lang w:val="es-ES"/>
        </w:rPr>
        <w:t>Asimismo, consultó</w:t>
      </w:r>
      <w:r w:rsidR="003E6475" w:rsidRPr="00771C09">
        <w:rPr>
          <w:rFonts w:cs="Arial"/>
          <w:bCs/>
          <w:spacing w:val="0"/>
          <w:lang w:val="es-ES"/>
        </w:rPr>
        <w:t xml:space="preserve"> si la redacción del artículo tercero transitorio es lo suficientemente adecuada, en relación al tiempo definido </w:t>
      </w:r>
      <w:r w:rsidRPr="00771C09">
        <w:rPr>
          <w:rFonts w:cs="Arial"/>
          <w:bCs/>
          <w:spacing w:val="0"/>
          <w:lang w:val="es-ES"/>
        </w:rPr>
        <w:t xml:space="preserve">en </w:t>
      </w:r>
      <w:r w:rsidR="003E6475" w:rsidRPr="00771C09">
        <w:rPr>
          <w:rFonts w:cs="Arial"/>
          <w:bCs/>
          <w:spacing w:val="0"/>
          <w:lang w:val="es-ES"/>
        </w:rPr>
        <w:t>que se pagar</w:t>
      </w:r>
      <w:r w:rsidR="00203CEF">
        <w:rPr>
          <w:rFonts w:cs="Arial"/>
          <w:bCs/>
          <w:spacing w:val="0"/>
          <w:lang w:val="es-ES"/>
        </w:rPr>
        <w:t>á</w:t>
      </w:r>
      <w:r w:rsidR="003E6475" w:rsidRPr="00771C09">
        <w:rPr>
          <w:rFonts w:cs="Arial"/>
          <w:bCs/>
          <w:spacing w:val="0"/>
          <w:lang w:val="es-ES"/>
        </w:rPr>
        <w:t xml:space="preserve"> el bono</w:t>
      </w:r>
      <w:r w:rsidR="007E7D41" w:rsidRPr="00771C09">
        <w:rPr>
          <w:rFonts w:cs="Arial"/>
          <w:bCs/>
          <w:spacing w:val="0"/>
          <w:lang w:val="es-ES"/>
        </w:rPr>
        <w:t xml:space="preserve"> y la mención en dicha norma a “los años siguientes” al momento de aludir a su financiamiento.</w:t>
      </w:r>
    </w:p>
    <w:p w:rsidR="00285009" w:rsidRPr="00771C09" w:rsidRDefault="00285009" w:rsidP="000A382A">
      <w:pPr>
        <w:rPr>
          <w:rFonts w:cs="Arial"/>
          <w:bCs/>
          <w:spacing w:val="0"/>
          <w:lang w:val="es-ES"/>
        </w:rPr>
      </w:pPr>
    </w:p>
    <w:p w:rsidR="003135C1" w:rsidRPr="00771C09" w:rsidRDefault="00285009" w:rsidP="000A382A">
      <w:pPr>
        <w:rPr>
          <w:rFonts w:cs="Arial"/>
          <w:bCs/>
          <w:spacing w:val="0"/>
          <w:lang w:val="es-ES"/>
        </w:rPr>
      </w:pPr>
      <w:r w:rsidRPr="00771C09">
        <w:rPr>
          <w:rFonts w:cs="Arial"/>
          <w:bCs/>
          <w:spacing w:val="0"/>
          <w:lang w:val="es-ES"/>
        </w:rPr>
        <w:t xml:space="preserve">La </w:t>
      </w:r>
      <w:r w:rsidRPr="00771C09">
        <w:rPr>
          <w:rFonts w:cs="Arial"/>
          <w:b/>
          <w:bCs/>
          <w:spacing w:val="0"/>
          <w:lang w:val="es-ES"/>
        </w:rPr>
        <w:t>señora Araya</w:t>
      </w:r>
      <w:r w:rsidR="007E7D41" w:rsidRPr="00771C09">
        <w:rPr>
          <w:rFonts w:cs="Arial"/>
          <w:bCs/>
          <w:spacing w:val="0"/>
          <w:lang w:val="es-ES"/>
        </w:rPr>
        <w:t xml:space="preserve"> señaló, en primer término,</w:t>
      </w:r>
      <w:r w:rsidRPr="00771C09">
        <w:rPr>
          <w:rFonts w:cs="Arial"/>
          <w:bCs/>
          <w:spacing w:val="0"/>
          <w:lang w:val="es-ES"/>
        </w:rPr>
        <w:t xml:space="preserve"> que habrá un pago retroactivo </w:t>
      </w:r>
      <w:r w:rsidR="00771C09">
        <w:rPr>
          <w:rFonts w:cs="Arial"/>
          <w:bCs/>
          <w:spacing w:val="0"/>
          <w:lang w:val="es-ES"/>
        </w:rPr>
        <w:t>respecto de los meses previos a la entrada</w:t>
      </w:r>
      <w:r w:rsidR="003135C1" w:rsidRPr="00771C09">
        <w:rPr>
          <w:rFonts w:cs="Arial"/>
          <w:bCs/>
          <w:spacing w:val="0"/>
          <w:lang w:val="es-ES"/>
        </w:rPr>
        <w:t xml:space="preserve"> en vigencia </w:t>
      </w:r>
      <w:r w:rsidR="00771C09">
        <w:rPr>
          <w:rFonts w:cs="Arial"/>
          <w:bCs/>
          <w:spacing w:val="0"/>
          <w:lang w:val="es-ES"/>
        </w:rPr>
        <w:t>de la ley</w:t>
      </w:r>
      <w:r w:rsidRPr="00771C09">
        <w:rPr>
          <w:rFonts w:cs="Arial"/>
          <w:bCs/>
          <w:spacing w:val="0"/>
          <w:lang w:val="es-ES"/>
        </w:rPr>
        <w:t>. Agregó que</w:t>
      </w:r>
      <w:r w:rsidR="003135C1" w:rsidRPr="00771C09">
        <w:rPr>
          <w:rFonts w:cs="Arial"/>
          <w:bCs/>
          <w:spacing w:val="0"/>
          <w:lang w:val="es-ES"/>
        </w:rPr>
        <w:t xml:space="preserve"> como Ejecutivo esperan que la totalidad del bono pu</w:t>
      </w:r>
      <w:r w:rsidR="00743AAA" w:rsidRPr="00771C09">
        <w:rPr>
          <w:rFonts w:cs="Arial"/>
          <w:bCs/>
          <w:spacing w:val="0"/>
          <w:lang w:val="es-ES"/>
        </w:rPr>
        <w:t>eda ser pagado</w:t>
      </w:r>
      <w:r w:rsidR="003135C1" w:rsidRPr="00771C09">
        <w:rPr>
          <w:rFonts w:cs="Arial"/>
          <w:bCs/>
          <w:spacing w:val="0"/>
          <w:lang w:val="es-ES"/>
        </w:rPr>
        <w:t xml:space="preserve"> durante el año 2025, precisando que el artículo tercero transitorio de la iniciativa legal se pone en el supuesto </w:t>
      </w:r>
      <w:r w:rsidR="00A37649">
        <w:rPr>
          <w:rFonts w:cs="Arial"/>
          <w:bCs/>
          <w:spacing w:val="0"/>
          <w:lang w:val="es-ES"/>
        </w:rPr>
        <w:t xml:space="preserve">de </w:t>
      </w:r>
      <w:r w:rsidR="003135C1" w:rsidRPr="00771C09">
        <w:rPr>
          <w:rFonts w:cs="Arial"/>
          <w:bCs/>
          <w:spacing w:val="0"/>
          <w:lang w:val="es-ES"/>
        </w:rPr>
        <w:t>que, por alguna eventualidad, no se alcanzara a pagar</w:t>
      </w:r>
      <w:r w:rsidR="00743AAA" w:rsidRPr="00771C09">
        <w:rPr>
          <w:rFonts w:cs="Arial"/>
          <w:bCs/>
          <w:spacing w:val="0"/>
          <w:lang w:val="es-ES"/>
        </w:rPr>
        <w:t xml:space="preserve"> en su integridad</w:t>
      </w:r>
      <w:r w:rsidR="003135C1" w:rsidRPr="00771C09">
        <w:rPr>
          <w:rFonts w:cs="Arial"/>
          <w:bCs/>
          <w:spacing w:val="0"/>
          <w:lang w:val="es-ES"/>
        </w:rPr>
        <w:t xml:space="preserve"> en el presente año.</w:t>
      </w:r>
    </w:p>
    <w:p w:rsidR="00285009" w:rsidRPr="00771C09" w:rsidRDefault="00285009" w:rsidP="000A382A">
      <w:pPr>
        <w:rPr>
          <w:rFonts w:cs="Arial"/>
          <w:bCs/>
          <w:spacing w:val="0"/>
          <w:lang w:val="es-ES"/>
        </w:rPr>
      </w:pPr>
    </w:p>
    <w:p w:rsidR="009F2999" w:rsidRPr="00771C09" w:rsidRDefault="00D67E5D" w:rsidP="000A382A">
      <w:pPr>
        <w:rPr>
          <w:rFonts w:cs="Arial"/>
          <w:bCs/>
          <w:spacing w:val="0"/>
          <w:lang w:val="es-ES"/>
        </w:rPr>
      </w:pPr>
      <w:r w:rsidRPr="00771C09">
        <w:rPr>
          <w:rFonts w:cs="Arial"/>
          <w:bCs/>
          <w:spacing w:val="0"/>
          <w:lang w:val="es-ES"/>
        </w:rPr>
        <w:t xml:space="preserve">Enseguida, el </w:t>
      </w:r>
      <w:r w:rsidRPr="00771C09">
        <w:rPr>
          <w:rFonts w:cs="Arial"/>
          <w:b/>
          <w:bCs/>
          <w:spacing w:val="0"/>
          <w:lang w:val="es-ES"/>
        </w:rPr>
        <w:t xml:space="preserve">señor </w:t>
      </w:r>
      <w:proofErr w:type="spellStart"/>
      <w:r w:rsidR="00285009" w:rsidRPr="00771C09">
        <w:rPr>
          <w:rFonts w:cs="Arial"/>
          <w:b/>
          <w:bCs/>
          <w:spacing w:val="0"/>
          <w:lang w:val="es-ES"/>
        </w:rPr>
        <w:t>Pradena</w:t>
      </w:r>
      <w:r w:rsidRPr="00771C09">
        <w:rPr>
          <w:rFonts w:cs="Arial"/>
          <w:b/>
          <w:bCs/>
          <w:spacing w:val="0"/>
          <w:lang w:val="es-ES"/>
        </w:rPr>
        <w:t>s</w:t>
      </w:r>
      <w:proofErr w:type="spellEnd"/>
      <w:r w:rsidR="00285009" w:rsidRPr="00771C09">
        <w:rPr>
          <w:rFonts w:cs="Arial"/>
          <w:bCs/>
          <w:spacing w:val="0"/>
          <w:lang w:val="es-ES"/>
        </w:rPr>
        <w:t xml:space="preserve"> </w:t>
      </w:r>
      <w:r w:rsidR="0029538C" w:rsidRPr="00771C09">
        <w:rPr>
          <w:rFonts w:cs="Arial"/>
          <w:bCs/>
          <w:spacing w:val="0"/>
          <w:lang w:val="es-ES"/>
        </w:rPr>
        <w:t>llamó a tener presente que el referido bono</w:t>
      </w:r>
      <w:r w:rsidR="00285009" w:rsidRPr="00771C09">
        <w:rPr>
          <w:rFonts w:cs="Arial"/>
          <w:bCs/>
          <w:spacing w:val="0"/>
          <w:lang w:val="es-ES"/>
        </w:rPr>
        <w:t xml:space="preserve"> depende de otra </w:t>
      </w:r>
      <w:r w:rsidR="009F2999" w:rsidRPr="00771C09">
        <w:rPr>
          <w:rFonts w:cs="Arial"/>
          <w:bCs/>
          <w:spacing w:val="0"/>
          <w:lang w:val="es-ES"/>
        </w:rPr>
        <w:t>asignación que se le</w:t>
      </w:r>
      <w:r w:rsidR="007121E9" w:rsidRPr="00771C09">
        <w:rPr>
          <w:rFonts w:cs="Arial"/>
          <w:bCs/>
          <w:spacing w:val="0"/>
          <w:lang w:val="es-ES"/>
        </w:rPr>
        <w:t>s</w:t>
      </w:r>
      <w:r w:rsidR="009F2999" w:rsidRPr="00771C09">
        <w:rPr>
          <w:rFonts w:cs="Arial"/>
          <w:bCs/>
          <w:spacing w:val="0"/>
          <w:lang w:val="es-ES"/>
        </w:rPr>
        <w:t xml:space="preserve"> paga a las policías anualmente, donde se hace necesario </w:t>
      </w:r>
      <w:r w:rsidR="0029538C" w:rsidRPr="00771C09">
        <w:rPr>
          <w:rFonts w:cs="Arial"/>
          <w:bCs/>
          <w:spacing w:val="0"/>
          <w:lang w:val="es-ES"/>
        </w:rPr>
        <w:t xml:space="preserve">para su materialización </w:t>
      </w:r>
      <w:r w:rsidR="009F2999" w:rsidRPr="00771C09">
        <w:rPr>
          <w:rFonts w:cs="Arial"/>
          <w:bCs/>
          <w:spacing w:val="0"/>
          <w:lang w:val="es-ES"/>
        </w:rPr>
        <w:t>la dictación del correspondiente acto administrativo.</w:t>
      </w:r>
    </w:p>
    <w:p w:rsidR="009F2999" w:rsidRPr="00771C09" w:rsidRDefault="009F2999" w:rsidP="000A382A">
      <w:pPr>
        <w:rPr>
          <w:rFonts w:cs="Arial"/>
          <w:bCs/>
          <w:spacing w:val="0"/>
          <w:lang w:val="es-ES"/>
        </w:rPr>
      </w:pPr>
    </w:p>
    <w:p w:rsidR="009F2999" w:rsidRPr="00771C09" w:rsidRDefault="009F2999" w:rsidP="000A382A">
      <w:pPr>
        <w:rPr>
          <w:rFonts w:cs="Arial"/>
          <w:bCs/>
          <w:spacing w:val="0"/>
          <w:lang w:val="es-ES"/>
        </w:rPr>
      </w:pPr>
      <w:r w:rsidRPr="00771C09">
        <w:rPr>
          <w:rFonts w:cs="Arial"/>
          <w:bCs/>
          <w:spacing w:val="0"/>
          <w:lang w:val="es-ES"/>
        </w:rPr>
        <w:t xml:space="preserve">Hizo presente que todos los años la PDI requiere </w:t>
      </w:r>
      <w:r w:rsidR="00C20B01" w:rsidRPr="00771C09">
        <w:rPr>
          <w:rFonts w:cs="Arial"/>
          <w:bCs/>
          <w:spacing w:val="0"/>
          <w:lang w:val="es-ES"/>
        </w:rPr>
        <w:t>de la autorización del</w:t>
      </w:r>
      <w:r w:rsidRPr="00771C09">
        <w:rPr>
          <w:rFonts w:cs="Arial"/>
          <w:bCs/>
          <w:spacing w:val="0"/>
          <w:lang w:val="es-ES"/>
        </w:rPr>
        <w:t xml:space="preserve"> Ministerio d</w:t>
      </w:r>
      <w:r w:rsidR="00C20B01" w:rsidRPr="00771C09">
        <w:rPr>
          <w:rFonts w:cs="Arial"/>
          <w:bCs/>
          <w:spacing w:val="0"/>
          <w:lang w:val="es-ES"/>
        </w:rPr>
        <w:t>el Interior y Seguridad Pública</w:t>
      </w:r>
      <w:r w:rsidR="008E3879" w:rsidRPr="00771C09">
        <w:rPr>
          <w:rFonts w:cs="Arial"/>
          <w:bCs/>
          <w:spacing w:val="0"/>
          <w:lang w:val="es-ES"/>
        </w:rPr>
        <w:t xml:space="preserve"> para dar curso al pago de las gratificaciones especiales de Riesgo y de Reacción Táctica. Detalló que lo anterior implica dictar un decreto, el cual debe ser suscrito por el Ministro del Interior y Seguridad Pública, así como también </w:t>
      </w:r>
      <w:r w:rsidR="00C20B01" w:rsidRPr="00771C09">
        <w:rPr>
          <w:rFonts w:cs="Arial"/>
          <w:bCs/>
          <w:spacing w:val="0"/>
          <w:lang w:val="es-ES"/>
        </w:rPr>
        <w:t>por</w:t>
      </w:r>
      <w:r w:rsidR="008E3879" w:rsidRPr="00771C09">
        <w:rPr>
          <w:rFonts w:cs="Arial"/>
          <w:bCs/>
          <w:spacing w:val="0"/>
          <w:lang w:val="es-ES"/>
        </w:rPr>
        <w:t xml:space="preserve"> </w:t>
      </w:r>
      <w:r w:rsidR="00771C09">
        <w:rPr>
          <w:rFonts w:cs="Arial"/>
          <w:bCs/>
          <w:spacing w:val="0"/>
          <w:lang w:val="es-ES"/>
        </w:rPr>
        <w:t xml:space="preserve">el </w:t>
      </w:r>
      <w:r w:rsidR="008E3879" w:rsidRPr="00771C09">
        <w:rPr>
          <w:rFonts w:cs="Arial"/>
          <w:bCs/>
          <w:spacing w:val="0"/>
          <w:lang w:val="es-ES"/>
        </w:rPr>
        <w:t>Ministro de Hacienda</w:t>
      </w:r>
      <w:r w:rsidR="00C20B01" w:rsidRPr="00771C09">
        <w:rPr>
          <w:rFonts w:cs="Arial"/>
          <w:bCs/>
          <w:spacing w:val="0"/>
          <w:lang w:val="es-ES"/>
        </w:rPr>
        <w:t xml:space="preserve">, para posteriormente </w:t>
      </w:r>
      <w:r w:rsidR="008E3879" w:rsidRPr="00771C09">
        <w:rPr>
          <w:rFonts w:cs="Arial"/>
          <w:bCs/>
          <w:spacing w:val="0"/>
          <w:lang w:val="es-ES"/>
        </w:rPr>
        <w:t xml:space="preserve">ser tomado de razón por parte de la Contraloría General de la República. Por lo anterior, </w:t>
      </w:r>
      <w:r w:rsidR="00A37649">
        <w:rPr>
          <w:rFonts w:cs="Arial"/>
          <w:bCs/>
          <w:spacing w:val="0"/>
          <w:lang w:val="es-ES"/>
        </w:rPr>
        <w:t>destacó</w:t>
      </w:r>
      <w:r w:rsidR="008E3879" w:rsidRPr="00771C09">
        <w:rPr>
          <w:rFonts w:cs="Arial"/>
          <w:bCs/>
          <w:spacing w:val="0"/>
          <w:lang w:val="es-ES"/>
        </w:rPr>
        <w:t xml:space="preserve"> que este tipo de pagos generalmente terminan siendo con efecto retroactivo. </w:t>
      </w:r>
    </w:p>
    <w:p w:rsidR="00285009" w:rsidRPr="00771C09" w:rsidRDefault="00285009" w:rsidP="000A382A">
      <w:pPr>
        <w:rPr>
          <w:rFonts w:cs="Arial"/>
          <w:bCs/>
          <w:spacing w:val="0"/>
          <w:lang w:val="es-ES"/>
        </w:rPr>
      </w:pPr>
    </w:p>
    <w:p w:rsidR="00794CF3" w:rsidRPr="00771C09" w:rsidRDefault="00794CF3" w:rsidP="000A382A">
      <w:pPr>
        <w:rPr>
          <w:rFonts w:cs="Arial"/>
          <w:bCs/>
          <w:spacing w:val="0"/>
          <w:lang w:val="es-ES"/>
        </w:rPr>
      </w:pPr>
      <w:r w:rsidRPr="00771C09">
        <w:rPr>
          <w:rFonts w:cs="Arial"/>
          <w:bCs/>
          <w:spacing w:val="0"/>
          <w:lang w:val="es-ES"/>
        </w:rPr>
        <w:t>Enseguida, aclaró que</w:t>
      </w:r>
      <w:r w:rsidR="00720AF1" w:rsidRPr="00771C09">
        <w:rPr>
          <w:rFonts w:cs="Arial"/>
          <w:bCs/>
          <w:spacing w:val="0"/>
          <w:lang w:val="es-ES"/>
        </w:rPr>
        <w:t xml:space="preserve"> el pago de</w:t>
      </w:r>
      <w:r w:rsidRPr="00771C09">
        <w:rPr>
          <w:rFonts w:cs="Arial"/>
          <w:bCs/>
          <w:spacing w:val="0"/>
          <w:lang w:val="es-ES"/>
        </w:rPr>
        <w:t xml:space="preserve"> las gratificaciones especiales de Riesgo y de Reacción Táctica requiere que los funcionarios cumplan con ciertas misiones, las que son calificadas mediante una resolución de la propia institución. Precisó que esta acreditación debe hacerse mensualmente, lo que puede demandar un</w:t>
      </w:r>
      <w:r w:rsidR="00720AF1" w:rsidRPr="00771C09">
        <w:rPr>
          <w:rFonts w:cs="Arial"/>
          <w:bCs/>
          <w:spacing w:val="0"/>
          <w:lang w:val="es-ES"/>
        </w:rPr>
        <w:t xml:space="preserve"> mayor </w:t>
      </w:r>
      <w:r w:rsidR="00771C09">
        <w:rPr>
          <w:rFonts w:cs="Arial"/>
          <w:bCs/>
          <w:spacing w:val="0"/>
          <w:lang w:val="es-ES"/>
        </w:rPr>
        <w:t>tiempo, derivando</w:t>
      </w:r>
      <w:r w:rsidR="00720AF1" w:rsidRPr="00771C09">
        <w:rPr>
          <w:rFonts w:cs="Arial"/>
          <w:bCs/>
          <w:spacing w:val="0"/>
          <w:lang w:val="es-ES"/>
        </w:rPr>
        <w:t xml:space="preserve"> en un pago retroactivo del beneficio.</w:t>
      </w:r>
      <w:r w:rsidRPr="00771C09">
        <w:rPr>
          <w:rFonts w:cs="Arial"/>
          <w:bCs/>
          <w:spacing w:val="0"/>
          <w:lang w:val="es-ES"/>
        </w:rPr>
        <w:t xml:space="preserve"> </w:t>
      </w:r>
    </w:p>
    <w:p w:rsidR="00794CF3" w:rsidRPr="00771C09" w:rsidRDefault="00794CF3" w:rsidP="000A382A">
      <w:pPr>
        <w:rPr>
          <w:rFonts w:cs="Arial"/>
          <w:bCs/>
          <w:spacing w:val="0"/>
          <w:lang w:val="es-ES"/>
        </w:rPr>
      </w:pPr>
    </w:p>
    <w:p w:rsidR="00AB52D6" w:rsidRPr="00771C09" w:rsidRDefault="00794CF3" w:rsidP="000A382A">
      <w:pPr>
        <w:rPr>
          <w:rFonts w:cs="Arial"/>
          <w:bCs/>
          <w:spacing w:val="0"/>
          <w:lang w:val="es-ES"/>
        </w:rPr>
      </w:pPr>
      <w:r w:rsidRPr="00771C09">
        <w:rPr>
          <w:rFonts w:cs="Arial"/>
          <w:bCs/>
          <w:spacing w:val="0"/>
          <w:lang w:val="es-ES"/>
        </w:rPr>
        <w:t xml:space="preserve">Recordó que, de acuerdo a lo señalado en la iniciativa legal, mediante un decreto dictado por el Ministerio de Seguridad Pública, bajo la fórmula “por orden del Presidente de la República” y suscrito además por el Ministro de Hacienda, </w:t>
      </w:r>
      <w:r w:rsidR="00B4389D" w:rsidRPr="00771C09">
        <w:rPr>
          <w:rFonts w:cs="Arial"/>
          <w:bCs/>
          <w:spacing w:val="0"/>
          <w:lang w:val="es-ES"/>
        </w:rPr>
        <w:t xml:space="preserve">se establecerá la forma de pago y metodología del cálculo del bono, el cual también debe ir a toma de razón. </w:t>
      </w:r>
    </w:p>
    <w:p w:rsidR="00AB52D6" w:rsidRPr="00771C09" w:rsidRDefault="00AB52D6" w:rsidP="000A382A">
      <w:pPr>
        <w:rPr>
          <w:rFonts w:cs="Arial"/>
          <w:bCs/>
          <w:spacing w:val="0"/>
          <w:lang w:val="es-ES"/>
        </w:rPr>
      </w:pPr>
    </w:p>
    <w:p w:rsidR="00794CF3" w:rsidRPr="00771C09" w:rsidRDefault="00AB52D6" w:rsidP="000A382A">
      <w:pPr>
        <w:rPr>
          <w:rFonts w:cs="Arial"/>
          <w:bCs/>
          <w:spacing w:val="0"/>
          <w:lang w:val="es-ES"/>
        </w:rPr>
      </w:pPr>
      <w:r w:rsidRPr="00771C09">
        <w:rPr>
          <w:rFonts w:cs="Arial"/>
          <w:bCs/>
          <w:spacing w:val="0"/>
          <w:lang w:val="es-ES"/>
        </w:rPr>
        <w:t>En atención a lo antes expuesto, manifestó</w:t>
      </w:r>
      <w:r w:rsidR="00B4389D" w:rsidRPr="00771C09">
        <w:rPr>
          <w:rFonts w:cs="Arial"/>
          <w:bCs/>
          <w:spacing w:val="0"/>
          <w:lang w:val="es-ES"/>
        </w:rPr>
        <w:t xml:space="preserve"> que se utilizó la redacción que se recoge en el artículo tercero transitorio para que</w:t>
      </w:r>
      <w:r w:rsidR="007121E9" w:rsidRPr="00771C09">
        <w:rPr>
          <w:rFonts w:cs="Arial"/>
          <w:bCs/>
          <w:spacing w:val="0"/>
          <w:lang w:val="es-ES"/>
        </w:rPr>
        <w:t>,</w:t>
      </w:r>
      <w:r w:rsidR="00B4389D" w:rsidRPr="00771C09">
        <w:rPr>
          <w:rFonts w:cs="Arial"/>
          <w:bCs/>
          <w:spacing w:val="0"/>
          <w:lang w:val="es-ES"/>
        </w:rPr>
        <w:t xml:space="preserve"> si en el año 2026 se tuviese que pagar con efecto retroactivo el beneficio para algunos funcionarios, pudiese hacerse con cargo al presupuesto de dicho año. </w:t>
      </w:r>
    </w:p>
    <w:p w:rsidR="00285009" w:rsidRPr="00771C09" w:rsidRDefault="00285009" w:rsidP="000A382A">
      <w:pPr>
        <w:rPr>
          <w:rFonts w:cs="Arial"/>
          <w:bCs/>
          <w:spacing w:val="0"/>
          <w:lang w:val="es-ES"/>
        </w:rPr>
      </w:pPr>
    </w:p>
    <w:p w:rsidR="00285009" w:rsidRPr="00771C09" w:rsidRDefault="00B4389D" w:rsidP="000A382A">
      <w:pPr>
        <w:rPr>
          <w:rFonts w:cs="Arial"/>
          <w:bCs/>
          <w:spacing w:val="0"/>
          <w:lang w:val="es-ES"/>
        </w:rPr>
      </w:pPr>
      <w:r w:rsidRPr="00771C09">
        <w:rPr>
          <w:rFonts w:cs="Arial"/>
          <w:bCs/>
          <w:spacing w:val="0"/>
          <w:lang w:val="es-ES"/>
        </w:rPr>
        <w:t>Con todo, recalcó</w:t>
      </w:r>
      <w:r w:rsidR="00285009" w:rsidRPr="00771C09">
        <w:rPr>
          <w:rFonts w:cs="Arial"/>
          <w:bCs/>
          <w:spacing w:val="0"/>
          <w:lang w:val="es-ES"/>
        </w:rPr>
        <w:t xml:space="preserve"> que </w:t>
      </w:r>
      <w:r w:rsidR="00A37649">
        <w:rPr>
          <w:rFonts w:cs="Arial"/>
          <w:bCs/>
          <w:spacing w:val="0"/>
          <w:lang w:val="es-ES"/>
        </w:rPr>
        <w:t xml:space="preserve">estiman que </w:t>
      </w:r>
      <w:r w:rsidR="00285009" w:rsidRPr="00771C09">
        <w:rPr>
          <w:rFonts w:cs="Arial"/>
          <w:bCs/>
          <w:spacing w:val="0"/>
          <w:lang w:val="es-ES"/>
        </w:rPr>
        <w:t>no deb</w:t>
      </w:r>
      <w:r w:rsidR="00AB52D6" w:rsidRPr="00771C09">
        <w:rPr>
          <w:rFonts w:cs="Arial"/>
          <w:bCs/>
          <w:spacing w:val="0"/>
          <w:lang w:val="es-ES"/>
        </w:rPr>
        <w:t>iese demorar</w:t>
      </w:r>
      <w:r w:rsidR="00285009" w:rsidRPr="00771C09">
        <w:rPr>
          <w:rFonts w:cs="Arial"/>
          <w:bCs/>
          <w:spacing w:val="0"/>
          <w:lang w:val="es-ES"/>
        </w:rPr>
        <w:t xml:space="preserve"> la aprobación de la</w:t>
      </w:r>
      <w:r w:rsidRPr="00771C09">
        <w:rPr>
          <w:rFonts w:cs="Arial"/>
          <w:bCs/>
          <w:spacing w:val="0"/>
          <w:lang w:val="es-ES"/>
        </w:rPr>
        <w:t xml:space="preserve"> presente</w:t>
      </w:r>
      <w:r w:rsidR="00285009" w:rsidRPr="00771C09">
        <w:rPr>
          <w:rFonts w:cs="Arial"/>
          <w:bCs/>
          <w:spacing w:val="0"/>
          <w:lang w:val="es-ES"/>
        </w:rPr>
        <w:t xml:space="preserve"> iniciativa legal.</w:t>
      </w:r>
    </w:p>
    <w:p w:rsidR="00285009" w:rsidRPr="00771C09" w:rsidRDefault="00285009" w:rsidP="000A382A">
      <w:pPr>
        <w:rPr>
          <w:rFonts w:cs="Arial"/>
          <w:bCs/>
          <w:spacing w:val="0"/>
          <w:lang w:val="es-ES"/>
        </w:rPr>
      </w:pPr>
    </w:p>
    <w:p w:rsidR="00AB6046" w:rsidRPr="00771C09" w:rsidRDefault="00285009" w:rsidP="000A382A">
      <w:pPr>
        <w:rPr>
          <w:rFonts w:cs="Arial"/>
          <w:bCs/>
          <w:spacing w:val="0"/>
          <w:lang w:val="es-ES"/>
        </w:rPr>
      </w:pPr>
      <w:r w:rsidRPr="00771C09">
        <w:rPr>
          <w:rFonts w:cs="Arial"/>
          <w:bCs/>
          <w:spacing w:val="0"/>
          <w:lang w:val="es-ES"/>
        </w:rPr>
        <w:t xml:space="preserve">El </w:t>
      </w:r>
      <w:r w:rsidRPr="00771C09">
        <w:rPr>
          <w:rFonts w:cs="Arial"/>
          <w:b/>
          <w:bCs/>
          <w:spacing w:val="0"/>
          <w:lang w:val="es-ES"/>
        </w:rPr>
        <w:t>Honorable Senador señor García</w:t>
      </w:r>
      <w:r w:rsidRPr="00771C09">
        <w:rPr>
          <w:rFonts w:cs="Arial"/>
          <w:bCs/>
          <w:spacing w:val="0"/>
          <w:lang w:val="es-ES"/>
        </w:rPr>
        <w:t xml:space="preserve"> </w:t>
      </w:r>
      <w:r w:rsidR="00AB6046" w:rsidRPr="00771C09">
        <w:rPr>
          <w:rFonts w:cs="Arial"/>
          <w:bCs/>
          <w:spacing w:val="0"/>
          <w:lang w:val="es-ES"/>
        </w:rPr>
        <w:t>observó</w:t>
      </w:r>
      <w:r w:rsidRPr="00771C09">
        <w:rPr>
          <w:rFonts w:cs="Arial"/>
          <w:bCs/>
          <w:spacing w:val="0"/>
          <w:lang w:val="es-ES"/>
        </w:rPr>
        <w:t xml:space="preserve"> que</w:t>
      </w:r>
      <w:r w:rsidR="00AB6046" w:rsidRPr="00771C09">
        <w:rPr>
          <w:rFonts w:cs="Arial"/>
          <w:bCs/>
          <w:spacing w:val="0"/>
          <w:lang w:val="es-ES"/>
        </w:rPr>
        <w:t xml:space="preserve"> es posible que los</w:t>
      </w:r>
      <w:r w:rsidRPr="00771C09">
        <w:rPr>
          <w:rFonts w:cs="Arial"/>
          <w:bCs/>
          <w:spacing w:val="0"/>
          <w:lang w:val="es-ES"/>
        </w:rPr>
        <w:t xml:space="preserve"> bonos </w:t>
      </w:r>
      <w:r w:rsidR="00AB6046" w:rsidRPr="00771C09">
        <w:rPr>
          <w:rFonts w:cs="Arial"/>
          <w:bCs/>
          <w:spacing w:val="0"/>
          <w:lang w:val="es-ES"/>
        </w:rPr>
        <w:t xml:space="preserve">correspondientes a los meses de noviembre o diciembre del año 2025 puedan llegar a pagarse </w:t>
      </w:r>
      <w:r w:rsidR="00226B63" w:rsidRPr="00771C09">
        <w:rPr>
          <w:rFonts w:cs="Arial"/>
          <w:bCs/>
          <w:spacing w:val="0"/>
          <w:lang w:val="es-ES"/>
        </w:rPr>
        <w:t>en enero</w:t>
      </w:r>
      <w:r w:rsidR="004115DB" w:rsidRPr="00771C09">
        <w:rPr>
          <w:rFonts w:cs="Arial"/>
          <w:bCs/>
          <w:spacing w:val="0"/>
          <w:lang w:val="es-ES"/>
        </w:rPr>
        <w:t xml:space="preserve"> del año siguiente</w:t>
      </w:r>
      <w:r w:rsidR="00226B63" w:rsidRPr="00771C09">
        <w:rPr>
          <w:rFonts w:cs="Arial"/>
          <w:bCs/>
          <w:spacing w:val="0"/>
          <w:lang w:val="es-ES"/>
        </w:rPr>
        <w:t xml:space="preserve"> </w:t>
      </w:r>
      <w:r w:rsidR="00AB6046" w:rsidRPr="00771C09">
        <w:rPr>
          <w:rFonts w:cs="Arial"/>
          <w:bCs/>
          <w:spacing w:val="0"/>
          <w:lang w:val="es-ES"/>
        </w:rPr>
        <w:t>con cargo al presupuesto del año 2026, sin embargo</w:t>
      </w:r>
      <w:r w:rsidR="00226B63" w:rsidRPr="00771C09">
        <w:rPr>
          <w:rFonts w:cs="Arial"/>
          <w:bCs/>
          <w:spacing w:val="0"/>
          <w:lang w:val="es-ES"/>
        </w:rPr>
        <w:t xml:space="preserve">, reiteró que </w:t>
      </w:r>
      <w:r w:rsidR="00DF2392" w:rsidRPr="00771C09">
        <w:rPr>
          <w:rFonts w:cs="Arial"/>
          <w:bCs/>
          <w:spacing w:val="0"/>
          <w:lang w:val="es-ES"/>
        </w:rPr>
        <w:t>resultaba un tanto extrañ</w:t>
      </w:r>
      <w:r w:rsidR="00231956">
        <w:rPr>
          <w:rFonts w:cs="Arial"/>
          <w:bCs/>
          <w:spacing w:val="0"/>
          <w:lang w:val="es-ES"/>
        </w:rPr>
        <w:t>a</w:t>
      </w:r>
      <w:r w:rsidR="00DF2392" w:rsidRPr="00771C09">
        <w:rPr>
          <w:rFonts w:cs="Arial"/>
          <w:bCs/>
          <w:spacing w:val="0"/>
          <w:lang w:val="es-ES"/>
        </w:rPr>
        <w:t xml:space="preserve"> la última parte del artículo tercero transitorio al disponer que “En los años siguientes, se financiará con cargo a los recursos que se establezcan en las respectivas Leyes de Presupuestos del Sector Público.”.</w:t>
      </w:r>
    </w:p>
    <w:p w:rsidR="00285009" w:rsidRPr="00771C09" w:rsidRDefault="00285009" w:rsidP="000A382A">
      <w:pPr>
        <w:rPr>
          <w:rFonts w:cs="Arial"/>
          <w:bCs/>
          <w:spacing w:val="0"/>
          <w:lang w:val="es-ES"/>
        </w:rPr>
      </w:pPr>
    </w:p>
    <w:p w:rsidR="003C29E1" w:rsidRPr="00771C09" w:rsidRDefault="00285009" w:rsidP="000A382A">
      <w:pPr>
        <w:rPr>
          <w:rFonts w:cs="Arial"/>
          <w:bCs/>
          <w:spacing w:val="0"/>
          <w:lang w:val="es-ES"/>
        </w:rPr>
      </w:pPr>
      <w:r w:rsidRPr="00771C09">
        <w:rPr>
          <w:rFonts w:cs="Arial"/>
          <w:bCs/>
          <w:spacing w:val="0"/>
          <w:lang w:val="es-ES"/>
        </w:rPr>
        <w:t xml:space="preserve">El </w:t>
      </w:r>
      <w:r w:rsidRPr="00771C09">
        <w:rPr>
          <w:rFonts w:cs="Arial"/>
          <w:b/>
          <w:bCs/>
          <w:spacing w:val="0"/>
          <w:lang w:val="es-ES"/>
        </w:rPr>
        <w:t xml:space="preserve">Honorable Senador señor </w:t>
      </w:r>
      <w:r w:rsidR="003C29E1" w:rsidRPr="00771C09">
        <w:rPr>
          <w:rFonts w:cs="Arial"/>
          <w:b/>
          <w:bCs/>
          <w:spacing w:val="0"/>
          <w:lang w:val="es-ES"/>
        </w:rPr>
        <w:t>Castro Prieto</w:t>
      </w:r>
      <w:r w:rsidR="00DF2392" w:rsidRPr="00771C09">
        <w:rPr>
          <w:rFonts w:cs="Arial"/>
          <w:bCs/>
          <w:spacing w:val="0"/>
          <w:lang w:val="es-ES"/>
        </w:rPr>
        <w:t xml:space="preserve"> </w:t>
      </w:r>
      <w:r w:rsidR="006D7586" w:rsidRPr="00771C09">
        <w:rPr>
          <w:rFonts w:cs="Arial"/>
          <w:bCs/>
          <w:spacing w:val="0"/>
          <w:lang w:val="es-ES"/>
        </w:rPr>
        <w:t xml:space="preserve">consultó si el bono tendrá una aplicación transitoria o permanente. </w:t>
      </w:r>
    </w:p>
    <w:p w:rsidR="003C29E1" w:rsidRPr="00771C09" w:rsidRDefault="003C29E1" w:rsidP="000A382A">
      <w:pPr>
        <w:rPr>
          <w:rFonts w:cs="Arial"/>
          <w:bCs/>
          <w:spacing w:val="0"/>
          <w:lang w:val="es-ES"/>
        </w:rPr>
      </w:pPr>
    </w:p>
    <w:p w:rsidR="003C29E1" w:rsidRPr="00771C09" w:rsidRDefault="003C29E1" w:rsidP="000A382A">
      <w:pPr>
        <w:rPr>
          <w:rFonts w:cs="Arial"/>
          <w:bCs/>
          <w:spacing w:val="0"/>
          <w:lang w:val="es-ES"/>
        </w:rPr>
      </w:pPr>
      <w:r w:rsidRPr="00771C09">
        <w:rPr>
          <w:rFonts w:cs="Arial"/>
          <w:bCs/>
          <w:spacing w:val="0"/>
          <w:lang w:val="es-ES"/>
        </w:rPr>
        <w:t xml:space="preserve">La </w:t>
      </w:r>
      <w:r w:rsidRPr="00771C09">
        <w:rPr>
          <w:rFonts w:cs="Arial"/>
          <w:b/>
          <w:bCs/>
          <w:spacing w:val="0"/>
          <w:lang w:val="es-ES"/>
        </w:rPr>
        <w:t>señora Araya</w:t>
      </w:r>
      <w:r w:rsidRPr="00771C09">
        <w:rPr>
          <w:rFonts w:cs="Arial"/>
          <w:bCs/>
          <w:spacing w:val="0"/>
          <w:lang w:val="es-ES"/>
        </w:rPr>
        <w:t xml:space="preserve"> respondió que se trata de un bono transitorio, respecto de las labores que se realicen</w:t>
      </w:r>
      <w:r w:rsidR="006D7586" w:rsidRPr="00771C09">
        <w:rPr>
          <w:rFonts w:cs="Arial"/>
          <w:bCs/>
          <w:spacing w:val="0"/>
          <w:lang w:val="es-ES"/>
        </w:rPr>
        <w:t xml:space="preserve"> entre el 1 de enero al 31 de diciembre del año 2025.</w:t>
      </w:r>
    </w:p>
    <w:p w:rsidR="003C29E1" w:rsidRPr="00771C09" w:rsidRDefault="003C29E1" w:rsidP="000A382A">
      <w:pPr>
        <w:rPr>
          <w:rFonts w:cs="Arial"/>
          <w:bCs/>
          <w:spacing w:val="0"/>
          <w:lang w:val="es-ES"/>
        </w:rPr>
      </w:pPr>
    </w:p>
    <w:p w:rsidR="003C29E1" w:rsidRPr="00771C09" w:rsidRDefault="003C29E1" w:rsidP="000A382A">
      <w:pPr>
        <w:rPr>
          <w:rFonts w:cs="Arial"/>
          <w:bCs/>
          <w:spacing w:val="0"/>
          <w:lang w:val="es-ES"/>
        </w:rPr>
      </w:pPr>
      <w:r w:rsidRPr="00771C09">
        <w:rPr>
          <w:rFonts w:cs="Arial"/>
          <w:bCs/>
          <w:spacing w:val="0"/>
          <w:lang w:val="es-ES"/>
        </w:rPr>
        <w:t xml:space="preserve">El </w:t>
      </w:r>
      <w:r w:rsidRPr="00771C09">
        <w:rPr>
          <w:rFonts w:cs="Arial"/>
          <w:b/>
          <w:bCs/>
          <w:spacing w:val="0"/>
          <w:lang w:val="es-ES"/>
        </w:rPr>
        <w:t>Honorable Senador señor Castro Prieto</w:t>
      </w:r>
      <w:r w:rsidRPr="00771C09">
        <w:rPr>
          <w:rFonts w:cs="Arial"/>
          <w:bCs/>
          <w:spacing w:val="0"/>
          <w:lang w:val="es-ES"/>
        </w:rPr>
        <w:t xml:space="preserve"> cuestionó que se esté generando un bono solamente por un año, considerando que</w:t>
      </w:r>
      <w:r w:rsidR="006D7586" w:rsidRPr="00771C09">
        <w:rPr>
          <w:rFonts w:cs="Arial"/>
          <w:bCs/>
          <w:spacing w:val="0"/>
          <w:lang w:val="es-ES"/>
        </w:rPr>
        <w:t xml:space="preserve"> las policías ejercen una labor permanente, tanto Carabineros de Chile como la PDI. Expresó que sería deseable que las remuneraciones de las policías sean trabajadas y atendidas de manera permanente</w:t>
      </w:r>
      <w:r w:rsidR="00582B16" w:rsidRPr="00771C09">
        <w:rPr>
          <w:rFonts w:cs="Arial"/>
          <w:bCs/>
          <w:spacing w:val="0"/>
          <w:lang w:val="es-ES"/>
        </w:rPr>
        <w:t xml:space="preserve"> y no por un solo año</w:t>
      </w:r>
      <w:r w:rsidR="004115DB" w:rsidRPr="00771C09">
        <w:rPr>
          <w:rFonts w:cs="Arial"/>
          <w:bCs/>
          <w:spacing w:val="0"/>
          <w:lang w:val="es-ES"/>
        </w:rPr>
        <w:t xml:space="preserve">. </w:t>
      </w:r>
      <w:r w:rsidR="007121E9" w:rsidRPr="00771C09">
        <w:rPr>
          <w:rFonts w:cs="Arial"/>
          <w:bCs/>
          <w:spacing w:val="0"/>
          <w:lang w:val="es-ES"/>
        </w:rPr>
        <w:t>Al respecto, r</w:t>
      </w:r>
      <w:r w:rsidR="004115DB" w:rsidRPr="00771C09">
        <w:rPr>
          <w:rFonts w:cs="Arial"/>
          <w:bCs/>
          <w:spacing w:val="0"/>
          <w:lang w:val="es-ES"/>
        </w:rPr>
        <w:t>ecordó</w:t>
      </w:r>
      <w:r w:rsidR="006D7586" w:rsidRPr="00771C09">
        <w:rPr>
          <w:rFonts w:cs="Arial"/>
          <w:bCs/>
          <w:spacing w:val="0"/>
          <w:lang w:val="es-ES"/>
        </w:rPr>
        <w:t xml:space="preserve"> que aquellos funcionarios que re</w:t>
      </w:r>
      <w:r w:rsidR="00231956">
        <w:rPr>
          <w:rFonts w:cs="Arial"/>
          <w:bCs/>
          <w:spacing w:val="0"/>
          <w:lang w:val="es-ES"/>
        </w:rPr>
        <w:t>cibirán el bono</w:t>
      </w:r>
      <w:r w:rsidR="007121E9" w:rsidRPr="00771C09">
        <w:rPr>
          <w:rFonts w:cs="Arial"/>
          <w:bCs/>
          <w:spacing w:val="0"/>
          <w:lang w:val="es-ES"/>
        </w:rPr>
        <w:t xml:space="preserve"> el año 2025</w:t>
      </w:r>
      <w:r w:rsidR="006D7586" w:rsidRPr="00771C09">
        <w:rPr>
          <w:rFonts w:cs="Arial"/>
          <w:bCs/>
          <w:spacing w:val="0"/>
          <w:lang w:val="es-ES"/>
        </w:rPr>
        <w:t xml:space="preserve"> igualmente tendrán que desemp</w:t>
      </w:r>
      <w:r w:rsidR="007121E9" w:rsidRPr="00771C09">
        <w:rPr>
          <w:rFonts w:cs="Arial"/>
          <w:bCs/>
          <w:spacing w:val="0"/>
          <w:lang w:val="es-ES"/>
        </w:rPr>
        <w:t>eñarse en actividades riesgosas durante los años posteriores.</w:t>
      </w:r>
      <w:r w:rsidRPr="00771C09">
        <w:rPr>
          <w:rFonts w:cs="Arial"/>
          <w:bCs/>
          <w:spacing w:val="0"/>
          <w:lang w:val="es-ES"/>
        </w:rPr>
        <w:t xml:space="preserve"> </w:t>
      </w:r>
    </w:p>
    <w:p w:rsidR="003C29E1" w:rsidRPr="00771C09" w:rsidRDefault="003C29E1" w:rsidP="000A382A">
      <w:pPr>
        <w:rPr>
          <w:rFonts w:cs="Arial"/>
          <w:bCs/>
          <w:spacing w:val="0"/>
          <w:lang w:val="es-ES"/>
        </w:rPr>
      </w:pPr>
    </w:p>
    <w:p w:rsidR="007F3A63" w:rsidRPr="00771C09" w:rsidRDefault="003C29E1" w:rsidP="000A382A">
      <w:pPr>
        <w:rPr>
          <w:rFonts w:cs="Arial"/>
          <w:bCs/>
          <w:spacing w:val="0"/>
          <w:lang w:val="es-ES"/>
        </w:rPr>
      </w:pPr>
      <w:r w:rsidRPr="00771C09">
        <w:rPr>
          <w:rFonts w:cs="Arial"/>
          <w:bCs/>
          <w:spacing w:val="0"/>
          <w:lang w:val="es-ES"/>
        </w:rPr>
        <w:t xml:space="preserve">El </w:t>
      </w:r>
      <w:r w:rsidRPr="00771C09">
        <w:rPr>
          <w:rFonts w:cs="Arial"/>
          <w:b/>
          <w:bCs/>
          <w:spacing w:val="0"/>
          <w:lang w:val="es-ES"/>
        </w:rPr>
        <w:t>Honorable Senador señor García</w:t>
      </w:r>
      <w:r w:rsidR="000957BE" w:rsidRPr="00771C09">
        <w:rPr>
          <w:rFonts w:cs="Arial"/>
          <w:bCs/>
          <w:spacing w:val="0"/>
          <w:lang w:val="es-ES"/>
        </w:rPr>
        <w:t xml:space="preserve"> apuntó</w:t>
      </w:r>
      <w:r w:rsidRPr="00771C09">
        <w:rPr>
          <w:rFonts w:cs="Arial"/>
          <w:bCs/>
          <w:spacing w:val="0"/>
          <w:lang w:val="es-ES"/>
        </w:rPr>
        <w:t xml:space="preserve"> que</w:t>
      </w:r>
      <w:r w:rsidR="000957BE" w:rsidRPr="00771C09">
        <w:rPr>
          <w:rFonts w:cs="Arial"/>
          <w:bCs/>
          <w:spacing w:val="0"/>
          <w:lang w:val="es-ES"/>
        </w:rPr>
        <w:t>, según entiende,</w:t>
      </w:r>
      <w:r w:rsidR="007F3A63" w:rsidRPr="00771C09">
        <w:rPr>
          <w:rFonts w:cs="Arial"/>
          <w:bCs/>
          <w:spacing w:val="0"/>
          <w:lang w:val="es-ES"/>
        </w:rPr>
        <w:t xml:space="preserve"> durante la discusión de la ley de reajuste del sector público para el año 20</w:t>
      </w:r>
      <w:r w:rsidR="00231956">
        <w:rPr>
          <w:rFonts w:cs="Arial"/>
          <w:bCs/>
          <w:spacing w:val="0"/>
          <w:lang w:val="es-ES"/>
        </w:rPr>
        <w:t>25 se comprometió</w:t>
      </w:r>
      <w:r w:rsidR="007F3A63" w:rsidRPr="00771C09">
        <w:rPr>
          <w:rFonts w:cs="Arial"/>
          <w:bCs/>
          <w:spacing w:val="0"/>
          <w:lang w:val="es-ES"/>
        </w:rPr>
        <w:t xml:space="preserve"> un proyecto d</w:t>
      </w:r>
      <w:r w:rsidR="00231956">
        <w:rPr>
          <w:rFonts w:cs="Arial"/>
          <w:bCs/>
          <w:spacing w:val="0"/>
          <w:lang w:val="es-ES"/>
        </w:rPr>
        <w:t>e ley que</w:t>
      </w:r>
      <w:r w:rsidR="000957BE" w:rsidRPr="00771C09">
        <w:rPr>
          <w:rFonts w:cs="Arial"/>
          <w:bCs/>
          <w:spacing w:val="0"/>
          <w:lang w:val="es-ES"/>
        </w:rPr>
        <w:t xml:space="preserve"> comprendería</w:t>
      </w:r>
      <w:r w:rsidR="008A3FCA" w:rsidRPr="00771C09">
        <w:rPr>
          <w:rFonts w:cs="Arial"/>
          <w:bCs/>
          <w:spacing w:val="0"/>
          <w:lang w:val="es-ES"/>
        </w:rPr>
        <w:t xml:space="preserve"> las preocupaciones </w:t>
      </w:r>
      <w:proofErr w:type="spellStart"/>
      <w:r w:rsidR="008A3FCA" w:rsidRPr="00771C09">
        <w:rPr>
          <w:rFonts w:cs="Arial"/>
          <w:bCs/>
          <w:spacing w:val="0"/>
          <w:lang w:val="es-ES"/>
        </w:rPr>
        <w:t>remuneracionales</w:t>
      </w:r>
      <w:proofErr w:type="spellEnd"/>
      <w:r w:rsidR="008A3FCA" w:rsidRPr="00771C09">
        <w:rPr>
          <w:rFonts w:cs="Arial"/>
          <w:bCs/>
          <w:spacing w:val="0"/>
          <w:lang w:val="es-ES"/>
        </w:rPr>
        <w:t xml:space="preserve"> expresadas por el Senador Castro Prieto.</w:t>
      </w:r>
    </w:p>
    <w:p w:rsidR="003C29E1" w:rsidRPr="00771C09" w:rsidRDefault="003C29E1" w:rsidP="000A382A">
      <w:pPr>
        <w:rPr>
          <w:rFonts w:cs="Arial"/>
          <w:bCs/>
          <w:spacing w:val="0"/>
          <w:lang w:val="es-ES"/>
        </w:rPr>
      </w:pPr>
    </w:p>
    <w:p w:rsidR="008A3FCA" w:rsidRPr="00771C09" w:rsidRDefault="003C29E1" w:rsidP="000A382A">
      <w:pPr>
        <w:rPr>
          <w:rFonts w:cs="Arial"/>
          <w:bCs/>
          <w:spacing w:val="0"/>
          <w:lang w:val="es-ES"/>
        </w:rPr>
      </w:pPr>
      <w:r w:rsidRPr="00771C09">
        <w:rPr>
          <w:rFonts w:cs="Arial"/>
          <w:bCs/>
          <w:spacing w:val="0"/>
          <w:lang w:val="es-ES"/>
        </w:rPr>
        <w:t xml:space="preserve">La </w:t>
      </w:r>
      <w:r w:rsidRPr="00771C09">
        <w:rPr>
          <w:rFonts w:cs="Arial"/>
          <w:b/>
          <w:bCs/>
          <w:spacing w:val="0"/>
          <w:lang w:val="es-ES"/>
        </w:rPr>
        <w:t>señora Araya</w:t>
      </w:r>
      <w:r w:rsidR="007121E9" w:rsidRPr="00771C09">
        <w:rPr>
          <w:rFonts w:cs="Arial"/>
          <w:bCs/>
          <w:spacing w:val="0"/>
          <w:lang w:val="es-ES"/>
        </w:rPr>
        <w:t xml:space="preserve"> informó</w:t>
      </w:r>
      <w:r w:rsidRPr="00771C09">
        <w:rPr>
          <w:rFonts w:cs="Arial"/>
          <w:bCs/>
          <w:spacing w:val="0"/>
          <w:lang w:val="es-ES"/>
        </w:rPr>
        <w:t xml:space="preserve">, en primer término, que de acuerdo al protocolo de acuerdo </w:t>
      </w:r>
      <w:r w:rsidR="00231956">
        <w:rPr>
          <w:rFonts w:cs="Arial"/>
          <w:bCs/>
          <w:spacing w:val="0"/>
          <w:lang w:val="es-ES"/>
        </w:rPr>
        <w:t xml:space="preserve">consensuado </w:t>
      </w:r>
      <w:r w:rsidRPr="00771C09">
        <w:rPr>
          <w:rFonts w:cs="Arial"/>
          <w:bCs/>
          <w:spacing w:val="0"/>
          <w:lang w:val="es-ES"/>
        </w:rPr>
        <w:t>en la</w:t>
      </w:r>
      <w:r w:rsidR="008A3FCA" w:rsidRPr="00771C09">
        <w:rPr>
          <w:rFonts w:cs="Arial"/>
          <w:bCs/>
          <w:spacing w:val="0"/>
          <w:lang w:val="es-ES"/>
        </w:rPr>
        <w:t xml:space="preserve"> discusión de</w:t>
      </w:r>
      <w:r w:rsidRPr="00771C09">
        <w:rPr>
          <w:rFonts w:cs="Arial"/>
          <w:bCs/>
          <w:spacing w:val="0"/>
          <w:lang w:val="es-ES"/>
        </w:rPr>
        <w:t xml:space="preserve"> ley de</w:t>
      </w:r>
      <w:r w:rsidR="008A3FCA" w:rsidRPr="00771C09">
        <w:rPr>
          <w:rFonts w:cs="Arial"/>
          <w:bCs/>
          <w:spacing w:val="0"/>
          <w:lang w:val="es-ES"/>
        </w:rPr>
        <w:t xml:space="preserve"> reajuste</w:t>
      </w:r>
      <w:r w:rsidRPr="00771C09">
        <w:rPr>
          <w:rFonts w:cs="Arial"/>
          <w:bCs/>
          <w:spacing w:val="0"/>
          <w:lang w:val="es-ES"/>
        </w:rPr>
        <w:t xml:space="preserve"> del sector público</w:t>
      </w:r>
      <w:r w:rsidR="000957BE" w:rsidRPr="00771C09">
        <w:rPr>
          <w:rFonts w:cs="Arial"/>
          <w:bCs/>
          <w:spacing w:val="0"/>
          <w:lang w:val="es-ES"/>
        </w:rPr>
        <w:t xml:space="preserve"> para el año 2025 con el fin de</w:t>
      </w:r>
      <w:r w:rsidR="008A3FCA" w:rsidRPr="00771C09">
        <w:rPr>
          <w:rFonts w:cs="Arial"/>
          <w:bCs/>
          <w:spacing w:val="0"/>
          <w:lang w:val="es-ES"/>
        </w:rPr>
        <w:t xml:space="preserve"> viabilizar su aprobación en el Parlamento, </w:t>
      </w:r>
      <w:r w:rsidR="000957BE" w:rsidRPr="00771C09">
        <w:rPr>
          <w:rFonts w:cs="Arial"/>
          <w:bCs/>
          <w:spacing w:val="0"/>
          <w:lang w:val="es-ES"/>
        </w:rPr>
        <w:t>y</w:t>
      </w:r>
      <w:r w:rsidR="008A3FCA" w:rsidRPr="00771C09">
        <w:rPr>
          <w:rFonts w:cs="Arial"/>
          <w:bCs/>
          <w:spacing w:val="0"/>
          <w:lang w:val="es-ES"/>
        </w:rPr>
        <w:t xml:space="preserve"> con ocasión del</w:t>
      </w:r>
      <w:r w:rsidRPr="00771C09">
        <w:rPr>
          <w:rFonts w:cs="Arial"/>
          <w:bCs/>
          <w:spacing w:val="0"/>
          <w:lang w:val="es-ES"/>
        </w:rPr>
        <w:t xml:space="preserve"> artículo 48 </w:t>
      </w:r>
      <w:r w:rsidR="00231956">
        <w:rPr>
          <w:rFonts w:cs="Arial"/>
          <w:bCs/>
          <w:spacing w:val="0"/>
          <w:lang w:val="es-ES"/>
        </w:rPr>
        <w:t>de dicha</w:t>
      </w:r>
      <w:r w:rsidR="008A3FCA" w:rsidRPr="00771C09">
        <w:rPr>
          <w:rFonts w:cs="Arial"/>
          <w:bCs/>
          <w:spacing w:val="0"/>
          <w:lang w:val="es-ES"/>
        </w:rPr>
        <w:t xml:space="preserve"> iniciativa legal, que consideraba un bono para Carabineros de Chile que perciban</w:t>
      </w:r>
      <w:r w:rsidR="007121E9" w:rsidRPr="00771C09">
        <w:rPr>
          <w:rFonts w:cs="Arial"/>
          <w:bCs/>
          <w:spacing w:val="0"/>
          <w:lang w:val="es-ES"/>
        </w:rPr>
        <w:t xml:space="preserve"> las</w:t>
      </w:r>
      <w:r w:rsidR="008A3FCA" w:rsidRPr="00771C09">
        <w:rPr>
          <w:rFonts w:cs="Arial"/>
          <w:bCs/>
          <w:spacing w:val="0"/>
          <w:lang w:val="es-ES"/>
        </w:rPr>
        <w:t xml:space="preserve"> gratificaciones especiales de Riesgo, de Operaciones Especiales, de Fuerzas Especiales y de Protección de Autoridades</w:t>
      </w:r>
      <w:r w:rsidR="00231956">
        <w:rPr>
          <w:rFonts w:cs="Arial"/>
          <w:bCs/>
          <w:spacing w:val="0"/>
          <w:lang w:val="es-ES"/>
        </w:rPr>
        <w:t>, es que se comprometió</w:t>
      </w:r>
      <w:r w:rsidR="000957BE" w:rsidRPr="00771C09">
        <w:rPr>
          <w:rFonts w:cs="Arial"/>
          <w:bCs/>
          <w:spacing w:val="0"/>
          <w:lang w:val="es-ES"/>
        </w:rPr>
        <w:t xml:space="preserve"> un bono análogo para la PD</w:t>
      </w:r>
      <w:r w:rsidR="00231956">
        <w:rPr>
          <w:rFonts w:cs="Arial"/>
          <w:bCs/>
          <w:spacing w:val="0"/>
          <w:lang w:val="es-ES"/>
        </w:rPr>
        <w:t>I, también de manera transitoria</w:t>
      </w:r>
      <w:r w:rsidR="000957BE" w:rsidRPr="00771C09">
        <w:rPr>
          <w:rFonts w:cs="Arial"/>
          <w:bCs/>
          <w:spacing w:val="0"/>
          <w:lang w:val="es-ES"/>
        </w:rPr>
        <w:t>.</w:t>
      </w:r>
    </w:p>
    <w:p w:rsidR="008A3FCA" w:rsidRPr="00771C09" w:rsidRDefault="008A3FCA" w:rsidP="000A382A">
      <w:pPr>
        <w:rPr>
          <w:rFonts w:cs="Arial"/>
          <w:bCs/>
          <w:spacing w:val="0"/>
          <w:lang w:val="es-ES"/>
        </w:rPr>
      </w:pPr>
    </w:p>
    <w:p w:rsidR="000957BE" w:rsidRPr="00771C09" w:rsidRDefault="008A3FCA" w:rsidP="000A382A">
      <w:pPr>
        <w:rPr>
          <w:rFonts w:cs="Arial"/>
          <w:bCs/>
          <w:spacing w:val="0"/>
          <w:lang w:val="es-ES"/>
        </w:rPr>
      </w:pPr>
      <w:r w:rsidRPr="00771C09">
        <w:rPr>
          <w:rFonts w:cs="Arial"/>
          <w:bCs/>
          <w:spacing w:val="0"/>
          <w:lang w:val="es-ES"/>
        </w:rPr>
        <w:t>Aclaró que aquello se hizo con la expectativa de pod</w:t>
      </w:r>
      <w:r w:rsidR="000957BE" w:rsidRPr="00771C09">
        <w:rPr>
          <w:rFonts w:cs="Arial"/>
          <w:bCs/>
          <w:spacing w:val="0"/>
          <w:lang w:val="es-ES"/>
        </w:rPr>
        <w:t>er impulsar diferentes proyecto de ley en el Congreso Nacional</w:t>
      </w:r>
      <w:r w:rsidRPr="00771C09">
        <w:rPr>
          <w:rFonts w:cs="Arial"/>
          <w:bCs/>
          <w:spacing w:val="0"/>
          <w:lang w:val="es-ES"/>
        </w:rPr>
        <w:t>, siendo uno de ellos el que m</w:t>
      </w:r>
      <w:r w:rsidR="007121E9" w:rsidRPr="00771C09">
        <w:rPr>
          <w:rFonts w:cs="Arial"/>
          <w:bCs/>
          <w:spacing w:val="0"/>
          <w:lang w:val="es-ES"/>
        </w:rPr>
        <w:t>odifica la carrera policial en</w:t>
      </w:r>
      <w:r w:rsidRPr="00771C09">
        <w:rPr>
          <w:rFonts w:cs="Arial"/>
          <w:bCs/>
          <w:spacing w:val="0"/>
          <w:lang w:val="es-ES"/>
        </w:rPr>
        <w:t xml:space="preserve"> Carabineros de Chile</w:t>
      </w:r>
      <w:r w:rsidR="00A02C31" w:rsidRPr="00771C09">
        <w:rPr>
          <w:rFonts w:cs="Arial"/>
          <w:bCs/>
          <w:spacing w:val="0"/>
          <w:lang w:val="es-ES"/>
        </w:rPr>
        <w:t xml:space="preserve">, pero que también debía tenerse en consideración aquel que modifica diversos cuerpos legales con el objeto de crear una nueva modalidad de ingreso a la Policía de Investigaciones </w:t>
      </w:r>
      <w:r w:rsidR="00A02C31" w:rsidRPr="00771C09">
        <w:rPr>
          <w:rFonts w:cs="Arial"/>
          <w:bCs/>
          <w:spacing w:val="0"/>
          <w:lang w:val="es-ES"/>
        </w:rPr>
        <w:lastRenderedPageBreak/>
        <w:t>de Chile, y modifica su Estatuto del Personal (Boletín N° 17.371-25)</w:t>
      </w:r>
      <w:r w:rsidR="000957BE" w:rsidRPr="00771C09">
        <w:rPr>
          <w:rFonts w:cs="Arial"/>
          <w:bCs/>
          <w:spacing w:val="0"/>
          <w:lang w:val="es-ES"/>
        </w:rPr>
        <w:t>, así como también la iniciativa legal que modifica diversos cuerpos legales, con el objeto de modernizar el escalafón de los agentes policiales de la Policía de Investigaciones de Chile y su Estatuto del Personal (Boletín N° 17.195-25).</w:t>
      </w:r>
    </w:p>
    <w:p w:rsidR="003C29E1" w:rsidRPr="00771C09" w:rsidRDefault="003C29E1" w:rsidP="000A382A">
      <w:pPr>
        <w:rPr>
          <w:rFonts w:cs="Arial"/>
          <w:bCs/>
          <w:spacing w:val="0"/>
          <w:lang w:val="es-ES"/>
        </w:rPr>
      </w:pPr>
    </w:p>
    <w:p w:rsidR="003C29E1" w:rsidRPr="00771C09" w:rsidRDefault="003C29E1" w:rsidP="000A382A">
      <w:pPr>
        <w:rPr>
          <w:rFonts w:cs="Arial"/>
          <w:bCs/>
          <w:spacing w:val="0"/>
          <w:lang w:val="es-ES"/>
        </w:rPr>
      </w:pPr>
      <w:r w:rsidRPr="00771C09">
        <w:rPr>
          <w:rFonts w:cs="Arial"/>
          <w:bCs/>
          <w:spacing w:val="0"/>
          <w:lang w:val="es-ES"/>
        </w:rPr>
        <w:t>Po</w:t>
      </w:r>
      <w:r w:rsidR="00A02C31" w:rsidRPr="00771C09">
        <w:rPr>
          <w:rFonts w:cs="Arial"/>
          <w:bCs/>
          <w:spacing w:val="0"/>
          <w:lang w:val="es-ES"/>
        </w:rPr>
        <w:t>r lo anterior, reiteró</w:t>
      </w:r>
      <w:r w:rsidRPr="00771C09">
        <w:rPr>
          <w:rFonts w:cs="Arial"/>
          <w:bCs/>
          <w:spacing w:val="0"/>
          <w:lang w:val="es-ES"/>
        </w:rPr>
        <w:t xml:space="preserve"> que se trata de un bono transitorio,</w:t>
      </w:r>
      <w:r w:rsidR="00A02C31" w:rsidRPr="00771C09">
        <w:rPr>
          <w:rFonts w:cs="Arial"/>
          <w:bCs/>
          <w:spacing w:val="0"/>
          <w:lang w:val="es-ES"/>
        </w:rPr>
        <w:t xml:space="preserve"> a la espera de avanzar en la tramitación de proyectos de ley relacionados que pueden implicar </w:t>
      </w:r>
      <w:r w:rsidR="007121E9" w:rsidRPr="00771C09">
        <w:rPr>
          <w:rFonts w:cs="Arial"/>
          <w:bCs/>
          <w:spacing w:val="0"/>
          <w:lang w:val="es-ES"/>
        </w:rPr>
        <w:t>un tiempo mayor en su discusión</w:t>
      </w:r>
      <w:r w:rsidR="00A02C31" w:rsidRPr="00771C09">
        <w:rPr>
          <w:rFonts w:cs="Arial"/>
          <w:bCs/>
          <w:spacing w:val="0"/>
          <w:lang w:val="es-ES"/>
        </w:rPr>
        <w:t>,</w:t>
      </w:r>
      <w:r w:rsidRPr="00771C09">
        <w:rPr>
          <w:rFonts w:cs="Arial"/>
          <w:bCs/>
          <w:spacing w:val="0"/>
          <w:lang w:val="es-ES"/>
        </w:rPr>
        <w:t xml:space="preserve"> sin perjuicio de compartir</w:t>
      </w:r>
      <w:r w:rsidR="00A02C31" w:rsidRPr="00771C09">
        <w:rPr>
          <w:rFonts w:cs="Arial"/>
          <w:bCs/>
          <w:spacing w:val="0"/>
          <w:lang w:val="es-ES"/>
        </w:rPr>
        <w:t xml:space="preserve"> lo señalado por el Senador Castro Prieto, en cuanto a que debe abordarse de una manera permanente la situación </w:t>
      </w:r>
      <w:proofErr w:type="spellStart"/>
      <w:r w:rsidR="00A02C31" w:rsidRPr="00771C09">
        <w:rPr>
          <w:rFonts w:cs="Arial"/>
          <w:bCs/>
          <w:spacing w:val="0"/>
          <w:lang w:val="es-ES"/>
        </w:rPr>
        <w:t>remuneracional</w:t>
      </w:r>
      <w:proofErr w:type="spellEnd"/>
      <w:r w:rsidR="00A02C31" w:rsidRPr="00771C09">
        <w:rPr>
          <w:rFonts w:cs="Arial"/>
          <w:bCs/>
          <w:spacing w:val="0"/>
          <w:lang w:val="es-ES"/>
        </w:rPr>
        <w:t xml:space="preserve"> de las policías.</w:t>
      </w:r>
      <w:r w:rsidRPr="00771C09">
        <w:rPr>
          <w:rFonts w:cs="Arial"/>
          <w:bCs/>
          <w:spacing w:val="0"/>
          <w:lang w:val="es-ES"/>
        </w:rPr>
        <w:t xml:space="preserve"> </w:t>
      </w:r>
    </w:p>
    <w:p w:rsidR="003C29E1" w:rsidRPr="00771C09" w:rsidRDefault="003C29E1" w:rsidP="000A382A">
      <w:pPr>
        <w:rPr>
          <w:rFonts w:cs="Arial"/>
          <w:bCs/>
          <w:spacing w:val="0"/>
          <w:lang w:val="es-ES"/>
        </w:rPr>
      </w:pPr>
    </w:p>
    <w:p w:rsidR="00285009" w:rsidRPr="00771C09" w:rsidRDefault="003C29E1" w:rsidP="000A382A">
      <w:pPr>
        <w:rPr>
          <w:rFonts w:cs="Arial"/>
          <w:bCs/>
          <w:spacing w:val="0"/>
          <w:lang w:val="es-ES"/>
        </w:rPr>
      </w:pPr>
      <w:r w:rsidRPr="00771C09">
        <w:rPr>
          <w:rFonts w:cs="Arial"/>
          <w:bCs/>
          <w:spacing w:val="0"/>
          <w:lang w:val="es-ES"/>
        </w:rPr>
        <w:t>Finalmente, expresó estar disponible para hacer alguna modificación en el artículo tercero transitorio</w:t>
      </w:r>
      <w:r w:rsidR="00A02C31" w:rsidRPr="00771C09">
        <w:rPr>
          <w:rFonts w:cs="Arial"/>
          <w:bCs/>
          <w:spacing w:val="0"/>
          <w:lang w:val="es-ES"/>
        </w:rPr>
        <w:t xml:space="preserve"> en atención a las consultas formuladas durante la sesión, de manera tal que se pueda arribar a una redacción más clara</w:t>
      </w:r>
      <w:r w:rsidRPr="00771C09">
        <w:rPr>
          <w:rFonts w:cs="Arial"/>
          <w:bCs/>
          <w:spacing w:val="0"/>
          <w:lang w:val="es-ES"/>
        </w:rPr>
        <w:t xml:space="preserve"> al momento </w:t>
      </w:r>
      <w:r w:rsidR="007B799C">
        <w:rPr>
          <w:rFonts w:cs="Arial"/>
          <w:bCs/>
          <w:spacing w:val="0"/>
          <w:lang w:val="es-ES"/>
        </w:rPr>
        <w:t xml:space="preserve">de </w:t>
      </w:r>
      <w:r w:rsidRPr="00771C09">
        <w:rPr>
          <w:rFonts w:cs="Arial"/>
          <w:bCs/>
          <w:spacing w:val="0"/>
          <w:lang w:val="es-ES"/>
        </w:rPr>
        <w:t>que la iniciativa</w:t>
      </w:r>
      <w:r w:rsidR="00A02C31" w:rsidRPr="00771C09">
        <w:rPr>
          <w:rFonts w:cs="Arial"/>
          <w:bCs/>
          <w:spacing w:val="0"/>
          <w:lang w:val="es-ES"/>
        </w:rPr>
        <w:t xml:space="preserve"> legal sea</w:t>
      </w:r>
      <w:r w:rsidRPr="00771C09">
        <w:rPr>
          <w:rFonts w:cs="Arial"/>
          <w:bCs/>
          <w:spacing w:val="0"/>
          <w:lang w:val="es-ES"/>
        </w:rPr>
        <w:t xml:space="preserve"> discutida en la Sala de la Corporación.</w:t>
      </w:r>
    </w:p>
    <w:p w:rsidR="00C94391" w:rsidRPr="00771C09" w:rsidRDefault="00C94391" w:rsidP="000A382A">
      <w:pPr>
        <w:rPr>
          <w:rFonts w:cs="Arial"/>
          <w:bCs/>
          <w:spacing w:val="0"/>
          <w:lang w:val="es-ES"/>
        </w:rPr>
      </w:pPr>
    </w:p>
    <w:p w:rsidR="00C94391" w:rsidRPr="00771C09" w:rsidRDefault="00C94391" w:rsidP="000A382A">
      <w:pPr>
        <w:rPr>
          <w:rFonts w:cs="Arial"/>
          <w:bCs/>
          <w:spacing w:val="0"/>
          <w:lang w:val="es-ES"/>
        </w:rPr>
      </w:pPr>
      <w:r w:rsidRPr="00771C09">
        <w:rPr>
          <w:rFonts w:cs="Arial"/>
          <w:bCs/>
          <w:spacing w:val="0"/>
          <w:lang w:val="es-ES"/>
        </w:rPr>
        <w:t xml:space="preserve">El </w:t>
      </w:r>
      <w:r w:rsidRPr="00771C09">
        <w:rPr>
          <w:rFonts w:cs="Arial"/>
          <w:b/>
          <w:bCs/>
          <w:spacing w:val="0"/>
          <w:lang w:val="es-ES"/>
        </w:rPr>
        <w:t xml:space="preserve">Honorable Senador señor </w:t>
      </w:r>
      <w:proofErr w:type="spellStart"/>
      <w:r w:rsidRPr="00771C09">
        <w:rPr>
          <w:rFonts w:cs="Arial"/>
          <w:b/>
          <w:bCs/>
          <w:spacing w:val="0"/>
          <w:lang w:val="es-ES"/>
        </w:rPr>
        <w:t>Kast</w:t>
      </w:r>
      <w:proofErr w:type="spellEnd"/>
      <w:r w:rsidR="007121E9" w:rsidRPr="00771C09">
        <w:rPr>
          <w:rFonts w:cs="Arial"/>
          <w:bCs/>
          <w:spacing w:val="0"/>
          <w:lang w:val="es-ES"/>
        </w:rPr>
        <w:t xml:space="preserve"> resaltó que el proyecto de ley objeto de estudio</w:t>
      </w:r>
      <w:r w:rsidRPr="00771C09">
        <w:rPr>
          <w:rFonts w:cs="Arial"/>
          <w:bCs/>
          <w:spacing w:val="0"/>
          <w:lang w:val="es-ES"/>
        </w:rPr>
        <w:t xml:space="preserve"> es de gran relevancia para los propios funcionarios de la PDI, quienes ponen en riesgo su</w:t>
      </w:r>
      <w:r w:rsidR="00771C09" w:rsidRPr="00771C09">
        <w:rPr>
          <w:rFonts w:cs="Arial"/>
          <w:bCs/>
          <w:spacing w:val="0"/>
          <w:lang w:val="es-ES"/>
        </w:rPr>
        <w:t xml:space="preserve"> vida en el cumplimiento de sus labores.</w:t>
      </w:r>
    </w:p>
    <w:p w:rsidR="000A382A" w:rsidRPr="007B799C" w:rsidRDefault="000A382A" w:rsidP="000A382A">
      <w:pPr>
        <w:rPr>
          <w:rFonts w:cs="Arial"/>
          <w:bCs/>
          <w:spacing w:val="0"/>
        </w:rPr>
      </w:pPr>
    </w:p>
    <w:p w:rsidR="004058E7" w:rsidRPr="007B799C" w:rsidRDefault="004058E7" w:rsidP="003A0B01">
      <w:pPr>
        <w:rPr>
          <w:rFonts w:cs="Arial"/>
          <w:u w:val="single"/>
          <w:lang w:val="es-CL"/>
        </w:rPr>
      </w:pPr>
    </w:p>
    <w:p w:rsidR="007447FD" w:rsidRPr="00542DC9" w:rsidRDefault="00BD1F86" w:rsidP="007447FD">
      <w:pPr>
        <w:rPr>
          <w:b/>
        </w:rPr>
      </w:pPr>
      <w:bookmarkStart w:id="15" w:name="votacióngeneral"/>
      <w:r>
        <w:rPr>
          <w:b/>
        </w:rPr>
        <w:t>B</w:t>
      </w:r>
      <w:r w:rsidR="006E49B4" w:rsidRPr="0099414E">
        <w:rPr>
          <w:b/>
        </w:rPr>
        <w:t>.-</w:t>
      </w:r>
      <w:r w:rsidR="004058E7" w:rsidRPr="0099414E">
        <w:rPr>
          <w:b/>
        </w:rPr>
        <w:t xml:space="preserve">Votación </w:t>
      </w:r>
      <w:r w:rsidR="00DB20A7" w:rsidRPr="0099414E">
        <w:rPr>
          <w:b/>
        </w:rPr>
        <w:t>en general</w:t>
      </w:r>
      <w:r w:rsidR="00D67E5D">
        <w:rPr>
          <w:b/>
        </w:rPr>
        <w:t>.</w:t>
      </w:r>
    </w:p>
    <w:bookmarkEnd w:id="15"/>
    <w:p w:rsidR="004058E7" w:rsidRDefault="004058E7" w:rsidP="00677D0C">
      <w:pPr>
        <w:rPr>
          <w:rFonts w:cs="Arial"/>
          <w:b/>
          <w:color w:val="000000"/>
          <w:lang w:val="es-CL"/>
        </w:rPr>
      </w:pPr>
    </w:p>
    <w:p w:rsidR="00542DC9" w:rsidRPr="007C08AD" w:rsidRDefault="00542DC9" w:rsidP="00677D0C">
      <w:pPr>
        <w:rPr>
          <w:rFonts w:cs="Arial"/>
          <w:b/>
          <w:color w:val="000000"/>
          <w:lang w:val="es-CL"/>
        </w:rPr>
      </w:pPr>
    </w:p>
    <w:p w:rsidR="00542DC9" w:rsidRPr="00D67E5D" w:rsidRDefault="00542DC9" w:rsidP="00542DC9">
      <w:pPr>
        <w:rPr>
          <w:rFonts w:cs="Arial"/>
          <w:b/>
        </w:rPr>
      </w:pPr>
      <w:r w:rsidRPr="00D67E5D">
        <w:rPr>
          <w:rFonts w:cs="Arial"/>
          <w:b/>
        </w:rPr>
        <w:t xml:space="preserve">- Puesto en votación el proyecto de ley, en general, fue aprobado por la unanimidad de los miembros </w:t>
      </w:r>
      <w:r w:rsidR="00BD1F86" w:rsidRPr="00D67E5D">
        <w:rPr>
          <w:rFonts w:cs="Arial"/>
          <w:b/>
        </w:rPr>
        <w:t>presentes</w:t>
      </w:r>
      <w:r w:rsidR="007B799C">
        <w:rPr>
          <w:rFonts w:cs="Arial"/>
          <w:b/>
        </w:rPr>
        <w:t xml:space="preserve"> de la Comisión</w:t>
      </w:r>
      <w:r w:rsidR="00BD1F86" w:rsidRPr="00D67E5D">
        <w:rPr>
          <w:rFonts w:cs="Arial"/>
          <w:b/>
        </w:rPr>
        <w:t>, Hon</w:t>
      </w:r>
      <w:r w:rsidR="00D67E5D" w:rsidRPr="00D67E5D">
        <w:rPr>
          <w:rFonts w:cs="Arial"/>
          <w:b/>
        </w:rPr>
        <w:t xml:space="preserve">orables Senadores García, </w:t>
      </w:r>
      <w:proofErr w:type="spellStart"/>
      <w:r w:rsidR="00D67E5D" w:rsidRPr="00D67E5D">
        <w:rPr>
          <w:rFonts w:cs="Arial"/>
          <w:b/>
        </w:rPr>
        <w:t>Kast</w:t>
      </w:r>
      <w:proofErr w:type="spellEnd"/>
      <w:r w:rsidR="00D67E5D" w:rsidRPr="00D67E5D">
        <w:rPr>
          <w:rFonts w:cs="Arial"/>
          <w:b/>
        </w:rPr>
        <w:t>,</w:t>
      </w:r>
      <w:r w:rsidR="00BD1F86" w:rsidRPr="00D67E5D">
        <w:rPr>
          <w:rFonts w:cs="Arial"/>
          <w:b/>
        </w:rPr>
        <w:t xml:space="preserve"> Lagos</w:t>
      </w:r>
      <w:r w:rsidR="00D67E5D" w:rsidRPr="00D67E5D">
        <w:rPr>
          <w:rFonts w:cs="Arial"/>
          <w:b/>
        </w:rPr>
        <w:t xml:space="preserve"> y Sandoval</w:t>
      </w:r>
      <w:r w:rsidR="00BD1F86" w:rsidRPr="00D67E5D">
        <w:rPr>
          <w:rFonts w:cs="Arial"/>
          <w:b/>
        </w:rPr>
        <w:t>.</w:t>
      </w:r>
    </w:p>
    <w:p w:rsidR="00BF168C" w:rsidRPr="007C08AD" w:rsidRDefault="00BF168C" w:rsidP="00BF168C">
      <w:pPr>
        <w:rPr>
          <w:rFonts w:cs="Arial"/>
          <w:color w:val="000000"/>
        </w:rPr>
      </w:pPr>
    </w:p>
    <w:p w:rsidR="00A23541" w:rsidRPr="007C08AD" w:rsidRDefault="00A23541" w:rsidP="00E72869">
      <w:pPr>
        <w:tabs>
          <w:tab w:val="left" w:pos="0"/>
          <w:tab w:val="left" w:pos="2835"/>
        </w:tabs>
        <w:ind w:firstLine="0"/>
        <w:jc w:val="center"/>
        <w:rPr>
          <w:color w:val="000000"/>
        </w:rPr>
      </w:pPr>
      <w:r w:rsidRPr="007C08AD">
        <w:rPr>
          <w:color w:val="000000"/>
        </w:rPr>
        <w:t xml:space="preserve">- - - </w:t>
      </w:r>
    </w:p>
    <w:p w:rsidR="00A23541" w:rsidRPr="007C08AD" w:rsidRDefault="00A23541" w:rsidP="00A23541">
      <w:pPr>
        <w:tabs>
          <w:tab w:val="left" w:pos="0"/>
          <w:tab w:val="left" w:pos="2835"/>
        </w:tabs>
        <w:rPr>
          <w:color w:val="000000"/>
        </w:rPr>
      </w:pPr>
    </w:p>
    <w:p w:rsidR="00A23541" w:rsidRPr="007C08AD" w:rsidRDefault="00A23541" w:rsidP="00606A56">
      <w:pPr>
        <w:pStyle w:val="Ttulo"/>
      </w:pPr>
      <w:bookmarkStart w:id="16" w:name="informefinanciero"/>
      <w:bookmarkStart w:id="17" w:name="_Toc80957987"/>
      <w:r w:rsidRPr="007C08AD">
        <w:t>INFORM</w:t>
      </w:r>
      <w:r w:rsidR="00067968" w:rsidRPr="007C08AD">
        <w:t>E FINANCIERO</w:t>
      </w:r>
      <w:bookmarkEnd w:id="16"/>
      <w:bookmarkEnd w:id="17"/>
    </w:p>
    <w:p w:rsidR="00A23541" w:rsidRPr="007C08AD" w:rsidRDefault="00A23541" w:rsidP="00A23541">
      <w:pPr>
        <w:rPr>
          <w:rFonts w:cs="Arial"/>
          <w:color w:val="000000"/>
        </w:rPr>
      </w:pPr>
    </w:p>
    <w:p w:rsidR="00542DC9" w:rsidRDefault="00542DC9" w:rsidP="00542DC9">
      <w:pPr>
        <w:widowControl w:val="0"/>
        <w:tabs>
          <w:tab w:val="left" w:pos="0"/>
        </w:tabs>
        <w:rPr>
          <w:rFonts w:eastAsia="MS Mincho"/>
          <w:color w:val="000000"/>
          <w:spacing w:val="0"/>
          <w:lang w:val="es-ES"/>
        </w:rPr>
      </w:pPr>
      <w:r w:rsidRPr="00542DC9">
        <w:rPr>
          <w:rFonts w:eastAsia="MS Mincho"/>
          <w:color w:val="000000"/>
          <w:spacing w:val="0"/>
          <w:lang w:val="es-ES"/>
        </w:rPr>
        <w:t xml:space="preserve">- El informe financiero </w:t>
      </w:r>
      <w:r w:rsidRPr="00542DC9">
        <w:rPr>
          <w:rFonts w:eastAsia="MS Mincho"/>
          <w:b/>
          <w:bCs/>
          <w:color w:val="000000"/>
          <w:spacing w:val="0"/>
          <w:lang w:val="es-ES"/>
        </w:rPr>
        <w:t xml:space="preserve">N° </w:t>
      </w:r>
      <w:r>
        <w:rPr>
          <w:rFonts w:eastAsia="MS Mincho"/>
          <w:b/>
          <w:bCs/>
          <w:color w:val="000000"/>
          <w:spacing w:val="0"/>
          <w:lang w:val="es-ES"/>
        </w:rPr>
        <w:t>49</w:t>
      </w:r>
      <w:r w:rsidRPr="00542DC9">
        <w:rPr>
          <w:rFonts w:eastAsia="MS Mincho"/>
          <w:color w:val="000000"/>
          <w:spacing w:val="0"/>
          <w:lang w:val="es-ES"/>
        </w:rPr>
        <w:t xml:space="preserve"> elaborado por la Dirección de Presupuestos del Ministerio de H</w:t>
      </w:r>
      <w:r>
        <w:rPr>
          <w:rFonts w:eastAsia="MS Mincho"/>
          <w:color w:val="000000"/>
          <w:spacing w:val="0"/>
          <w:lang w:val="es-ES"/>
        </w:rPr>
        <w:t>acienda, de 31</w:t>
      </w:r>
      <w:r w:rsidRPr="00542DC9">
        <w:rPr>
          <w:rFonts w:eastAsia="MS Mincho"/>
          <w:color w:val="000000"/>
          <w:spacing w:val="0"/>
          <w:lang w:val="es-ES"/>
        </w:rPr>
        <w:t xml:space="preserve"> de enero de 2025, señala lo siguiente:</w:t>
      </w:r>
    </w:p>
    <w:p w:rsidR="00542DC9" w:rsidRDefault="00542DC9" w:rsidP="00542DC9">
      <w:pPr>
        <w:widowControl w:val="0"/>
        <w:tabs>
          <w:tab w:val="left" w:pos="0"/>
        </w:tabs>
        <w:rPr>
          <w:rFonts w:eastAsia="MS Mincho"/>
          <w:color w:val="000000"/>
          <w:spacing w:val="0"/>
          <w:lang w:val="es-ES"/>
        </w:rPr>
      </w:pPr>
    </w:p>
    <w:p w:rsidR="00542DC9" w:rsidRPr="004049E8" w:rsidRDefault="00542DC9" w:rsidP="00542DC9">
      <w:pPr>
        <w:rPr>
          <w:rFonts w:cs="Arial"/>
          <w:b/>
        </w:rPr>
      </w:pPr>
      <w:bookmarkStart w:id="18" w:name="bookmark3"/>
      <w:r>
        <w:rPr>
          <w:rFonts w:cs="Arial"/>
        </w:rPr>
        <w:t>“</w:t>
      </w:r>
      <w:r w:rsidRPr="004049E8">
        <w:rPr>
          <w:rFonts w:cs="Arial"/>
          <w:b/>
        </w:rPr>
        <w:t>I. Antecedentes</w:t>
      </w:r>
      <w:bookmarkEnd w:id="18"/>
    </w:p>
    <w:p w:rsidR="00542DC9" w:rsidRDefault="00542DC9" w:rsidP="00542DC9">
      <w:pPr>
        <w:rPr>
          <w:rFonts w:cs="Arial"/>
        </w:rPr>
      </w:pPr>
    </w:p>
    <w:p w:rsidR="00542DC9" w:rsidRDefault="00542DC9" w:rsidP="00542DC9">
      <w:pPr>
        <w:rPr>
          <w:rFonts w:cs="Arial"/>
        </w:rPr>
      </w:pPr>
      <w:r w:rsidRPr="004049E8">
        <w:rPr>
          <w:rFonts w:cs="Arial"/>
        </w:rPr>
        <w:t>El presente proyecto de ley propone otorgar, entre el 1 de enero y el 31 de diciembre de 2025, un bono mensual para el personal que perciba las gratificaciones especiales de riesgo y de reacción táctica de la Policía de Investigaciones de Chile, que será de hasta un 10% y un 2,5% de su sueldo en posesión, respectivamente.</w:t>
      </w:r>
    </w:p>
    <w:p w:rsidR="00542DC9" w:rsidRPr="004049E8" w:rsidRDefault="00542DC9" w:rsidP="00542DC9">
      <w:pPr>
        <w:rPr>
          <w:rFonts w:cs="Arial"/>
        </w:rPr>
      </w:pPr>
    </w:p>
    <w:p w:rsidR="00542DC9" w:rsidRDefault="00542DC9" w:rsidP="00542DC9">
      <w:pPr>
        <w:rPr>
          <w:rFonts w:cs="Arial"/>
        </w:rPr>
      </w:pPr>
      <w:r w:rsidRPr="004049E8">
        <w:rPr>
          <w:rFonts w:cs="Arial"/>
        </w:rPr>
        <w:lastRenderedPageBreak/>
        <w:t>Un decreto dictado por el Ministerio encargado de la Seguridad Pública bajo la fórmula "Por orden del Presidente de la República" y suscrito además por el Ministro o Ministra de Hacienda, establecerá la metodología para determinar el porcentaje específico a pagar a cada funcionario/a.</w:t>
      </w:r>
    </w:p>
    <w:p w:rsidR="00542DC9" w:rsidRPr="004049E8" w:rsidRDefault="00542DC9" w:rsidP="00542DC9">
      <w:pPr>
        <w:rPr>
          <w:rFonts w:cs="Arial"/>
        </w:rPr>
      </w:pPr>
    </w:p>
    <w:p w:rsidR="00542DC9" w:rsidRPr="004049E8" w:rsidRDefault="00542DC9" w:rsidP="00542DC9">
      <w:pPr>
        <w:rPr>
          <w:rFonts w:cs="Arial"/>
          <w:b/>
        </w:rPr>
      </w:pPr>
      <w:bookmarkStart w:id="19" w:name="bookmark4"/>
      <w:r w:rsidRPr="004049E8">
        <w:rPr>
          <w:rFonts w:cs="Arial"/>
          <w:b/>
        </w:rPr>
        <w:t>II. Efecto del proyecto de ley sobre el Presupuesto Fiscal</w:t>
      </w:r>
      <w:bookmarkEnd w:id="19"/>
    </w:p>
    <w:p w:rsidR="00542DC9" w:rsidRDefault="00542DC9" w:rsidP="00542DC9">
      <w:pPr>
        <w:rPr>
          <w:rFonts w:cs="Arial"/>
        </w:rPr>
      </w:pPr>
    </w:p>
    <w:p w:rsidR="00542DC9" w:rsidRPr="004049E8" w:rsidRDefault="00542DC9" w:rsidP="00542DC9">
      <w:pPr>
        <w:rPr>
          <w:rFonts w:cs="Arial"/>
        </w:rPr>
      </w:pPr>
      <w:r w:rsidRPr="004049E8">
        <w:rPr>
          <w:rFonts w:cs="Arial"/>
        </w:rPr>
        <w:t xml:space="preserve">Considerando la dotación vigente de asistentes policiales y oficiales policiales que reciben la gratificación especial de riesgo y de reacción táctica, el presente proyecto de ley irrogará un </w:t>
      </w:r>
      <w:r w:rsidRPr="004049E8">
        <w:rPr>
          <w:rFonts w:cs="Arial"/>
          <w:b/>
        </w:rPr>
        <w:t>mayor gasto fiscal en 2025 de hasta $481.627 miles</w:t>
      </w:r>
      <w:r w:rsidRPr="004049E8">
        <w:rPr>
          <w:rFonts w:cs="Arial"/>
        </w:rPr>
        <w:t>.</w:t>
      </w:r>
    </w:p>
    <w:p w:rsidR="00542DC9" w:rsidRDefault="00542DC9" w:rsidP="00542DC9">
      <w:pPr>
        <w:rPr>
          <w:rFonts w:cs="Arial"/>
        </w:rPr>
      </w:pPr>
    </w:p>
    <w:p w:rsidR="00542DC9" w:rsidRPr="00D67E5D" w:rsidRDefault="00542DC9" w:rsidP="00542DC9">
      <w:pPr>
        <w:rPr>
          <w:rFonts w:cs="Arial"/>
        </w:rPr>
      </w:pPr>
      <w:r w:rsidRPr="004049E8">
        <w:rPr>
          <w:rFonts w:cs="Arial"/>
        </w:rPr>
        <w:t xml:space="preserve">El mayor gasto fiscal que represente la aplicación de esta ley durante su </w:t>
      </w:r>
      <w:r w:rsidRPr="00D67E5D">
        <w:rPr>
          <w:rFonts w:cs="Arial"/>
        </w:rPr>
        <w:t xml:space="preserve">primer año presupuestario de vigencia se financiará con cargo a la partida presupuestaria del Ministerio del Interior y Seguridad Pública. No </w:t>
      </w:r>
      <w:proofErr w:type="gramStart"/>
      <w:r w:rsidRPr="00D67E5D">
        <w:rPr>
          <w:rFonts w:cs="Arial"/>
        </w:rPr>
        <w:t>obstante</w:t>
      </w:r>
      <w:proofErr w:type="gramEnd"/>
      <w:r w:rsidRPr="00D67E5D">
        <w:rPr>
          <w:rFonts w:cs="Arial"/>
        </w:rPr>
        <w:t xml:space="preserve"> lo anterior, el Ministerio de Hacienda con cargo a la partida presupuestaria Tesoro Público, podrá suplementar dicho presupuesto en la parte del gasto que no se pudiere financiar con tales recursos. En los años siguientes, se financiará con cargo a los recursos que se establezcan en las respectivas leyes de presupuestos del Sector Público.</w:t>
      </w:r>
    </w:p>
    <w:p w:rsidR="00542DC9" w:rsidRPr="00D67E5D" w:rsidRDefault="00542DC9" w:rsidP="00542DC9">
      <w:pPr>
        <w:rPr>
          <w:rFonts w:cs="Arial"/>
        </w:rPr>
      </w:pPr>
    </w:p>
    <w:p w:rsidR="00542DC9" w:rsidRPr="004049E8" w:rsidRDefault="00542DC9" w:rsidP="00542DC9">
      <w:pPr>
        <w:rPr>
          <w:rFonts w:cs="Arial"/>
          <w:b/>
        </w:rPr>
      </w:pPr>
      <w:bookmarkStart w:id="20" w:name="bookmark5"/>
      <w:r w:rsidRPr="00D67E5D">
        <w:rPr>
          <w:rFonts w:cs="Arial"/>
          <w:b/>
        </w:rPr>
        <w:t>III. Fuentes de Información</w:t>
      </w:r>
      <w:bookmarkEnd w:id="20"/>
    </w:p>
    <w:p w:rsidR="00542DC9" w:rsidRDefault="00542DC9" w:rsidP="00542DC9">
      <w:pPr>
        <w:rPr>
          <w:rFonts w:cs="Arial"/>
        </w:rPr>
      </w:pPr>
    </w:p>
    <w:p w:rsidR="00542DC9" w:rsidRPr="004049E8" w:rsidRDefault="00542DC9" w:rsidP="00542DC9">
      <w:pPr>
        <w:rPr>
          <w:rFonts w:cs="Arial"/>
        </w:rPr>
      </w:pPr>
      <w:r w:rsidRPr="00D148D2">
        <w:rPr>
          <w:rFonts w:cs="Arial"/>
        </w:rPr>
        <w:t>•</w:t>
      </w:r>
      <w:r>
        <w:rPr>
          <w:rFonts w:cs="Arial"/>
        </w:rPr>
        <w:t xml:space="preserve"> </w:t>
      </w:r>
      <w:r w:rsidRPr="004049E8">
        <w:rPr>
          <w:rFonts w:cs="Arial"/>
        </w:rPr>
        <w:t>Mensaje de S.E. el Presidente de la República con el que inicia un proyecto de ley que establece un bono transitorio para la Policía de Investigaciones de Chile.</w:t>
      </w:r>
    </w:p>
    <w:p w:rsidR="00542DC9" w:rsidRDefault="00542DC9" w:rsidP="00542DC9">
      <w:pPr>
        <w:rPr>
          <w:rFonts w:cs="Arial"/>
        </w:rPr>
      </w:pPr>
    </w:p>
    <w:p w:rsidR="00542DC9" w:rsidRPr="004049E8" w:rsidRDefault="00542DC9" w:rsidP="00542DC9">
      <w:pPr>
        <w:rPr>
          <w:rFonts w:cs="Arial"/>
        </w:rPr>
      </w:pPr>
      <w:r w:rsidRPr="00D148D2">
        <w:rPr>
          <w:rFonts w:cs="Arial"/>
        </w:rPr>
        <w:t>•</w:t>
      </w:r>
      <w:r>
        <w:rPr>
          <w:rFonts w:cs="Arial"/>
        </w:rPr>
        <w:t xml:space="preserve"> </w:t>
      </w:r>
      <w:r w:rsidRPr="004049E8">
        <w:rPr>
          <w:rFonts w:cs="Arial"/>
        </w:rPr>
        <w:t xml:space="preserve">Proyección de costos del bono transitorio 2025 para la PDI. Policía de Investigaciones, </w:t>
      </w:r>
      <w:proofErr w:type="gramStart"/>
      <w:r w:rsidRPr="004049E8">
        <w:rPr>
          <w:rFonts w:cs="Arial"/>
        </w:rPr>
        <w:t>Enero</w:t>
      </w:r>
      <w:proofErr w:type="gramEnd"/>
      <w:r w:rsidRPr="004049E8">
        <w:rPr>
          <w:rFonts w:cs="Arial"/>
        </w:rPr>
        <w:t xml:space="preserve"> 2025.</w:t>
      </w:r>
    </w:p>
    <w:p w:rsidR="00542DC9" w:rsidRDefault="00542DC9" w:rsidP="00542DC9">
      <w:pPr>
        <w:rPr>
          <w:rFonts w:cs="Arial"/>
        </w:rPr>
      </w:pPr>
    </w:p>
    <w:p w:rsidR="00542DC9" w:rsidRPr="004049E8" w:rsidRDefault="00542DC9" w:rsidP="00542DC9">
      <w:pPr>
        <w:rPr>
          <w:rFonts w:cs="Arial"/>
        </w:rPr>
      </w:pPr>
      <w:r w:rsidRPr="00D148D2">
        <w:rPr>
          <w:rFonts w:cs="Arial"/>
        </w:rPr>
        <w:t>•</w:t>
      </w:r>
      <w:r>
        <w:rPr>
          <w:rFonts w:cs="Arial"/>
        </w:rPr>
        <w:t xml:space="preserve"> </w:t>
      </w:r>
      <w:r w:rsidRPr="004049E8">
        <w:rPr>
          <w:rFonts w:cs="Arial"/>
        </w:rPr>
        <w:t>Ley de Presupuestos del Sector Público, año 2025.</w:t>
      </w:r>
      <w:r>
        <w:rPr>
          <w:rFonts w:cs="Arial"/>
        </w:rPr>
        <w:t>”.</w:t>
      </w:r>
    </w:p>
    <w:p w:rsidR="00542DC9" w:rsidRDefault="00542DC9" w:rsidP="002F51A7">
      <w:pPr>
        <w:rPr>
          <w:rFonts w:cs="Arial"/>
          <w:color w:val="000000"/>
        </w:rPr>
      </w:pPr>
    </w:p>
    <w:p w:rsidR="00542DC9" w:rsidRDefault="00542DC9" w:rsidP="002F51A7">
      <w:pPr>
        <w:rPr>
          <w:rFonts w:cs="Arial"/>
          <w:color w:val="000000"/>
        </w:rPr>
      </w:pPr>
    </w:p>
    <w:p w:rsidR="00B0153F" w:rsidRPr="007C08AD" w:rsidRDefault="00B0153F" w:rsidP="002F51A7">
      <w:pPr>
        <w:rPr>
          <w:rFonts w:cs="Arial"/>
          <w:color w:val="000000"/>
        </w:rPr>
      </w:pPr>
      <w:r w:rsidRPr="007C08AD">
        <w:rPr>
          <w:rFonts w:cs="Arial"/>
          <w:color w:val="000000"/>
        </w:rPr>
        <w:t xml:space="preserve">Se deja </w:t>
      </w:r>
      <w:r w:rsidRPr="00542DC9">
        <w:rPr>
          <w:rFonts w:cs="Arial"/>
        </w:rPr>
        <w:t xml:space="preserve">constancia </w:t>
      </w:r>
      <w:r w:rsidR="00542DC9" w:rsidRPr="00542DC9">
        <w:rPr>
          <w:rFonts w:cs="Arial"/>
        </w:rPr>
        <w:t>del</w:t>
      </w:r>
      <w:r w:rsidRPr="00542DC9">
        <w:rPr>
          <w:rFonts w:cs="Arial"/>
        </w:rPr>
        <w:t xml:space="preserve"> </w:t>
      </w:r>
      <w:r w:rsidR="00542DC9" w:rsidRPr="00542DC9">
        <w:rPr>
          <w:rFonts w:cs="Arial"/>
        </w:rPr>
        <w:t>precedente informe</w:t>
      </w:r>
      <w:r w:rsidRPr="00542DC9">
        <w:rPr>
          <w:rFonts w:cs="Arial"/>
        </w:rPr>
        <w:t xml:space="preserve"> financiero, en cumplimiento de lo dispuesto por el artículo 17, inciso segundo, de la ley orgánica </w:t>
      </w:r>
      <w:r w:rsidRPr="007C08AD">
        <w:rPr>
          <w:rFonts w:cs="Arial"/>
          <w:color w:val="000000"/>
        </w:rPr>
        <w:t>constitucional del Congreso Nacio</w:t>
      </w:r>
      <w:r w:rsidR="007D6CFF" w:rsidRPr="007C08AD">
        <w:rPr>
          <w:rFonts w:cs="Arial"/>
          <w:color w:val="000000"/>
        </w:rPr>
        <w:t>nal.</w:t>
      </w:r>
    </w:p>
    <w:p w:rsidR="00B0153F" w:rsidRPr="007C08AD" w:rsidRDefault="00B0153F" w:rsidP="00B0153F">
      <w:pPr>
        <w:rPr>
          <w:rFonts w:cs="Arial"/>
          <w:color w:val="000000"/>
        </w:rPr>
      </w:pPr>
    </w:p>
    <w:p w:rsidR="00FD7FC5" w:rsidRPr="007C08AD" w:rsidRDefault="00FD7FC5" w:rsidP="00E72869">
      <w:pPr>
        <w:tabs>
          <w:tab w:val="left" w:pos="0"/>
          <w:tab w:val="left" w:pos="2835"/>
        </w:tabs>
        <w:ind w:firstLine="0"/>
        <w:jc w:val="center"/>
        <w:rPr>
          <w:color w:val="000000"/>
        </w:rPr>
      </w:pPr>
      <w:r w:rsidRPr="007C08AD">
        <w:rPr>
          <w:color w:val="000000"/>
        </w:rPr>
        <w:t xml:space="preserve"> - - - </w:t>
      </w:r>
    </w:p>
    <w:p w:rsidR="00BF168C" w:rsidRPr="007C08AD" w:rsidRDefault="00BF168C" w:rsidP="009C148C">
      <w:pPr>
        <w:tabs>
          <w:tab w:val="left" w:pos="0"/>
          <w:tab w:val="left" w:pos="2835"/>
        </w:tabs>
        <w:rPr>
          <w:color w:val="000000"/>
        </w:rPr>
      </w:pPr>
    </w:p>
    <w:p w:rsidR="009C148C" w:rsidRPr="007C08AD" w:rsidRDefault="009C148C" w:rsidP="00606A56">
      <w:pPr>
        <w:pStyle w:val="Ttulo"/>
      </w:pPr>
      <w:bookmarkStart w:id="21" w:name="_Toc80957988"/>
      <w:bookmarkStart w:id="22" w:name="textoproyecto"/>
      <w:r w:rsidRPr="007C08AD">
        <w:t>TEXTO DEL PROYECTO</w:t>
      </w:r>
      <w:bookmarkEnd w:id="21"/>
    </w:p>
    <w:bookmarkEnd w:id="22"/>
    <w:p w:rsidR="009C148C" w:rsidRPr="007C08AD" w:rsidRDefault="009C148C" w:rsidP="009C148C">
      <w:pPr>
        <w:tabs>
          <w:tab w:val="left" w:pos="0"/>
          <w:tab w:val="left" w:pos="2835"/>
        </w:tabs>
        <w:rPr>
          <w:color w:val="000000"/>
        </w:rPr>
      </w:pPr>
    </w:p>
    <w:p w:rsidR="00F72C6E" w:rsidRPr="007C08AD" w:rsidRDefault="00E1357F" w:rsidP="00A067D7">
      <w:pPr>
        <w:rPr>
          <w:rFonts w:cs="Arial"/>
          <w:color w:val="000000"/>
        </w:rPr>
      </w:pPr>
      <w:r w:rsidRPr="007C08AD">
        <w:rPr>
          <w:color w:val="000000"/>
        </w:rPr>
        <w:t xml:space="preserve">En mérito de los acuerdos precedentemente expuestos, </w:t>
      </w:r>
      <w:r w:rsidR="00B2434A" w:rsidRPr="007C08AD">
        <w:rPr>
          <w:color w:val="000000"/>
        </w:rPr>
        <w:t xml:space="preserve">la </w:t>
      </w:r>
      <w:r w:rsidR="002F51A7">
        <w:rPr>
          <w:color w:val="000000"/>
        </w:rPr>
        <w:t>Comisión de</w:t>
      </w:r>
      <w:r w:rsidR="00542DC9">
        <w:rPr>
          <w:color w:val="000000"/>
        </w:rPr>
        <w:t xml:space="preserve"> Hacienda </w:t>
      </w:r>
      <w:r w:rsidR="00B2434A" w:rsidRPr="007C08AD">
        <w:rPr>
          <w:color w:val="000000"/>
        </w:rPr>
        <w:t>tiene el honor de proponer</w:t>
      </w:r>
      <w:r w:rsidRPr="007C08AD">
        <w:rPr>
          <w:color w:val="000000"/>
        </w:rPr>
        <w:t xml:space="preserve"> </w:t>
      </w:r>
      <w:r w:rsidR="00B2434A" w:rsidRPr="007C08AD">
        <w:rPr>
          <w:color w:val="000000"/>
        </w:rPr>
        <w:t>a la Sala la aprobación</w:t>
      </w:r>
      <w:r w:rsidRPr="007C08AD">
        <w:rPr>
          <w:color w:val="000000"/>
        </w:rPr>
        <w:t xml:space="preserve">, en general, </w:t>
      </w:r>
      <w:r w:rsidR="00B2434A" w:rsidRPr="007C08AD">
        <w:rPr>
          <w:color w:val="000000"/>
        </w:rPr>
        <w:t>d</w:t>
      </w:r>
      <w:r w:rsidRPr="007C08AD">
        <w:rPr>
          <w:color w:val="000000"/>
        </w:rPr>
        <w:t>el siguiente proyecto de ley:</w:t>
      </w:r>
    </w:p>
    <w:p w:rsidR="00B11686" w:rsidRPr="007C08AD" w:rsidRDefault="00B11686" w:rsidP="00BF168C">
      <w:pPr>
        <w:tabs>
          <w:tab w:val="left" w:pos="2835"/>
        </w:tabs>
        <w:rPr>
          <w:color w:val="000000"/>
        </w:rPr>
      </w:pPr>
    </w:p>
    <w:p w:rsidR="009C6DAE" w:rsidRPr="007C08AD" w:rsidRDefault="009C6DAE" w:rsidP="00E72869">
      <w:pPr>
        <w:tabs>
          <w:tab w:val="left" w:pos="0"/>
          <w:tab w:val="left" w:pos="2835"/>
        </w:tabs>
        <w:ind w:firstLine="0"/>
        <w:jc w:val="center"/>
        <w:rPr>
          <w:color w:val="000000"/>
        </w:rPr>
      </w:pPr>
      <w:r w:rsidRPr="007C08AD">
        <w:rPr>
          <w:color w:val="000000"/>
        </w:rPr>
        <w:t xml:space="preserve">- - - </w:t>
      </w:r>
    </w:p>
    <w:p w:rsidR="009C6DAE" w:rsidRPr="007C08AD" w:rsidRDefault="009C6DAE" w:rsidP="00FD7FC5">
      <w:pPr>
        <w:tabs>
          <w:tab w:val="left" w:pos="2835"/>
        </w:tabs>
        <w:rPr>
          <w:color w:val="000000"/>
        </w:rPr>
      </w:pPr>
    </w:p>
    <w:p w:rsidR="00FD7FC5" w:rsidRPr="007C08AD" w:rsidRDefault="00FD7FC5" w:rsidP="00E10C23">
      <w:pPr>
        <w:pStyle w:val="Ttulo3"/>
        <w:tabs>
          <w:tab w:val="clear" w:pos="-720"/>
          <w:tab w:val="left" w:pos="2835"/>
        </w:tabs>
        <w:ind w:firstLine="0"/>
        <w:rPr>
          <w:b w:val="0"/>
          <w:color w:val="000000"/>
        </w:rPr>
      </w:pPr>
      <w:bookmarkStart w:id="23" w:name="_Toc80957989"/>
      <w:r w:rsidRPr="007C08AD">
        <w:rPr>
          <w:b w:val="0"/>
          <w:color w:val="000000"/>
        </w:rPr>
        <w:t>PROYECTO DE LEY</w:t>
      </w:r>
      <w:r w:rsidR="00BF168C">
        <w:rPr>
          <w:b w:val="0"/>
          <w:color w:val="000000"/>
        </w:rPr>
        <w:t>:</w:t>
      </w:r>
      <w:bookmarkEnd w:id="23"/>
    </w:p>
    <w:p w:rsidR="00FD7FC5" w:rsidRPr="007C08AD" w:rsidRDefault="00FD7FC5" w:rsidP="00FD7FC5">
      <w:pPr>
        <w:rPr>
          <w:color w:val="000000"/>
        </w:rPr>
      </w:pPr>
    </w:p>
    <w:p w:rsidR="002C4412" w:rsidRDefault="002C4412" w:rsidP="002C4412">
      <w:pPr>
        <w:rPr>
          <w:rFonts w:cs="Arial"/>
        </w:rPr>
      </w:pPr>
      <w:r w:rsidRPr="009710B6">
        <w:rPr>
          <w:rFonts w:cs="Arial"/>
        </w:rPr>
        <w:t xml:space="preserve">“Artículo único.- </w:t>
      </w:r>
      <w:proofErr w:type="spellStart"/>
      <w:r w:rsidRPr="009710B6">
        <w:rPr>
          <w:rFonts w:cs="Arial"/>
        </w:rPr>
        <w:t>Otórgase</w:t>
      </w:r>
      <w:proofErr w:type="spellEnd"/>
      <w:r w:rsidRPr="009710B6">
        <w:rPr>
          <w:rFonts w:cs="Arial"/>
        </w:rPr>
        <w:t>, a partir del 1 de enero y hasta el 31 de diciembre de 2025, un bono mensual, de cargo fiscal, al Personal de Planta de la Policía de Investigaciones de Chile que perciba las gratificaciones especiales de Riesgo y de Reacción Táctica, establecidas en las letras a) y d) del artículo 14 del decreto N° 135, del Ministerio de Defensa Nacional, de 2009, que Aprueba el reglamento de asignaciones, sobresueldos, gratificaciones especiales y otros derechos económicos del personal de la Policía de Investigaciones de Chile.</w:t>
      </w:r>
    </w:p>
    <w:p w:rsidR="002C4412" w:rsidRPr="009710B6" w:rsidRDefault="002C4412" w:rsidP="002C4412">
      <w:pPr>
        <w:rPr>
          <w:rFonts w:cs="Arial"/>
        </w:rPr>
      </w:pPr>
    </w:p>
    <w:p w:rsidR="002C4412" w:rsidRDefault="002C4412" w:rsidP="002C4412">
      <w:pPr>
        <w:rPr>
          <w:rFonts w:cs="Arial"/>
        </w:rPr>
      </w:pPr>
      <w:r w:rsidRPr="009710B6">
        <w:rPr>
          <w:rFonts w:cs="Arial"/>
        </w:rPr>
        <w:t>El monto mensual del bono ascenderá al valor que resulte de aplicar los siguientes porcentajes al sueldo en posesión, según corresponda:</w:t>
      </w:r>
    </w:p>
    <w:p w:rsidR="002C4412" w:rsidRPr="009710B6" w:rsidRDefault="002C4412" w:rsidP="002C4412">
      <w:pPr>
        <w:rPr>
          <w:rFonts w:cs="Arial"/>
        </w:rPr>
      </w:pPr>
    </w:p>
    <w:p w:rsidR="002C4412" w:rsidRPr="009710B6" w:rsidRDefault="002C4412" w:rsidP="002C4412">
      <w:pPr>
        <w:ind w:firstLine="0"/>
        <w:jc w:val="center"/>
        <w:rPr>
          <w:rFonts w:cs="Arial"/>
        </w:rPr>
      </w:pPr>
      <w:r w:rsidRPr="009710B6">
        <w:rPr>
          <w:rFonts w:cs="Arial"/>
          <w:noProof/>
          <w:lang w:val="es-CL" w:eastAsia="es-CL"/>
        </w:rPr>
        <w:drawing>
          <wp:inline distT="0" distB="0" distL="0" distR="0" wp14:anchorId="31EA56AB" wp14:editId="060B9C77">
            <wp:extent cx="4748651" cy="13710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57376" cy="1373548"/>
                    </a:xfrm>
                    <a:prstGeom prst="rect">
                      <a:avLst/>
                    </a:prstGeom>
                  </pic:spPr>
                </pic:pic>
              </a:graphicData>
            </a:graphic>
          </wp:inline>
        </w:drawing>
      </w:r>
    </w:p>
    <w:p w:rsidR="002C4412" w:rsidRPr="009710B6" w:rsidRDefault="002C4412" w:rsidP="002C4412">
      <w:pPr>
        <w:rPr>
          <w:rFonts w:cs="Arial"/>
        </w:rPr>
      </w:pPr>
    </w:p>
    <w:p w:rsidR="002C4412" w:rsidRPr="009710B6" w:rsidRDefault="002C4412" w:rsidP="002C4412">
      <w:pPr>
        <w:rPr>
          <w:rFonts w:cs="Arial"/>
        </w:rPr>
      </w:pPr>
      <w:r w:rsidRPr="009710B6">
        <w:rPr>
          <w:rFonts w:cs="Arial"/>
        </w:rPr>
        <w:t>Un decreto dictado por el Ministerio de Seguridad Pública, bajo la fórmula “por orden del Presidente de la República” y suscrito además por el Ministro o Ministra de Hacienda, establecerá la metodología para determinar los porcentajes a pagar por concepto del bono señalado en este artículo, los que no podrán exceder de los señalados en la tabla contenida en el inciso anterior, y toda otra norma necesaria para la implementación de este artículo.</w:t>
      </w:r>
    </w:p>
    <w:p w:rsidR="002C4412" w:rsidRDefault="002C4412" w:rsidP="002C4412">
      <w:pPr>
        <w:rPr>
          <w:rFonts w:cs="Arial"/>
        </w:rPr>
      </w:pPr>
    </w:p>
    <w:p w:rsidR="002C4412" w:rsidRPr="009710B6" w:rsidRDefault="002C4412" w:rsidP="002C4412">
      <w:pPr>
        <w:rPr>
          <w:rFonts w:cs="Arial"/>
        </w:rPr>
      </w:pPr>
      <w:r w:rsidRPr="009710B6">
        <w:rPr>
          <w:rFonts w:cs="Arial"/>
        </w:rPr>
        <w:t>Este bono será tributable, no imponible, no se considerará para el cálculo de la asignación de zona ni servirá como base de cálculo para el otorgamiento de ningún otro beneficio pecuniario al que tenga derecho dicho personal, constituya o no remuneración. Tampoco se considerará para el cálculo de pensiones de retiro, incluyéndose las pensiones de retiro por invalidez de primera, segunda y tercera clase, montepíos, indemnización por desahucio, otras indemnizaciones establecidas en el Estatuto de Personal de la Policía de Investigaciones, bono de permanencia y cualquier otro de similar naturaleza a los antes señalados.</w:t>
      </w:r>
    </w:p>
    <w:p w:rsidR="002C4412" w:rsidRDefault="002C4412" w:rsidP="002C4412">
      <w:pPr>
        <w:rPr>
          <w:rFonts w:cs="Arial"/>
        </w:rPr>
      </w:pPr>
    </w:p>
    <w:p w:rsidR="002C4412" w:rsidRPr="009710B6" w:rsidRDefault="002C4412" w:rsidP="002C4412">
      <w:pPr>
        <w:rPr>
          <w:rFonts w:cs="Arial"/>
        </w:rPr>
      </w:pPr>
      <w:r w:rsidRPr="009710B6">
        <w:rPr>
          <w:rFonts w:cs="Arial"/>
        </w:rPr>
        <w:t>El beneficio a que se refiere este artículo no se otorgará al personal de instituciones distintas de la Policía de Investigaciones de Chile, aun cuando le sea aplicable, directa o indirectamente, la legislación relativa a la Policía de Investigaciones de Chile.</w:t>
      </w:r>
    </w:p>
    <w:p w:rsidR="002C4412" w:rsidRPr="009710B6" w:rsidRDefault="002C4412" w:rsidP="002C4412">
      <w:pPr>
        <w:jc w:val="center"/>
        <w:rPr>
          <w:rFonts w:cs="Arial"/>
          <w:b/>
        </w:rPr>
      </w:pPr>
      <w:bookmarkStart w:id="24" w:name="bookmark7"/>
    </w:p>
    <w:p w:rsidR="002C4412" w:rsidRPr="00E7707D" w:rsidRDefault="002C4412" w:rsidP="00855102">
      <w:pPr>
        <w:ind w:firstLine="0"/>
        <w:jc w:val="center"/>
        <w:rPr>
          <w:rFonts w:cs="Arial"/>
        </w:rPr>
      </w:pPr>
      <w:r w:rsidRPr="00E7707D">
        <w:rPr>
          <w:rFonts w:cs="Arial"/>
        </w:rPr>
        <w:t>DISPOSICIONES TRANSITORIAS</w:t>
      </w:r>
      <w:bookmarkEnd w:id="24"/>
    </w:p>
    <w:p w:rsidR="002C4412" w:rsidRPr="009710B6" w:rsidRDefault="002C4412" w:rsidP="002C4412">
      <w:pPr>
        <w:jc w:val="center"/>
        <w:rPr>
          <w:rFonts w:cs="Arial"/>
          <w:b/>
        </w:rPr>
      </w:pPr>
    </w:p>
    <w:p w:rsidR="002C4412" w:rsidRPr="009710B6" w:rsidRDefault="002C4412" w:rsidP="002C4412">
      <w:pPr>
        <w:rPr>
          <w:rFonts w:cs="Arial"/>
        </w:rPr>
      </w:pPr>
      <w:r w:rsidRPr="009710B6">
        <w:rPr>
          <w:rFonts w:cs="Arial"/>
        </w:rPr>
        <w:lastRenderedPageBreak/>
        <w:t xml:space="preserve">Artículo </w:t>
      </w:r>
      <w:proofErr w:type="gramStart"/>
      <w:r w:rsidRPr="009710B6">
        <w:rPr>
          <w:rFonts w:cs="Arial"/>
        </w:rPr>
        <w:t>primero</w:t>
      </w:r>
      <w:r w:rsidR="00C8352C">
        <w:rPr>
          <w:rFonts w:cs="Arial"/>
        </w:rPr>
        <w:t>.</w:t>
      </w:r>
      <w:r w:rsidRPr="009710B6">
        <w:rPr>
          <w:rFonts w:cs="Arial"/>
        </w:rPr>
        <w:t>-</w:t>
      </w:r>
      <w:proofErr w:type="gramEnd"/>
      <w:r w:rsidRPr="009710B6">
        <w:rPr>
          <w:rFonts w:cs="Arial"/>
        </w:rPr>
        <w:t xml:space="preserve"> El decreto al que se refiere el inciso tercero del artículo único de la presente ley deberá ser dictado en el plazo de un mes, contado desde su publicación en el Diario Oficial.</w:t>
      </w:r>
    </w:p>
    <w:p w:rsidR="002C4412" w:rsidRDefault="002C4412" w:rsidP="002C4412">
      <w:pPr>
        <w:rPr>
          <w:rFonts w:cs="Arial"/>
        </w:rPr>
      </w:pPr>
    </w:p>
    <w:p w:rsidR="002C4412" w:rsidRPr="009710B6" w:rsidRDefault="002C4412" w:rsidP="002C4412">
      <w:pPr>
        <w:rPr>
          <w:rFonts w:cs="Arial"/>
        </w:rPr>
      </w:pPr>
      <w:r w:rsidRPr="009710B6">
        <w:rPr>
          <w:rFonts w:cs="Arial"/>
        </w:rPr>
        <w:t>Artículo segundo.- El bono regulado en el artículo único de la presente ley comenzará a pagarse al mes siguiente de la publicación en el Diario Oficial del decreto referido en el artículo anterior y se aplicará a aquellos funcionarios policiales que, durante el 1 de enero al 31 de diciembre de 2025, perciban las gratificaciones especiales de Riesgo y Reacción Táctica, según lo dispuesto en las letras a) y d) del artículo 14 del decreto N° 135, de 2009, del Ministerio de Defensa Nacional, que Aprueba el reglamento de asignaciones, sobresueldos, gratificaciones especiales y otros derechos económicos del personal de la Policía de Investigaciones de Chile.</w:t>
      </w:r>
    </w:p>
    <w:p w:rsidR="002C4412" w:rsidRDefault="002C4412" w:rsidP="002C4412">
      <w:pPr>
        <w:rPr>
          <w:rFonts w:cs="Arial"/>
        </w:rPr>
      </w:pPr>
    </w:p>
    <w:p w:rsidR="002C4412" w:rsidRPr="009710B6" w:rsidRDefault="002C4412" w:rsidP="002C4412">
      <w:pPr>
        <w:rPr>
          <w:rFonts w:cs="Arial"/>
        </w:rPr>
      </w:pPr>
      <w:r w:rsidRPr="00D67E5D">
        <w:rPr>
          <w:rFonts w:cs="Arial"/>
        </w:rPr>
        <w:t xml:space="preserve">Artículo tercero. - El mayor gasto fiscal que represente la aplicación de esta ley durante su primer año presupuestario de vigencia se financiará con cargo a la partida presupuestaria del Ministerio del Interior y Seguridad Pública. No </w:t>
      </w:r>
      <w:proofErr w:type="gramStart"/>
      <w:r w:rsidRPr="00D67E5D">
        <w:rPr>
          <w:rFonts w:cs="Arial"/>
        </w:rPr>
        <w:t>obstante</w:t>
      </w:r>
      <w:proofErr w:type="gramEnd"/>
      <w:r w:rsidRPr="00D67E5D">
        <w:rPr>
          <w:rFonts w:cs="Arial"/>
        </w:rPr>
        <w:t xml:space="preserve"> lo anterior, el Ministerio de Hacienda, con cargo a la partida presupuestaria Tesoro Público, podrá suplementar dicho presupuesto en la parte del gasto que no se pudiere financiar con tales recursos. En los años siguientes, se financiará con cargo a los recursos que se establezcan en las respectivas Leyes de Presupuestos del Sector Público.”.</w:t>
      </w:r>
    </w:p>
    <w:p w:rsidR="00FD7FC5" w:rsidRPr="007C08AD" w:rsidRDefault="00FD7FC5" w:rsidP="002C4412">
      <w:pPr>
        <w:spacing w:line="240" w:lineRule="atLeast"/>
        <w:ind w:firstLine="0"/>
        <w:rPr>
          <w:rFonts w:cs="Arial"/>
          <w:color w:val="000000"/>
          <w:sz w:val="16"/>
          <w:szCs w:val="16"/>
          <w:lang w:val="es-CL"/>
        </w:rPr>
      </w:pPr>
    </w:p>
    <w:p w:rsidR="007250B4" w:rsidRPr="007C08AD" w:rsidRDefault="007250B4" w:rsidP="00BF168C">
      <w:pPr>
        <w:tabs>
          <w:tab w:val="left" w:pos="0"/>
          <w:tab w:val="left" w:pos="2835"/>
        </w:tabs>
        <w:rPr>
          <w:color w:val="000000"/>
        </w:rPr>
      </w:pPr>
    </w:p>
    <w:p w:rsidR="00D420FF" w:rsidRDefault="00D420FF" w:rsidP="00E72869">
      <w:pPr>
        <w:tabs>
          <w:tab w:val="left" w:pos="0"/>
          <w:tab w:val="left" w:pos="2835"/>
        </w:tabs>
        <w:ind w:firstLine="0"/>
        <w:jc w:val="center"/>
        <w:rPr>
          <w:color w:val="000000"/>
        </w:rPr>
      </w:pPr>
      <w:r w:rsidRPr="007C08AD">
        <w:rPr>
          <w:color w:val="000000"/>
        </w:rPr>
        <w:t xml:space="preserve">- - - </w:t>
      </w:r>
    </w:p>
    <w:p w:rsidR="00855102" w:rsidRDefault="00855102" w:rsidP="00E72869">
      <w:pPr>
        <w:tabs>
          <w:tab w:val="left" w:pos="0"/>
          <w:tab w:val="left" w:pos="2835"/>
        </w:tabs>
        <w:ind w:firstLine="0"/>
        <w:jc w:val="center"/>
        <w:rPr>
          <w:color w:val="000000"/>
        </w:rPr>
      </w:pPr>
    </w:p>
    <w:p w:rsidR="00855102" w:rsidRDefault="00855102" w:rsidP="00E72869">
      <w:pPr>
        <w:tabs>
          <w:tab w:val="left" w:pos="0"/>
          <w:tab w:val="left" w:pos="2835"/>
        </w:tabs>
        <w:ind w:firstLine="0"/>
        <w:jc w:val="center"/>
        <w:rPr>
          <w:color w:val="000000"/>
        </w:rPr>
      </w:pPr>
    </w:p>
    <w:p w:rsidR="00855102" w:rsidRDefault="00855102" w:rsidP="00E72869">
      <w:pPr>
        <w:tabs>
          <w:tab w:val="left" w:pos="0"/>
          <w:tab w:val="left" w:pos="2835"/>
        </w:tabs>
        <w:ind w:firstLine="0"/>
        <w:jc w:val="center"/>
        <w:rPr>
          <w:color w:val="000000"/>
        </w:rPr>
      </w:pPr>
    </w:p>
    <w:p w:rsidR="00855102" w:rsidRDefault="00855102"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D67E5D" w:rsidRDefault="00D67E5D" w:rsidP="00E72869">
      <w:pPr>
        <w:tabs>
          <w:tab w:val="left" w:pos="0"/>
          <w:tab w:val="left" w:pos="2835"/>
        </w:tabs>
        <w:ind w:firstLine="0"/>
        <w:jc w:val="center"/>
        <w:rPr>
          <w:color w:val="000000"/>
        </w:rPr>
      </w:pPr>
    </w:p>
    <w:p w:rsidR="00C94391" w:rsidRDefault="00C94391" w:rsidP="00E72869">
      <w:pPr>
        <w:tabs>
          <w:tab w:val="left" w:pos="0"/>
          <w:tab w:val="left" w:pos="2835"/>
        </w:tabs>
        <w:ind w:firstLine="0"/>
        <w:jc w:val="center"/>
        <w:rPr>
          <w:color w:val="000000"/>
        </w:rPr>
      </w:pPr>
    </w:p>
    <w:p w:rsidR="00F50124" w:rsidRPr="007C08AD" w:rsidRDefault="00F50124" w:rsidP="00606A56">
      <w:pPr>
        <w:pStyle w:val="Ttulo"/>
      </w:pPr>
      <w:bookmarkStart w:id="25" w:name="_Toc80957990"/>
      <w:bookmarkStart w:id="26" w:name="acordado"/>
      <w:r w:rsidRPr="00606A56">
        <w:lastRenderedPageBreak/>
        <w:t>ACORDADO</w:t>
      </w:r>
      <w:bookmarkEnd w:id="25"/>
    </w:p>
    <w:bookmarkEnd w:id="26"/>
    <w:p w:rsidR="00FD7FC5" w:rsidRPr="007C08AD" w:rsidRDefault="00FD7FC5" w:rsidP="00D420FF">
      <w:pPr>
        <w:rPr>
          <w:color w:val="000000"/>
        </w:rPr>
      </w:pPr>
    </w:p>
    <w:p w:rsidR="00D67E5D" w:rsidRPr="00D67E5D" w:rsidRDefault="009B33C1" w:rsidP="00FD7FC5">
      <w:r w:rsidRPr="00D67E5D">
        <w:t>Acordado en sesión c</w:t>
      </w:r>
      <w:r w:rsidR="00542DC9" w:rsidRPr="00D67E5D">
        <w:t xml:space="preserve">elebrada </w:t>
      </w:r>
      <w:r w:rsidR="002C50C8" w:rsidRPr="00D67E5D">
        <w:t>el día 26 de marzo</w:t>
      </w:r>
      <w:r w:rsidR="00542DC9" w:rsidRPr="00D67E5D">
        <w:t xml:space="preserve"> de 2025</w:t>
      </w:r>
      <w:r w:rsidRPr="00D67E5D">
        <w:t xml:space="preserve">, con asistencia de los Honorables Senadores </w:t>
      </w:r>
      <w:r w:rsidR="00D67E5D" w:rsidRPr="00D67E5D">
        <w:t xml:space="preserve">señores José García </w:t>
      </w:r>
      <w:proofErr w:type="spellStart"/>
      <w:r w:rsidR="00D67E5D" w:rsidRPr="00D67E5D">
        <w:t>Ruminot</w:t>
      </w:r>
      <w:proofErr w:type="spellEnd"/>
      <w:r w:rsidR="00D67E5D" w:rsidRPr="00D67E5D">
        <w:t xml:space="preserve"> (Presidente accidental), Felipe </w:t>
      </w:r>
      <w:proofErr w:type="spellStart"/>
      <w:r w:rsidR="00D67E5D" w:rsidRPr="00D67E5D">
        <w:t>Kast</w:t>
      </w:r>
      <w:proofErr w:type="spellEnd"/>
      <w:r w:rsidR="00D67E5D" w:rsidRPr="00D67E5D">
        <w:t xml:space="preserve"> </w:t>
      </w:r>
      <w:proofErr w:type="spellStart"/>
      <w:r w:rsidR="00D67E5D" w:rsidRPr="00D67E5D">
        <w:t>Sommerhoff</w:t>
      </w:r>
      <w:proofErr w:type="spellEnd"/>
      <w:r w:rsidR="00D67E5D" w:rsidRPr="00D67E5D">
        <w:t xml:space="preserve"> (Presidente), Ricardo Lagos Weber y David Sandoval Plaza.</w:t>
      </w:r>
    </w:p>
    <w:p w:rsidR="00593A57" w:rsidRPr="00593A57" w:rsidRDefault="00593A57" w:rsidP="00FD7FC5">
      <w:pPr>
        <w:rPr>
          <w:color w:val="000000"/>
        </w:rPr>
      </w:pPr>
    </w:p>
    <w:p w:rsidR="00593A57" w:rsidRPr="007C08AD" w:rsidRDefault="00593A57" w:rsidP="00FD7FC5">
      <w:pPr>
        <w:rPr>
          <w:color w:val="000000"/>
          <w:lang w:val="es-CL"/>
        </w:rPr>
      </w:pPr>
    </w:p>
    <w:p w:rsidR="007B2565" w:rsidRPr="00D67E5D" w:rsidRDefault="007B2565" w:rsidP="007B2565">
      <w:pPr>
        <w:ind w:firstLine="2844"/>
      </w:pPr>
      <w:r w:rsidRPr="007C08AD">
        <w:rPr>
          <w:color w:val="000000"/>
        </w:rPr>
        <w:t xml:space="preserve">Sala de la </w:t>
      </w:r>
      <w:r w:rsidRPr="00D67E5D">
        <w:t>Comisión</w:t>
      </w:r>
      <w:r w:rsidR="0089772C" w:rsidRPr="00D67E5D">
        <w:t>,</w:t>
      </w:r>
      <w:r w:rsidR="00593A57" w:rsidRPr="00D67E5D">
        <w:t xml:space="preserve"> a</w:t>
      </w:r>
      <w:r w:rsidR="002C50C8" w:rsidRPr="00D67E5D">
        <w:t xml:space="preserve"> 26 </w:t>
      </w:r>
      <w:r w:rsidR="00593A57" w:rsidRPr="00D67E5D">
        <w:t>d</w:t>
      </w:r>
      <w:r w:rsidR="002C50C8" w:rsidRPr="00D67E5D">
        <w:t>e marzo</w:t>
      </w:r>
      <w:r w:rsidR="00E7707D" w:rsidRPr="00D67E5D">
        <w:t xml:space="preserve"> de 2025</w:t>
      </w:r>
      <w:r w:rsidR="0089772C" w:rsidRPr="00D67E5D">
        <w:t>.</w:t>
      </w:r>
    </w:p>
    <w:p w:rsidR="005C2FAA" w:rsidRPr="007C08AD" w:rsidRDefault="005C2FAA" w:rsidP="00FD7FC5">
      <w:pPr>
        <w:rPr>
          <w:color w:val="000000"/>
        </w:rPr>
      </w:pPr>
    </w:p>
    <w:p w:rsidR="005C2FAA" w:rsidRPr="007C08AD" w:rsidRDefault="005C2FAA" w:rsidP="00FD7FC5">
      <w:pPr>
        <w:rPr>
          <w:color w:val="000000"/>
        </w:rPr>
      </w:pPr>
    </w:p>
    <w:p w:rsidR="005C2FAA" w:rsidRPr="007C08AD" w:rsidRDefault="005C2FAA" w:rsidP="00FD7FC5">
      <w:pPr>
        <w:rPr>
          <w:color w:val="000000"/>
        </w:rPr>
      </w:pPr>
    </w:p>
    <w:p w:rsidR="005C2FAA" w:rsidRPr="007C08AD" w:rsidRDefault="005C2FAA" w:rsidP="00FD7FC5">
      <w:pPr>
        <w:rPr>
          <w:color w:val="000000"/>
        </w:rPr>
      </w:pPr>
    </w:p>
    <w:p w:rsidR="007B2565" w:rsidRPr="007C08AD" w:rsidRDefault="007B2565" w:rsidP="00FD7FC5">
      <w:pPr>
        <w:rPr>
          <w:color w:val="000000"/>
        </w:rPr>
      </w:pPr>
    </w:p>
    <w:p w:rsidR="00FD7FC5" w:rsidRPr="00AC7CF3" w:rsidRDefault="00E7707D" w:rsidP="00606A56">
      <w:pPr>
        <w:pStyle w:val="Ttulo"/>
      </w:pPr>
      <w:r w:rsidRPr="007E4D79">
        <w:rPr>
          <w:noProof/>
          <w:spacing w:val="6"/>
          <w:lang w:val="es-CL" w:eastAsia="es-CL"/>
        </w:rPr>
        <w:drawing>
          <wp:inline distT="0" distB="0" distL="0" distR="0">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004E091C" w:rsidRPr="007C08AD">
        <w:rPr>
          <w:u w:val="single"/>
        </w:rPr>
        <w:br w:type="page"/>
      </w:r>
      <w:bookmarkStart w:id="27" w:name="resumenejecutivo"/>
      <w:bookmarkStart w:id="28" w:name="_Toc80957991"/>
      <w:r w:rsidR="00FD7FC5" w:rsidRPr="00AC7CF3">
        <w:lastRenderedPageBreak/>
        <w:t>RESUMEN EJECUTIVO</w:t>
      </w:r>
      <w:bookmarkEnd w:id="27"/>
      <w:bookmarkEnd w:id="28"/>
    </w:p>
    <w:p w:rsidR="00FD7FC5" w:rsidRPr="007C08AD" w:rsidRDefault="00FD7FC5" w:rsidP="00FD7FC5">
      <w:pPr>
        <w:ind w:left="709" w:hanging="709"/>
        <w:jc w:val="center"/>
        <w:rPr>
          <w:b/>
          <w:color w:val="000000"/>
        </w:rPr>
      </w:pPr>
    </w:p>
    <w:p w:rsidR="00FD7FC5" w:rsidRPr="004B161A" w:rsidRDefault="00FD7FC5" w:rsidP="004B161A">
      <w:pPr>
        <w:tabs>
          <w:tab w:val="left" w:pos="1276"/>
        </w:tabs>
        <w:ind w:firstLine="0"/>
        <w:rPr>
          <w:color w:val="000000"/>
        </w:rPr>
      </w:pPr>
      <w:r w:rsidRPr="007C08AD">
        <w:rPr>
          <w:b/>
          <w:color w:val="000000"/>
        </w:rPr>
        <w:t xml:space="preserve">INFORME DE LA COMISIÓN DE </w:t>
      </w:r>
      <w:r w:rsidR="004B161A">
        <w:rPr>
          <w:b/>
          <w:color w:val="000000"/>
        </w:rPr>
        <w:t>HACIENDA</w:t>
      </w:r>
      <w:r w:rsidR="00C84DD3">
        <w:rPr>
          <w:b/>
          <w:color w:val="000000"/>
        </w:rPr>
        <w:t>,</w:t>
      </w:r>
      <w:r w:rsidR="004B161A" w:rsidRPr="007C08AD">
        <w:rPr>
          <w:b/>
          <w:color w:val="000000"/>
        </w:rPr>
        <w:t xml:space="preserve"> RECAÍDO EN EL PROYECTO DE LEY, EN PRIMER TRÁMITE CONSTITUCIONAL, QUE</w:t>
      </w:r>
      <w:r w:rsidR="004B161A">
        <w:rPr>
          <w:b/>
          <w:color w:val="000000"/>
        </w:rPr>
        <w:t xml:space="preserve"> </w:t>
      </w:r>
      <w:r w:rsidR="004B161A" w:rsidRPr="004B161A">
        <w:rPr>
          <w:b/>
          <w:color w:val="000000"/>
        </w:rPr>
        <w:t>ESTABLECE UN BONO TRANSITORIO PARA LA POLICÍA DE INVESTIGACIONES DE CHILE</w:t>
      </w:r>
      <w:r w:rsidR="004B161A">
        <w:rPr>
          <w:color w:val="000000"/>
        </w:rPr>
        <w:t xml:space="preserve"> </w:t>
      </w:r>
      <w:r w:rsidRPr="007C08AD">
        <w:rPr>
          <w:b/>
          <w:color w:val="000000"/>
        </w:rPr>
        <w:t>(BOLETÍN Nº</w:t>
      </w:r>
      <w:r w:rsidR="004B161A">
        <w:rPr>
          <w:b/>
          <w:color w:val="000000"/>
        </w:rPr>
        <w:t xml:space="preserve"> 17.374-05</w:t>
      </w:r>
      <w:r w:rsidRPr="007C08AD">
        <w:rPr>
          <w:b/>
          <w:color w:val="000000"/>
        </w:rPr>
        <w:t>).</w:t>
      </w:r>
    </w:p>
    <w:p w:rsidR="00FD7FC5" w:rsidRPr="007C08AD" w:rsidRDefault="00BF168C" w:rsidP="00FD7FC5">
      <w:pPr>
        <w:ind w:left="709" w:hanging="709"/>
        <w:rPr>
          <w:color w:val="000000"/>
        </w:rPr>
      </w:pPr>
      <w:r>
        <w:rPr>
          <w:color w:val="000000"/>
        </w:rPr>
        <w:t>_______________________________________________________________</w:t>
      </w:r>
    </w:p>
    <w:p w:rsidR="00BF168C" w:rsidRDefault="00BF168C" w:rsidP="00FD7FC5">
      <w:pPr>
        <w:tabs>
          <w:tab w:val="left" w:pos="1418"/>
        </w:tabs>
        <w:ind w:left="709" w:hanging="709"/>
        <w:rPr>
          <w:b/>
          <w:color w:val="000000"/>
        </w:rPr>
      </w:pPr>
    </w:p>
    <w:p w:rsidR="0047479D" w:rsidRPr="0047479D" w:rsidRDefault="00FD7FC5" w:rsidP="0047479D">
      <w:pPr>
        <w:tabs>
          <w:tab w:val="left" w:pos="1418"/>
        </w:tabs>
        <w:ind w:left="709" w:hanging="709"/>
        <w:rPr>
          <w:b/>
          <w:color w:val="000000"/>
        </w:rPr>
      </w:pPr>
      <w:r w:rsidRPr="007C08AD">
        <w:rPr>
          <w:b/>
          <w:color w:val="000000"/>
        </w:rPr>
        <w:t>I.</w:t>
      </w:r>
      <w:r w:rsidRPr="007C08AD">
        <w:rPr>
          <w:b/>
          <w:color w:val="000000"/>
        </w:rPr>
        <w:tab/>
        <w:t>OBJETIVO</w:t>
      </w:r>
      <w:r w:rsidR="000E2317" w:rsidRPr="007C08AD">
        <w:rPr>
          <w:b/>
          <w:color w:val="000000"/>
        </w:rPr>
        <w:t xml:space="preserve"> (</w:t>
      </w:r>
      <w:r w:rsidRPr="007C08AD">
        <w:rPr>
          <w:b/>
          <w:color w:val="000000"/>
        </w:rPr>
        <w:t>S</w:t>
      </w:r>
      <w:r w:rsidR="000E2317" w:rsidRPr="007C08AD">
        <w:rPr>
          <w:b/>
          <w:color w:val="000000"/>
        </w:rPr>
        <w:t>)</w:t>
      </w:r>
      <w:r w:rsidRPr="007C08AD">
        <w:rPr>
          <w:b/>
          <w:color w:val="000000"/>
        </w:rPr>
        <w:t xml:space="preserve"> DEL PROY</w:t>
      </w:r>
      <w:r w:rsidR="0089772C" w:rsidRPr="007C08AD">
        <w:rPr>
          <w:b/>
          <w:color w:val="000000"/>
        </w:rPr>
        <w:t>ECTO PROPUESTO POR LA COMISIÓN:</w:t>
      </w:r>
      <w:r w:rsidR="0047479D">
        <w:rPr>
          <w:b/>
          <w:color w:val="000000"/>
        </w:rPr>
        <w:t xml:space="preserve"> </w:t>
      </w:r>
      <w:r w:rsidR="0047479D" w:rsidRPr="008D6D1B">
        <w:t>Otorgar, entre el 1 de enero y el 31 de diciembre de 2025, un bono mensual para el personal que perciba las gratificaciones especiales de riesgo y de reacción táctica de la Policía de Investigaciones de Chile, que será de hasta un 10% y un 2,5% de su sueldo en posesión, respectivamente.</w:t>
      </w:r>
    </w:p>
    <w:p w:rsidR="00FD7FC5" w:rsidRPr="00D67E5D" w:rsidRDefault="00FD7FC5" w:rsidP="00FD7FC5">
      <w:pPr>
        <w:tabs>
          <w:tab w:val="left" w:pos="1418"/>
        </w:tabs>
        <w:ind w:left="709" w:hanging="709"/>
      </w:pPr>
    </w:p>
    <w:p w:rsidR="00B540C8" w:rsidRPr="00D67E5D" w:rsidRDefault="00FD7FC5" w:rsidP="00E7707D">
      <w:pPr>
        <w:ind w:firstLine="0"/>
      </w:pPr>
      <w:r w:rsidRPr="00D67E5D">
        <w:rPr>
          <w:b/>
        </w:rPr>
        <w:t>II.</w:t>
      </w:r>
      <w:r w:rsidRPr="00D67E5D">
        <w:rPr>
          <w:b/>
        </w:rPr>
        <w:tab/>
        <w:t>ACUERDOS:</w:t>
      </w:r>
      <w:r w:rsidR="00E1357F" w:rsidRPr="00D67E5D">
        <w:t xml:space="preserve"> </w:t>
      </w:r>
      <w:r w:rsidR="00B540C8" w:rsidRPr="00D67E5D">
        <w:t xml:space="preserve">aprobado en general </w:t>
      </w:r>
      <w:r w:rsidR="00D67E5D" w:rsidRPr="00D67E5D">
        <w:t>por unanimidad (4</w:t>
      </w:r>
      <w:r w:rsidR="00B540C8" w:rsidRPr="00D67E5D">
        <w:t>x0)</w:t>
      </w:r>
      <w:r w:rsidR="00B92CF1" w:rsidRPr="00D67E5D">
        <w:t>.</w:t>
      </w:r>
    </w:p>
    <w:p w:rsidR="00FD7FC5" w:rsidRPr="00D67E5D" w:rsidRDefault="00FD7FC5" w:rsidP="00FD7FC5">
      <w:pPr>
        <w:ind w:left="709" w:hanging="709"/>
      </w:pPr>
    </w:p>
    <w:p w:rsidR="00FD7FC5" w:rsidRPr="007C08AD" w:rsidRDefault="00B540C8" w:rsidP="006E49B4">
      <w:pPr>
        <w:ind w:left="709" w:hanging="709"/>
        <w:rPr>
          <w:color w:val="000000"/>
        </w:rPr>
      </w:pPr>
      <w:r w:rsidRPr="00D67E5D">
        <w:rPr>
          <w:b/>
        </w:rPr>
        <w:t>III.</w:t>
      </w:r>
      <w:r w:rsidRPr="00D67E5D">
        <w:rPr>
          <w:b/>
        </w:rPr>
        <w:tab/>
      </w:r>
      <w:r w:rsidR="00FD7FC5" w:rsidRPr="00D67E5D">
        <w:rPr>
          <w:b/>
        </w:rPr>
        <w:t xml:space="preserve">ESTRUCTURA DEL PROYECTO APROBADO POR LA COMISIÓN: </w:t>
      </w:r>
      <w:r w:rsidRPr="00D67E5D">
        <w:t>consta de</w:t>
      </w:r>
      <w:r w:rsidR="00E7707D" w:rsidRPr="00D67E5D">
        <w:t xml:space="preserve"> un artículo único y tres disposiciones transitorias</w:t>
      </w:r>
      <w:r w:rsidR="00E7707D">
        <w:t>.</w:t>
      </w:r>
    </w:p>
    <w:p w:rsidR="00FD7FC5" w:rsidRPr="007C08AD" w:rsidRDefault="00FD7FC5" w:rsidP="00FD7FC5">
      <w:pPr>
        <w:rPr>
          <w:color w:val="000000"/>
        </w:rPr>
      </w:pPr>
    </w:p>
    <w:p w:rsidR="00FD7FC5" w:rsidRPr="007C08AD" w:rsidRDefault="00FD7FC5" w:rsidP="00FD7FC5">
      <w:pPr>
        <w:ind w:left="709" w:hanging="709"/>
        <w:rPr>
          <w:color w:val="000000"/>
        </w:rPr>
      </w:pPr>
      <w:r w:rsidRPr="007C08AD">
        <w:rPr>
          <w:b/>
          <w:color w:val="000000"/>
        </w:rPr>
        <w:t>IV.</w:t>
      </w:r>
      <w:r w:rsidRPr="007C08AD">
        <w:rPr>
          <w:b/>
          <w:color w:val="000000"/>
        </w:rPr>
        <w:tab/>
        <w:t>NORMAS DE QUÓRUM ESPECIAL:</w:t>
      </w:r>
      <w:r w:rsidR="00BB6C2B" w:rsidRPr="007C08AD">
        <w:rPr>
          <w:color w:val="000000"/>
        </w:rPr>
        <w:t xml:space="preserve"> </w:t>
      </w:r>
      <w:r w:rsidR="00B92CF1">
        <w:rPr>
          <w:color w:val="000000"/>
        </w:rPr>
        <w:t>no</w:t>
      </w:r>
      <w:r w:rsidR="00E7707D">
        <w:rPr>
          <w:color w:val="000000"/>
        </w:rPr>
        <w:t xml:space="preserve"> tiene.</w:t>
      </w:r>
    </w:p>
    <w:p w:rsidR="00FD7FC5" w:rsidRPr="002C50C8" w:rsidRDefault="00FD7FC5" w:rsidP="00FD7FC5">
      <w:pPr>
        <w:ind w:left="709" w:hanging="709"/>
      </w:pPr>
    </w:p>
    <w:p w:rsidR="00FD7FC5" w:rsidRPr="002C50C8" w:rsidRDefault="00FD7FC5" w:rsidP="00FD7FC5">
      <w:pPr>
        <w:ind w:left="709" w:hanging="709"/>
      </w:pPr>
      <w:r w:rsidRPr="002C50C8">
        <w:rPr>
          <w:b/>
        </w:rPr>
        <w:t>V.</w:t>
      </w:r>
      <w:r w:rsidRPr="002C50C8">
        <w:rPr>
          <w:b/>
        </w:rPr>
        <w:tab/>
        <w:t>URGENCIA:</w:t>
      </w:r>
      <w:r w:rsidRPr="002C50C8">
        <w:t xml:space="preserve"> </w:t>
      </w:r>
      <w:r w:rsidR="002C50C8" w:rsidRPr="002C50C8">
        <w:t>“suma”.</w:t>
      </w:r>
    </w:p>
    <w:p w:rsidR="00FD7FC5" w:rsidRPr="007C08AD" w:rsidRDefault="00FD7FC5" w:rsidP="00FD7FC5">
      <w:pPr>
        <w:tabs>
          <w:tab w:val="left" w:pos="1418"/>
        </w:tabs>
        <w:ind w:left="709" w:hanging="709"/>
        <w:rPr>
          <w:color w:val="000000"/>
        </w:rPr>
      </w:pPr>
    </w:p>
    <w:p w:rsidR="00FD7FC5" w:rsidRPr="007C08AD" w:rsidRDefault="00FD7FC5" w:rsidP="00FD7FC5">
      <w:pPr>
        <w:ind w:left="709" w:hanging="709"/>
        <w:rPr>
          <w:color w:val="000000"/>
        </w:rPr>
      </w:pPr>
      <w:r w:rsidRPr="007C08AD">
        <w:rPr>
          <w:b/>
          <w:color w:val="000000"/>
        </w:rPr>
        <w:t>VI.</w:t>
      </w:r>
      <w:r w:rsidRPr="007C08AD">
        <w:rPr>
          <w:b/>
          <w:color w:val="000000"/>
        </w:rPr>
        <w:tab/>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BF23F7">
        <w:rPr>
          <w:color w:val="000000"/>
        </w:rPr>
        <w:t xml:space="preserve">Senado. </w:t>
      </w:r>
      <w:r w:rsidR="00EA2F85" w:rsidRPr="007C08AD">
        <w:rPr>
          <w:color w:val="000000"/>
        </w:rPr>
        <w:t>Mensaje de S</w:t>
      </w:r>
      <w:r w:rsidR="00611786" w:rsidRPr="007C08AD">
        <w:rPr>
          <w:color w:val="000000"/>
        </w:rPr>
        <w:t>u Excelencia</w:t>
      </w:r>
      <w:r w:rsidR="00BF23F7">
        <w:rPr>
          <w:color w:val="000000"/>
        </w:rPr>
        <w:t xml:space="preserve"> el</w:t>
      </w:r>
      <w:r w:rsidR="00AE3DBE" w:rsidRPr="007C08AD">
        <w:rPr>
          <w:color w:val="000000"/>
        </w:rPr>
        <w:t xml:space="preserve"> </w:t>
      </w:r>
      <w:r w:rsidR="00BF23F7">
        <w:rPr>
          <w:color w:val="000000"/>
        </w:rPr>
        <w:t xml:space="preserve">Presidente de la República, señor Gabriel </w:t>
      </w:r>
      <w:proofErr w:type="spellStart"/>
      <w:r w:rsidR="00BF23F7">
        <w:rPr>
          <w:color w:val="000000"/>
        </w:rPr>
        <w:t>Boric</w:t>
      </w:r>
      <w:proofErr w:type="spellEnd"/>
      <w:r w:rsidR="00BF23F7">
        <w:rPr>
          <w:color w:val="000000"/>
        </w:rPr>
        <w:t xml:space="preserve"> Font.</w:t>
      </w:r>
    </w:p>
    <w:p w:rsidR="00EA2F85" w:rsidRPr="007C08AD" w:rsidRDefault="00EA2F85" w:rsidP="00FD7FC5">
      <w:pPr>
        <w:ind w:left="709" w:hanging="709"/>
        <w:rPr>
          <w:color w:val="000000"/>
        </w:rPr>
      </w:pPr>
    </w:p>
    <w:p w:rsidR="00FD7FC5" w:rsidRPr="007C08AD" w:rsidRDefault="00FD7FC5" w:rsidP="00FD7FC5">
      <w:pPr>
        <w:ind w:left="709" w:hanging="709"/>
        <w:rPr>
          <w:color w:val="000000"/>
          <w:u w:val="single"/>
        </w:rPr>
      </w:pPr>
      <w:r w:rsidRPr="007C08AD">
        <w:rPr>
          <w:b/>
          <w:color w:val="000000"/>
        </w:rPr>
        <w:t>VII</w:t>
      </w:r>
      <w:r w:rsidRPr="007C08AD">
        <w:rPr>
          <w:b/>
          <w:color w:val="000000"/>
        </w:rPr>
        <w:tab/>
        <w:t xml:space="preserve">TRÁMITE CONSTITUCIONAL: </w:t>
      </w:r>
      <w:r w:rsidRPr="007C08AD">
        <w:rPr>
          <w:color w:val="000000"/>
        </w:rPr>
        <w:t>primer</w:t>
      </w:r>
      <w:r w:rsidR="00113633" w:rsidRPr="007C08AD">
        <w:rPr>
          <w:color w:val="000000"/>
        </w:rPr>
        <w:t>o</w:t>
      </w:r>
      <w:r w:rsidRPr="007C08AD">
        <w:rPr>
          <w:color w:val="000000"/>
        </w:rPr>
        <w:t>.</w:t>
      </w:r>
    </w:p>
    <w:p w:rsidR="00FD7FC5" w:rsidRPr="007C08AD" w:rsidRDefault="00FD7FC5" w:rsidP="00FD7FC5">
      <w:pPr>
        <w:pStyle w:val="Estilo1"/>
        <w:tabs>
          <w:tab w:val="left" w:pos="708"/>
        </w:tabs>
        <w:ind w:left="709" w:hanging="709"/>
        <w:rPr>
          <w:color w:val="000000"/>
          <w:lang w:val="es-ES"/>
        </w:rPr>
      </w:pPr>
    </w:p>
    <w:p w:rsidR="00FD7FC5" w:rsidRPr="007C08AD" w:rsidRDefault="00FD7FC5" w:rsidP="00FD7FC5">
      <w:pPr>
        <w:ind w:left="709" w:hanging="709"/>
        <w:rPr>
          <w:color w:val="000000"/>
        </w:rPr>
      </w:pPr>
      <w:r w:rsidRPr="007C08AD">
        <w:rPr>
          <w:b/>
          <w:color w:val="000000"/>
        </w:rPr>
        <w:t>VIII.</w:t>
      </w:r>
      <w:r w:rsidRPr="007C08AD">
        <w:rPr>
          <w:b/>
          <w:color w:val="000000"/>
        </w:rPr>
        <w:tab/>
        <w:t>INICIO TRAMITACIÓN EN EL SENADO:</w:t>
      </w:r>
      <w:r w:rsidR="00BF23F7">
        <w:rPr>
          <w:color w:val="000000"/>
        </w:rPr>
        <w:t xml:space="preserve"> 4 de marzo </w:t>
      </w:r>
      <w:r w:rsidR="00760534" w:rsidRPr="007C08AD">
        <w:rPr>
          <w:color w:val="000000"/>
        </w:rPr>
        <w:t>de 20</w:t>
      </w:r>
      <w:r w:rsidR="00BF23F7">
        <w:rPr>
          <w:color w:val="000000"/>
        </w:rPr>
        <w:t>25</w:t>
      </w:r>
      <w:r w:rsidR="003336AD">
        <w:rPr>
          <w:color w:val="000000"/>
        </w:rPr>
        <w:t>.</w:t>
      </w:r>
    </w:p>
    <w:p w:rsidR="00FD7FC5" w:rsidRPr="007C08AD" w:rsidRDefault="00FD7FC5" w:rsidP="00FD7FC5">
      <w:pPr>
        <w:ind w:left="709" w:hanging="709"/>
        <w:rPr>
          <w:color w:val="000000"/>
        </w:rPr>
      </w:pPr>
    </w:p>
    <w:p w:rsidR="00FD7FC5" w:rsidRPr="007C08AD" w:rsidRDefault="00FD7FC5" w:rsidP="00FD7FC5">
      <w:pPr>
        <w:ind w:left="709" w:hanging="709"/>
        <w:rPr>
          <w:color w:val="000000"/>
        </w:rPr>
      </w:pPr>
      <w:r w:rsidRPr="007C08AD">
        <w:rPr>
          <w:b/>
          <w:color w:val="000000"/>
        </w:rPr>
        <w:t>IX.</w:t>
      </w:r>
      <w:r w:rsidRPr="007C08AD">
        <w:rPr>
          <w:b/>
          <w:color w:val="000000"/>
        </w:rPr>
        <w:tab/>
        <w:t>TRÁMITE REGLAMENTARIO:</w:t>
      </w:r>
      <w:r w:rsidR="00855102">
        <w:rPr>
          <w:color w:val="000000"/>
        </w:rPr>
        <w:t xml:space="preserve"> primer informe de la Comisión de Hacienda.</w:t>
      </w:r>
    </w:p>
    <w:p w:rsidR="00FD7FC5" w:rsidRPr="007C08AD" w:rsidRDefault="00FD7FC5" w:rsidP="00FD7FC5">
      <w:pPr>
        <w:ind w:left="709" w:hanging="709"/>
        <w:rPr>
          <w:b/>
          <w:color w:val="000000"/>
        </w:rPr>
      </w:pPr>
    </w:p>
    <w:p w:rsidR="00161523" w:rsidRPr="007C08AD" w:rsidRDefault="00161523" w:rsidP="00B81AA2">
      <w:pPr>
        <w:tabs>
          <w:tab w:val="left" w:pos="0"/>
          <w:tab w:val="left" w:pos="2835"/>
        </w:tabs>
        <w:ind w:left="708" w:hanging="708"/>
        <w:rPr>
          <w:color w:val="000000"/>
        </w:rPr>
      </w:pPr>
      <w:r w:rsidRPr="007C08AD">
        <w:rPr>
          <w:b/>
          <w:color w:val="000000"/>
        </w:rPr>
        <w:t xml:space="preserve">X. </w:t>
      </w:r>
      <w:r w:rsidR="00B81AA2">
        <w:rPr>
          <w:b/>
          <w:color w:val="000000"/>
        </w:rPr>
        <w:tab/>
      </w:r>
      <w:r w:rsidR="00FD7FC5" w:rsidRPr="007C08AD">
        <w:rPr>
          <w:b/>
          <w:color w:val="000000"/>
        </w:rPr>
        <w:t>LEYES QUE SE MODIFICAN O QUE SE RELACIONAN CON LA MATERIA:</w:t>
      </w:r>
      <w:r w:rsidRPr="007C08AD">
        <w:rPr>
          <w:color w:val="000000"/>
        </w:rPr>
        <w:t xml:space="preserve"> </w:t>
      </w:r>
    </w:p>
    <w:p w:rsidR="00161523" w:rsidRDefault="00161523" w:rsidP="00290716">
      <w:pPr>
        <w:tabs>
          <w:tab w:val="left" w:pos="0"/>
          <w:tab w:val="left" w:pos="2835"/>
        </w:tabs>
        <w:ind w:firstLine="0"/>
        <w:rPr>
          <w:color w:val="000000"/>
        </w:rPr>
      </w:pPr>
    </w:p>
    <w:p w:rsidR="00290716" w:rsidRDefault="00290716" w:rsidP="00290716">
      <w:pPr>
        <w:tabs>
          <w:tab w:val="left" w:pos="0"/>
          <w:tab w:val="left" w:pos="2835"/>
        </w:tabs>
        <w:rPr>
          <w:color w:val="000000"/>
        </w:rPr>
      </w:pPr>
      <w:r>
        <w:rPr>
          <w:color w:val="000000"/>
        </w:rPr>
        <w:t xml:space="preserve">- Ley N° 21.724, que </w:t>
      </w:r>
      <w:r w:rsidRPr="00290716">
        <w:rPr>
          <w:color w:val="000000"/>
        </w:rPr>
        <w:t>otorga reajuste general de remuneraciones a las y los trabajadores del sector público, concede aguinaldos que señala, concede otros beneficios que indica, y modifica diversos cuerpos legales</w:t>
      </w:r>
      <w:r>
        <w:rPr>
          <w:color w:val="000000"/>
        </w:rPr>
        <w:t>.</w:t>
      </w:r>
    </w:p>
    <w:p w:rsidR="00290716" w:rsidRPr="007C08AD" w:rsidRDefault="00290716" w:rsidP="00290716">
      <w:pPr>
        <w:tabs>
          <w:tab w:val="left" w:pos="0"/>
          <w:tab w:val="left" w:pos="2835"/>
        </w:tabs>
        <w:ind w:firstLine="0"/>
        <w:rPr>
          <w:color w:val="000000"/>
        </w:rPr>
      </w:pPr>
    </w:p>
    <w:p w:rsidR="00290716" w:rsidRPr="00290716" w:rsidRDefault="00B92CF1" w:rsidP="00290716">
      <w:pPr>
        <w:tabs>
          <w:tab w:val="left" w:pos="0"/>
          <w:tab w:val="left" w:pos="2835"/>
        </w:tabs>
        <w:rPr>
          <w:rFonts w:eastAsia="Courier New" w:cs="Arial"/>
          <w:color w:val="000000"/>
          <w:spacing w:val="0"/>
          <w:lang w:val="es-ES" w:bidi="es-ES"/>
        </w:rPr>
      </w:pPr>
      <w:r>
        <w:rPr>
          <w:rFonts w:eastAsia="Courier New" w:cs="Arial"/>
          <w:color w:val="000000"/>
          <w:spacing w:val="0"/>
          <w:lang w:val="es-ES" w:bidi="es-ES"/>
        </w:rPr>
        <w:t>- D</w:t>
      </w:r>
      <w:r w:rsidRPr="00B92CF1">
        <w:rPr>
          <w:rFonts w:eastAsia="Courier New" w:cs="Arial"/>
          <w:color w:val="000000"/>
          <w:spacing w:val="0"/>
          <w:lang w:val="es-ES" w:bidi="es-ES"/>
        </w:rPr>
        <w:t>ecreto N° 135, del Ministerio de Defensa Nacional, de 2009, que Aprueba el reglamento de asignaciones, sobresueldos, gratificaciones especiales y otros derechos económicos del personal de la Policía de Investigaciones de Chile</w:t>
      </w:r>
      <w:r>
        <w:rPr>
          <w:rFonts w:eastAsia="Courier New" w:cs="Arial"/>
          <w:color w:val="000000"/>
          <w:spacing w:val="0"/>
          <w:lang w:val="es-ES" w:bidi="es-ES"/>
        </w:rPr>
        <w:t>.</w:t>
      </w:r>
    </w:p>
    <w:p w:rsidR="00FD7FC5" w:rsidRPr="007C08AD" w:rsidRDefault="00FD7FC5" w:rsidP="00220C0D">
      <w:pPr>
        <w:ind w:left="709" w:hanging="709"/>
        <w:rPr>
          <w:color w:val="000000"/>
        </w:rPr>
      </w:pPr>
    </w:p>
    <w:p w:rsidR="00FD7FC5" w:rsidRPr="007C08AD" w:rsidRDefault="00FD7FC5" w:rsidP="00FD7FC5">
      <w:pPr>
        <w:tabs>
          <w:tab w:val="left" w:pos="1418"/>
        </w:tabs>
        <w:ind w:left="851" w:hanging="851"/>
        <w:jc w:val="right"/>
        <w:rPr>
          <w:color w:val="000000"/>
        </w:rPr>
      </w:pPr>
    </w:p>
    <w:p w:rsidR="00FD7FC5" w:rsidRPr="00D67E5D" w:rsidRDefault="00FD7FC5" w:rsidP="003336AD">
      <w:pPr>
        <w:tabs>
          <w:tab w:val="left" w:pos="1418"/>
        </w:tabs>
        <w:ind w:left="851" w:hanging="851"/>
        <w:jc w:val="center"/>
      </w:pPr>
      <w:r w:rsidRPr="00D67E5D">
        <w:lastRenderedPageBreak/>
        <w:t>Valparaíso, a</w:t>
      </w:r>
      <w:r w:rsidR="00855102" w:rsidRPr="00D67E5D">
        <w:t xml:space="preserve"> </w:t>
      </w:r>
      <w:r w:rsidR="002C50C8" w:rsidRPr="00D67E5D">
        <w:t>26</w:t>
      </w:r>
      <w:r w:rsidRPr="00D67E5D">
        <w:t xml:space="preserve"> de</w:t>
      </w:r>
      <w:r w:rsidR="00B92CF1" w:rsidRPr="00D67E5D">
        <w:t xml:space="preserve"> </w:t>
      </w:r>
      <w:r w:rsidR="002C50C8" w:rsidRPr="00D67E5D">
        <w:t>marzo</w:t>
      </w:r>
      <w:r w:rsidRPr="00D67E5D">
        <w:t xml:space="preserve"> de 20</w:t>
      </w:r>
      <w:r w:rsidR="00B92CF1" w:rsidRPr="00D67E5D">
        <w:t>25</w:t>
      </w:r>
      <w:r w:rsidR="007250B4" w:rsidRPr="00D67E5D">
        <w:t>.</w:t>
      </w:r>
      <w:r w:rsidR="00231956">
        <w:t xml:space="preserve"> </w:t>
      </w:r>
    </w:p>
    <w:p w:rsidR="00FD7FC5" w:rsidRPr="007C08AD" w:rsidRDefault="00FD7FC5" w:rsidP="00FD7FC5">
      <w:pPr>
        <w:ind w:left="851" w:hanging="851"/>
        <w:rPr>
          <w:color w:val="000000"/>
        </w:rPr>
      </w:pPr>
    </w:p>
    <w:p w:rsidR="00B92CF1" w:rsidRDefault="00B92CF1" w:rsidP="0089772C">
      <w:pPr>
        <w:ind w:left="851" w:hanging="851"/>
        <w:jc w:val="center"/>
        <w:rPr>
          <w:b/>
          <w:color w:val="000000"/>
          <w:spacing w:val="6"/>
          <w:szCs w:val="20"/>
        </w:rPr>
      </w:pPr>
    </w:p>
    <w:p w:rsidR="00B92CF1" w:rsidRDefault="00B92CF1" w:rsidP="0089772C">
      <w:pPr>
        <w:ind w:left="851" w:hanging="851"/>
        <w:jc w:val="center"/>
        <w:rPr>
          <w:b/>
          <w:color w:val="000000"/>
          <w:spacing w:val="6"/>
          <w:szCs w:val="20"/>
        </w:rPr>
      </w:pPr>
    </w:p>
    <w:p w:rsidR="00B92CF1" w:rsidRDefault="00B92CF1" w:rsidP="0089772C">
      <w:pPr>
        <w:ind w:left="851" w:hanging="851"/>
        <w:jc w:val="center"/>
        <w:rPr>
          <w:b/>
          <w:color w:val="000000"/>
          <w:spacing w:val="6"/>
          <w:szCs w:val="20"/>
        </w:rPr>
      </w:pPr>
      <w:r w:rsidRPr="007E4D79">
        <w:rPr>
          <w:noProof/>
          <w:spacing w:val="6"/>
          <w:lang w:val="es-CL" w:eastAsia="es-CL"/>
        </w:rPr>
        <w:drawing>
          <wp:inline distT="0" distB="0" distL="0" distR="0">
            <wp:extent cx="3333750"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rsidR="00606A56" w:rsidRDefault="00606A56" w:rsidP="00B92CF1">
      <w:pPr>
        <w:ind w:firstLine="0"/>
        <w:rPr>
          <w:i/>
          <w:color w:val="000000"/>
          <w:lang w:val="es-CL"/>
        </w:rPr>
      </w:pPr>
    </w:p>
    <w:p w:rsidR="00606A56" w:rsidRPr="007C08AD" w:rsidRDefault="00606A56" w:rsidP="007250B4">
      <w:pPr>
        <w:rPr>
          <w:i/>
          <w:color w:val="000000"/>
          <w:lang w:val="es-CL"/>
        </w:rPr>
      </w:pPr>
    </w:p>
    <w:sectPr w:rsidR="00606A56" w:rsidRPr="007C08AD" w:rsidSect="006C41D1">
      <w:headerReference w:type="even" r:id="rId14"/>
      <w:headerReference w:type="default" r:id="rId15"/>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6D" w:rsidRDefault="00DD2D6D">
      <w:r>
        <w:separator/>
      </w:r>
    </w:p>
  </w:endnote>
  <w:endnote w:type="continuationSeparator" w:id="0">
    <w:p w:rsidR="00DD2D6D" w:rsidRDefault="00DD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6D" w:rsidRDefault="00DD2D6D">
      <w:r>
        <w:separator/>
      </w:r>
    </w:p>
  </w:footnote>
  <w:footnote w:type="continuationSeparator" w:id="0">
    <w:p w:rsidR="00DD2D6D" w:rsidRDefault="00DD2D6D">
      <w:r>
        <w:continuationSeparator/>
      </w:r>
    </w:p>
  </w:footnote>
  <w:footnote w:id="1">
    <w:p w:rsidR="00C94391" w:rsidRDefault="00C94391">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rsidR="00C94391" w:rsidRPr="00D67E5D" w:rsidRDefault="00C94391">
      <w:pPr>
        <w:pStyle w:val="Textonotapie"/>
        <w:rPr>
          <w:lang w:val="es-CL"/>
        </w:rPr>
      </w:pPr>
      <w:r w:rsidRPr="00D67E5D">
        <w:rPr>
          <w:lang w:val="es-CL"/>
        </w:rPr>
        <w:t>26 de marzo de 2025:</w:t>
      </w:r>
    </w:p>
    <w:p w:rsidR="00C94391" w:rsidRPr="00741223" w:rsidRDefault="00DD2D6D">
      <w:pPr>
        <w:pStyle w:val="Textonotapie"/>
        <w:rPr>
          <w:lang w:val="es-CL"/>
        </w:rPr>
      </w:pPr>
      <w:hyperlink r:id="rId1" w:history="1">
        <w:r w:rsidR="00C94391" w:rsidRPr="00426457">
          <w:rPr>
            <w:rStyle w:val="Hipervnculo"/>
            <w:lang w:val="es-CL"/>
          </w:rPr>
          <w:t>https://tv.senado.cl/tvsenado/comisiones/permanentes/hacienda/comision-de-hacienda/2025-03-26/070143.html</w:t>
        </w:r>
      </w:hyperlink>
      <w:r w:rsidR="00C94391">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91" w:rsidRDefault="00C94391"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4391" w:rsidRDefault="00C94391"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91" w:rsidRDefault="00C94391"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48C8">
      <w:rPr>
        <w:rStyle w:val="Nmerodepgina"/>
        <w:noProof/>
      </w:rPr>
      <w:t>15</w:t>
    </w:r>
    <w:r>
      <w:rPr>
        <w:rStyle w:val="Nmerodepgina"/>
      </w:rPr>
      <w:fldChar w:fldCharType="end"/>
    </w:r>
  </w:p>
  <w:p w:rsidR="00C94391" w:rsidRDefault="00C94391"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4"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1A"/>
    <w:rsid w:val="00000906"/>
    <w:rsid w:val="00003A46"/>
    <w:rsid w:val="0000514E"/>
    <w:rsid w:val="00007507"/>
    <w:rsid w:val="000105D8"/>
    <w:rsid w:val="000138B8"/>
    <w:rsid w:val="00013DC7"/>
    <w:rsid w:val="00014CA2"/>
    <w:rsid w:val="000175F3"/>
    <w:rsid w:val="00017628"/>
    <w:rsid w:val="00020B19"/>
    <w:rsid w:val="00022282"/>
    <w:rsid w:val="00025766"/>
    <w:rsid w:val="00035A09"/>
    <w:rsid w:val="00040616"/>
    <w:rsid w:val="0004071D"/>
    <w:rsid w:val="00041E47"/>
    <w:rsid w:val="0004479B"/>
    <w:rsid w:val="000461DA"/>
    <w:rsid w:val="00052FBC"/>
    <w:rsid w:val="00054FE6"/>
    <w:rsid w:val="00055314"/>
    <w:rsid w:val="0005580A"/>
    <w:rsid w:val="00057AAD"/>
    <w:rsid w:val="00062841"/>
    <w:rsid w:val="000635FF"/>
    <w:rsid w:val="00066760"/>
    <w:rsid w:val="00067968"/>
    <w:rsid w:val="00072DA3"/>
    <w:rsid w:val="00075203"/>
    <w:rsid w:val="000752FB"/>
    <w:rsid w:val="0007678A"/>
    <w:rsid w:val="0007751A"/>
    <w:rsid w:val="000815AB"/>
    <w:rsid w:val="00085C38"/>
    <w:rsid w:val="000900AD"/>
    <w:rsid w:val="000910FE"/>
    <w:rsid w:val="000957BE"/>
    <w:rsid w:val="0009661F"/>
    <w:rsid w:val="00096DDE"/>
    <w:rsid w:val="00097497"/>
    <w:rsid w:val="00097835"/>
    <w:rsid w:val="000A0328"/>
    <w:rsid w:val="000A2823"/>
    <w:rsid w:val="000A32CA"/>
    <w:rsid w:val="000A382A"/>
    <w:rsid w:val="000A63C0"/>
    <w:rsid w:val="000A656E"/>
    <w:rsid w:val="000A662A"/>
    <w:rsid w:val="000A77AD"/>
    <w:rsid w:val="000B6261"/>
    <w:rsid w:val="000B67F2"/>
    <w:rsid w:val="000B6813"/>
    <w:rsid w:val="000C01C0"/>
    <w:rsid w:val="000C2C43"/>
    <w:rsid w:val="000C4FA3"/>
    <w:rsid w:val="000C77C6"/>
    <w:rsid w:val="000D36B8"/>
    <w:rsid w:val="000D79EC"/>
    <w:rsid w:val="000E2317"/>
    <w:rsid w:val="000E2FD3"/>
    <w:rsid w:val="000E59E8"/>
    <w:rsid w:val="000E68CE"/>
    <w:rsid w:val="000F38E8"/>
    <w:rsid w:val="000F5CDD"/>
    <w:rsid w:val="000F6B6E"/>
    <w:rsid w:val="000F7C9C"/>
    <w:rsid w:val="00103581"/>
    <w:rsid w:val="0010492D"/>
    <w:rsid w:val="00106AA9"/>
    <w:rsid w:val="0011349A"/>
    <w:rsid w:val="00113633"/>
    <w:rsid w:val="001139B3"/>
    <w:rsid w:val="00114D57"/>
    <w:rsid w:val="0012284F"/>
    <w:rsid w:val="00123A60"/>
    <w:rsid w:val="001307D6"/>
    <w:rsid w:val="00131160"/>
    <w:rsid w:val="00131F97"/>
    <w:rsid w:val="001403EC"/>
    <w:rsid w:val="00140ED9"/>
    <w:rsid w:val="001448FC"/>
    <w:rsid w:val="001460F9"/>
    <w:rsid w:val="001479C1"/>
    <w:rsid w:val="001538A5"/>
    <w:rsid w:val="001601A3"/>
    <w:rsid w:val="00161523"/>
    <w:rsid w:val="00165CC6"/>
    <w:rsid w:val="00166206"/>
    <w:rsid w:val="001701D1"/>
    <w:rsid w:val="001714BD"/>
    <w:rsid w:val="00171A8F"/>
    <w:rsid w:val="00174D0B"/>
    <w:rsid w:val="00175E2D"/>
    <w:rsid w:val="00177B7D"/>
    <w:rsid w:val="00180596"/>
    <w:rsid w:val="00181C1C"/>
    <w:rsid w:val="0018249E"/>
    <w:rsid w:val="00184BB6"/>
    <w:rsid w:val="00184DF4"/>
    <w:rsid w:val="00187438"/>
    <w:rsid w:val="001875AF"/>
    <w:rsid w:val="00190B11"/>
    <w:rsid w:val="00192DC4"/>
    <w:rsid w:val="0019488A"/>
    <w:rsid w:val="00196511"/>
    <w:rsid w:val="001B0E5D"/>
    <w:rsid w:val="001B2139"/>
    <w:rsid w:val="001B3997"/>
    <w:rsid w:val="001B4F34"/>
    <w:rsid w:val="001B6226"/>
    <w:rsid w:val="001B6CF0"/>
    <w:rsid w:val="001C01E9"/>
    <w:rsid w:val="001C4A5A"/>
    <w:rsid w:val="001C7005"/>
    <w:rsid w:val="001D094E"/>
    <w:rsid w:val="001D0992"/>
    <w:rsid w:val="001D1157"/>
    <w:rsid w:val="001D55B8"/>
    <w:rsid w:val="001D756B"/>
    <w:rsid w:val="001E047F"/>
    <w:rsid w:val="001E15CB"/>
    <w:rsid w:val="001E1B1B"/>
    <w:rsid w:val="001E5D57"/>
    <w:rsid w:val="001E61EA"/>
    <w:rsid w:val="001F05D7"/>
    <w:rsid w:val="001F4524"/>
    <w:rsid w:val="001F59BA"/>
    <w:rsid w:val="001F5FDB"/>
    <w:rsid w:val="001F64FA"/>
    <w:rsid w:val="002013C2"/>
    <w:rsid w:val="002033E2"/>
    <w:rsid w:val="00203A37"/>
    <w:rsid w:val="00203CEF"/>
    <w:rsid w:val="00211FA8"/>
    <w:rsid w:val="00213248"/>
    <w:rsid w:val="00213E68"/>
    <w:rsid w:val="002155FA"/>
    <w:rsid w:val="002168C0"/>
    <w:rsid w:val="00216C4E"/>
    <w:rsid w:val="0021799A"/>
    <w:rsid w:val="00220C0D"/>
    <w:rsid w:val="00221CB3"/>
    <w:rsid w:val="002220A3"/>
    <w:rsid w:val="00224177"/>
    <w:rsid w:val="00226B63"/>
    <w:rsid w:val="00227681"/>
    <w:rsid w:val="00231956"/>
    <w:rsid w:val="00232447"/>
    <w:rsid w:val="0023284B"/>
    <w:rsid w:val="002353CA"/>
    <w:rsid w:val="002357B4"/>
    <w:rsid w:val="0024063B"/>
    <w:rsid w:val="00244F5E"/>
    <w:rsid w:val="0024648A"/>
    <w:rsid w:val="00250BB1"/>
    <w:rsid w:val="002518D2"/>
    <w:rsid w:val="00255D2F"/>
    <w:rsid w:val="00257BA7"/>
    <w:rsid w:val="00257ECA"/>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5009"/>
    <w:rsid w:val="00285B9F"/>
    <w:rsid w:val="002863D0"/>
    <w:rsid w:val="002902D2"/>
    <w:rsid w:val="00290716"/>
    <w:rsid w:val="00294982"/>
    <w:rsid w:val="0029538C"/>
    <w:rsid w:val="00296BDE"/>
    <w:rsid w:val="002974BF"/>
    <w:rsid w:val="00297D33"/>
    <w:rsid w:val="002A0493"/>
    <w:rsid w:val="002A09F0"/>
    <w:rsid w:val="002A16F9"/>
    <w:rsid w:val="002A59B1"/>
    <w:rsid w:val="002A5AD0"/>
    <w:rsid w:val="002B0E1C"/>
    <w:rsid w:val="002B2F51"/>
    <w:rsid w:val="002B3DA6"/>
    <w:rsid w:val="002B628B"/>
    <w:rsid w:val="002B6597"/>
    <w:rsid w:val="002C15A8"/>
    <w:rsid w:val="002C3B03"/>
    <w:rsid w:val="002C3B09"/>
    <w:rsid w:val="002C4412"/>
    <w:rsid w:val="002C4B09"/>
    <w:rsid w:val="002C50C8"/>
    <w:rsid w:val="002C680B"/>
    <w:rsid w:val="002C6AD4"/>
    <w:rsid w:val="002D1294"/>
    <w:rsid w:val="002D3BC0"/>
    <w:rsid w:val="002D6092"/>
    <w:rsid w:val="002D653A"/>
    <w:rsid w:val="002D6AF0"/>
    <w:rsid w:val="002E2262"/>
    <w:rsid w:val="002E42A2"/>
    <w:rsid w:val="002E56DE"/>
    <w:rsid w:val="002F091D"/>
    <w:rsid w:val="002F2891"/>
    <w:rsid w:val="002F4528"/>
    <w:rsid w:val="002F51A7"/>
    <w:rsid w:val="002F578E"/>
    <w:rsid w:val="002F5DF7"/>
    <w:rsid w:val="002F6384"/>
    <w:rsid w:val="00302575"/>
    <w:rsid w:val="0030346A"/>
    <w:rsid w:val="00303D16"/>
    <w:rsid w:val="00304B55"/>
    <w:rsid w:val="003062C5"/>
    <w:rsid w:val="0031233F"/>
    <w:rsid w:val="003135C1"/>
    <w:rsid w:val="00316A6C"/>
    <w:rsid w:val="003212AD"/>
    <w:rsid w:val="0033138B"/>
    <w:rsid w:val="00331CA4"/>
    <w:rsid w:val="003336AD"/>
    <w:rsid w:val="0033421A"/>
    <w:rsid w:val="00334A6E"/>
    <w:rsid w:val="00336188"/>
    <w:rsid w:val="00336ADC"/>
    <w:rsid w:val="003403EB"/>
    <w:rsid w:val="00340866"/>
    <w:rsid w:val="00344610"/>
    <w:rsid w:val="00345EE9"/>
    <w:rsid w:val="003469A4"/>
    <w:rsid w:val="00350E4F"/>
    <w:rsid w:val="00352461"/>
    <w:rsid w:val="00354E11"/>
    <w:rsid w:val="00357915"/>
    <w:rsid w:val="003636D6"/>
    <w:rsid w:val="00363AE0"/>
    <w:rsid w:val="00364173"/>
    <w:rsid w:val="00364CF6"/>
    <w:rsid w:val="003667FB"/>
    <w:rsid w:val="00366F18"/>
    <w:rsid w:val="00371452"/>
    <w:rsid w:val="00372468"/>
    <w:rsid w:val="00375E81"/>
    <w:rsid w:val="00380219"/>
    <w:rsid w:val="00381827"/>
    <w:rsid w:val="003833F9"/>
    <w:rsid w:val="0038616E"/>
    <w:rsid w:val="00390706"/>
    <w:rsid w:val="00392BB6"/>
    <w:rsid w:val="0039367A"/>
    <w:rsid w:val="0039383D"/>
    <w:rsid w:val="00393A64"/>
    <w:rsid w:val="00393E0A"/>
    <w:rsid w:val="00396EF8"/>
    <w:rsid w:val="003A0B01"/>
    <w:rsid w:val="003A3710"/>
    <w:rsid w:val="003A633F"/>
    <w:rsid w:val="003B1DD8"/>
    <w:rsid w:val="003B2C7C"/>
    <w:rsid w:val="003B6BA8"/>
    <w:rsid w:val="003B7D22"/>
    <w:rsid w:val="003C04E0"/>
    <w:rsid w:val="003C29E1"/>
    <w:rsid w:val="003C4480"/>
    <w:rsid w:val="003C5633"/>
    <w:rsid w:val="003C69D9"/>
    <w:rsid w:val="003C6E21"/>
    <w:rsid w:val="003C7E15"/>
    <w:rsid w:val="003D20BE"/>
    <w:rsid w:val="003D271C"/>
    <w:rsid w:val="003D329A"/>
    <w:rsid w:val="003D70A6"/>
    <w:rsid w:val="003E2387"/>
    <w:rsid w:val="003E38BF"/>
    <w:rsid w:val="003E4F7F"/>
    <w:rsid w:val="003E6475"/>
    <w:rsid w:val="003E75B2"/>
    <w:rsid w:val="003F0A41"/>
    <w:rsid w:val="003F0A58"/>
    <w:rsid w:val="003F12BD"/>
    <w:rsid w:val="003F4008"/>
    <w:rsid w:val="003F57A3"/>
    <w:rsid w:val="003F7402"/>
    <w:rsid w:val="0040008D"/>
    <w:rsid w:val="00402D03"/>
    <w:rsid w:val="00404991"/>
    <w:rsid w:val="004053F4"/>
    <w:rsid w:val="004058E7"/>
    <w:rsid w:val="00406B6A"/>
    <w:rsid w:val="004115DB"/>
    <w:rsid w:val="00411979"/>
    <w:rsid w:val="004205BF"/>
    <w:rsid w:val="00421A71"/>
    <w:rsid w:val="00422254"/>
    <w:rsid w:val="004239B9"/>
    <w:rsid w:val="00426035"/>
    <w:rsid w:val="00427A2F"/>
    <w:rsid w:val="00432A40"/>
    <w:rsid w:val="00444D13"/>
    <w:rsid w:val="00450177"/>
    <w:rsid w:val="004501BF"/>
    <w:rsid w:val="00450B36"/>
    <w:rsid w:val="00454CBA"/>
    <w:rsid w:val="00455A97"/>
    <w:rsid w:val="00456FBB"/>
    <w:rsid w:val="00462DE9"/>
    <w:rsid w:val="004635FA"/>
    <w:rsid w:val="00471D20"/>
    <w:rsid w:val="0047479D"/>
    <w:rsid w:val="00475098"/>
    <w:rsid w:val="00475976"/>
    <w:rsid w:val="00475AB9"/>
    <w:rsid w:val="00477CE9"/>
    <w:rsid w:val="00477E56"/>
    <w:rsid w:val="00481DCB"/>
    <w:rsid w:val="0048426C"/>
    <w:rsid w:val="00496C59"/>
    <w:rsid w:val="00497BCB"/>
    <w:rsid w:val="004A059F"/>
    <w:rsid w:val="004A0C0D"/>
    <w:rsid w:val="004A58AC"/>
    <w:rsid w:val="004B0900"/>
    <w:rsid w:val="004B161A"/>
    <w:rsid w:val="004B1B45"/>
    <w:rsid w:val="004B2E73"/>
    <w:rsid w:val="004C2CEA"/>
    <w:rsid w:val="004C6CD5"/>
    <w:rsid w:val="004C6E4A"/>
    <w:rsid w:val="004E0797"/>
    <w:rsid w:val="004E091C"/>
    <w:rsid w:val="004E1A92"/>
    <w:rsid w:val="004E22CD"/>
    <w:rsid w:val="004E56D6"/>
    <w:rsid w:val="004E6A82"/>
    <w:rsid w:val="004E776C"/>
    <w:rsid w:val="004F083F"/>
    <w:rsid w:val="004F3134"/>
    <w:rsid w:val="004F3C2E"/>
    <w:rsid w:val="00501E20"/>
    <w:rsid w:val="00502343"/>
    <w:rsid w:val="00503712"/>
    <w:rsid w:val="0050683D"/>
    <w:rsid w:val="005104CB"/>
    <w:rsid w:val="0051147E"/>
    <w:rsid w:val="00513332"/>
    <w:rsid w:val="00515BC8"/>
    <w:rsid w:val="0052034A"/>
    <w:rsid w:val="005204D8"/>
    <w:rsid w:val="00522663"/>
    <w:rsid w:val="00524596"/>
    <w:rsid w:val="00527DA1"/>
    <w:rsid w:val="0053078A"/>
    <w:rsid w:val="00534E38"/>
    <w:rsid w:val="00536242"/>
    <w:rsid w:val="005375CE"/>
    <w:rsid w:val="00537D8E"/>
    <w:rsid w:val="0054021E"/>
    <w:rsid w:val="00540565"/>
    <w:rsid w:val="00540E43"/>
    <w:rsid w:val="00542AE4"/>
    <w:rsid w:val="00542DC9"/>
    <w:rsid w:val="00543588"/>
    <w:rsid w:val="0054653A"/>
    <w:rsid w:val="00546A16"/>
    <w:rsid w:val="0055106A"/>
    <w:rsid w:val="005514ED"/>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82B16"/>
    <w:rsid w:val="00582FEF"/>
    <w:rsid w:val="00583F6F"/>
    <w:rsid w:val="0059044D"/>
    <w:rsid w:val="00593A57"/>
    <w:rsid w:val="005A0455"/>
    <w:rsid w:val="005A2439"/>
    <w:rsid w:val="005A50FC"/>
    <w:rsid w:val="005B1042"/>
    <w:rsid w:val="005B4FD9"/>
    <w:rsid w:val="005B7164"/>
    <w:rsid w:val="005B720D"/>
    <w:rsid w:val="005C04BD"/>
    <w:rsid w:val="005C270D"/>
    <w:rsid w:val="005C2FAA"/>
    <w:rsid w:val="005C67CF"/>
    <w:rsid w:val="005D055A"/>
    <w:rsid w:val="005D1613"/>
    <w:rsid w:val="005D1816"/>
    <w:rsid w:val="005D6026"/>
    <w:rsid w:val="005D636E"/>
    <w:rsid w:val="005D79CB"/>
    <w:rsid w:val="005E0597"/>
    <w:rsid w:val="005E2480"/>
    <w:rsid w:val="005E261E"/>
    <w:rsid w:val="005E34CB"/>
    <w:rsid w:val="005F315C"/>
    <w:rsid w:val="005F399A"/>
    <w:rsid w:val="005F3B2E"/>
    <w:rsid w:val="00600EA3"/>
    <w:rsid w:val="0060256A"/>
    <w:rsid w:val="00604200"/>
    <w:rsid w:val="00604359"/>
    <w:rsid w:val="00604747"/>
    <w:rsid w:val="00606972"/>
    <w:rsid w:val="00606A56"/>
    <w:rsid w:val="00606C49"/>
    <w:rsid w:val="00611786"/>
    <w:rsid w:val="00612AE4"/>
    <w:rsid w:val="006136EE"/>
    <w:rsid w:val="00613BDA"/>
    <w:rsid w:val="00614121"/>
    <w:rsid w:val="00614AC5"/>
    <w:rsid w:val="006155FA"/>
    <w:rsid w:val="0061575A"/>
    <w:rsid w:val="006163DD"/>
    <w:rsid w:val="006172FB"/>
    <w:rsid w:val="00617672"/>
    <w:rsid w:val="00617E3D"/>
    <w:rsid w:val="0062271A"/>
    <w:rsid w:val="00627106"/>
    <w:rsid w:val="00631061"/>
    <w:rsid w:val="0063182D"/>
    <w:rsid w:val="006326E9"/>
    <w:rsid w:val="00633281"/>
    <w:rsid w:val="00633F0F"/>
    <w:rsid w:val="00635E19"/>
    <w:rsid w:val="00640C21"/>
    <w:rsid w:val="006414C5"/>
    <w:rsid w:val="0064280F"/>
    <w:rsid w:val="00645397"/>
    <w:rsid w:val="00646677"/>
    <w:rsid w:val="006468C5"/>
    <w:rsid w:val="0065231C"/>
    <w:rsid w:val="00671E89"/>
    <w:rsid w:val="00672117"/>
    <w:rsid w:val="00677D0C"/>
    <w:rsid w:val="00682009"/>
    <w:rsid w:val="006826D6"/>
    <w:rsid w:val="006827AB"/>
    <w:rsid w:val="00684146"/>
    <w:rsid w:val="0068701F"/>
    <w:rsid w:val="00690D07"/>
    <w:rsid w:val="00691379"/>
    <w:rsid w:val="00691DF8"/>
    <w:rsid w:val="0069318D"/>
    <w:rsid w:val="0069517D"/>
    <w:rsid w:val="00695535"/>
    <w:rsid w:val="006956C0"/>
    <w:rsid w:val="006979FD"/>
    <w:rsid w:val="00697E47"/>
    <w:rsid w:val="006A5018"/>
    <w:rsid w:val="006A59F3"/>
    <w:rsid w:val="006A74D0"/>
    <w:rsid w:val="006B06D7"/>
    <w:rsid w:val="006B1872"/>
    <w:rsid w:val="006B2DBA"/>
    <w:rsid w:val="006B4909"/>
    <w:rsid w:val="006B5941"/>
    <w:rsid w:val="006B74A0"/>
    <w:rsid w:val="006C0911"/>
    <w:rsid w:val="006C132B"/>
    <w:rsid w:val="006C1ED1"/>
    <w:rsid w:val="006C41D1"/>
    <w:rsid w:val="006C45F5"/>
    <w:rsid w:val="006C7E7B"/>
    <w:rsid w:val="006D0883"/>
    <w:rsid w:val="006D0BB2"/>
    <w:rsid w:val="006D35CF"/>
    <w:rsid w:val="006D3DF5"/>
    <w:rsid w:val="006D472A"/>
    <w:rsid w:val="006D7586"/>
    <w:rsid w:val="006E0548"/>
    <w:rsid w:val="006E49B4"/>
    <w:rsid w:val="006F10D5"/>
    <w:rsid w:val="006F77CE"/>
    <w:rsid w:val="007008DA"/>
    <w:rsid w:val="00701876"/>
    <w:rsid w:val="00706F3F"/>
    <w:rsid w:val="00707401"/>
    <w:rsid w:val="00707785"/>
    <w:rsid w:val="00710206"/>
    <w:rsid w:val="007107AF"/>
    <w:rsid w:val="0071175F"/>
    <w:rsid w:val="007121E9"/>
    <w:rsid w:val="0071260C"/>
    <w:rsid w:val="00713CF1"/>
    <w:rsid w:val="00715192"/>
    <w:rsid w:val="00720AF1"/>
    <w:rsid w:val="007250B4"/>
    <w:rsid w:val="00725DAA"/>
    <w:rsid w:val="00726403"/>
    <w:rsid w:val="007322EE"/>
    <w:rsid w:val="00734028"/>
    <w:rsid w:val="00734571"/>
    <w:rsid w:val="0073525F"/>
    <w:rsid w:val="00736DCC"/>
    <w:rsid w:val="00740C1B"/>
    <w:rsid w:val="00741223"/>
    <w:rsid w:val="00742070"/>
    <w:rsid w:val="00743AAA"/>
    <w:rsid w:val="00743B5A"/>
    <w:rsid w:val="007447FD"/>
    <w:rsid w:val="00752C3F"/>
    <w:rsid w:val="007538BD"/>
    <w:rsid w:val="0075391F"/>
    <w:rsid w:val="00755E27"/>
    <w:rsid w:val="00757F04"/>
    <w:rsid w:val="00760534"/>
    <w:rsid w:val="00762B22"/>
    <w:rsid w:val="007644AF"/>
    <w:rsid w:val="00765464"/>
    <w:rsid w:val="00770AB4"/>
    <w:rsid w:val="00771C09"/>
    <w:rsid w:val="00772709"/>
    <w:rsid w:val="00774490"/>
    <w:rsid w:val="00781923"/>
    <w:rsid w:val="00782F60"/>
    <w:rsid w:val="00785AAB"/>
    <w:rsid w:val="007863DA"/>
    <w:rsid w:val="00791BBE"/>
    <w:rsid w:val="00792F64"/>
    <w:rsid w:val="00793562"/>
    <w:rsid w:val="00793904"/>
    <w:rsid w:val="007949A9"/>
    <w:rsid w:val="00794CF3"/>
    <w:rsid w:val="007A1F65"/>
    <w:rsid w:val="007A2230"/>
    <w:rsid w:val="007A223C"/>
    <w:rsid w:val="007A2E8C"/>
    <w:rsid w:val="007A344A"/>
    <w:rsid w:val="007A4366"/>
    <w:rsid w:val="007A4D23"/>
    <w:rsid w:val="007A4FC0"/>
    <w:rsid w:val="007A589B"/>
    <w:rsid w:val="007B05AF"/>
    <w:rsid w:val="007B14DA"/>
    <w:rsid w:val="007B22B7"/>
    <w:rsid w:val="007B2565"/>
    <w:rsid w:val="007B799C"/>
    <w:rsid w:val="007B7BAC"/>
    <w:rsid w:val="007C08AD"/>
    <w:rsid w:val="007C1024"/>
    <w:rsid w:val="007C37A7"/>
    <w:rsid w:val="007C7D37"/>
    <w:rsid w:val="007D6CFF"/>
    <w:rsid w:val="007E00F1"/>
    <w:rsid w:val="007E577A"/>
    <w:rsid w:val="007E7D41"/>
    <w:rsid w:val="007E7FBD"/>
    <w:rsid w:val="007F0059"/>
    <w:rsid w:val="007F043B"/>
    <w:rsid w:val="007F0845"/>
    <w:rsid w:val="007F2855"/>
    <w:rsid w:val="007F2E66"/>
    <w:rsid w:val="007F30FE"/>
    <w:rsid w:val="007F3A63"/>
    <w:rsid w:val="007F3FBC"/>
    <w:rsid w:val="007F4528"/>
    <w:rsid w:val="00803592"/>
    <w:rsid w:val="00807F5C"/>
    <w:rsid w:val="0081060A"/>
    <w:rsid w:val="008161AA"/>
    <w:rsid w:val="00816D9C"/>
    <w:rsid w:val="008207A0"/>
    <w:rsid w:val="00820B7D"/>
    <w:rsid w:val="00821EB8"/>
    <w:rsid w:val="008239A3"/>
    <w:rsid w:val="008250A0"/>
    <w:rsid w:val="00826E21"/>
    <w:rsid w:val="00827CE8"/>
    <w:rsid w:val="00832464"/>
    <w:rsid w:val="008324C4"/>
    <w:rsid w:val="008330D5"/>
    <w:rsid w:val="00836C96"/>
    <w:rsid w:val="008442D6"/>
    <w:rsid w:val="0084581D"/>
    <w:rsid w:val="00847A35"/>
    <w:rsid w:val="0085139A"/>
    <w:rsid w:val="00852296"/>
    <w:rsid w:val="008522E3"/>
    <w:rsid w:val="008546D3"/>
    <w:rsid w:val="00855102"/>
    <w:rsid w:val="00856964"/>
    <w:rsid w:val="0085721A"/>
    <w:rsid w:val="008652E3"/>
    <w:rsid w:val="00865815"/>
    <w:rsid w:val="00865A95"/>
    <w:rsid w:val="00866165"/>
    <w:rsid w:val="0086767B"/>
    <w:rsid w:val="00875E40"/>
    <w:rsid w:val="00877FF9"/>
    <w:rsid w:val="00881740"/>
    <w:rsid w:val="008869E7"/>
    <w:rsid w:val="00891D20"/>
    <w:rsid w:val="0089772C"/>
    <w:rsid w:val="008A15FB"/>
    <w:rsid w:val="008A24B6"/>
    <w:rsid w:val="008A2FAF"/>
    <w:rsid w:val="008A3FCA"/>
    <w:rsid w:val="008A4CC0"/>
    <w:rsid w:val="008A665F"/>
    <w:rsid w:val="008A7770"/>
    <w:rsid w:val="008B24C7"/>
    <w:rsid w:val="008B39B3"/>
    <w:rsid w:val="008B6388"/>
    <w:rsid w:val="008B7957"/>
    <w:rsid w:val="008C0395"/>
    <w:rsid w:val="008C0A0B"/>
    <w:rsid w:val="008C2CC7"/>
    <w:rsid w:val="008C67F5"/>
    <w:rsid w:val="008C6B42"/>
    <w:rsid w:val="008C73DF"/>
    <w:rsid w:val="008C74CC"/>
    <w:rsid w:val="008D049C"/>
    <w:rsid w:val="008D27C4"/>
    <w:rsid w:val="008D34E0"/>
    <w:rsid w:val="008D3F36"/>
    <w:rsid w:val="008D5473"/>
    <w:rsid w:val="008D6D1B"/>
    <w:rsid w:val="008E32EC"/>
    <w:rsid w:val="008E3879"/>
    <w:rsid w:val="008E4802"/>
    <w:rsid w:val="0090486A"/>
    <w:rsid w:val="0090498F"/>
    <w:rsid w:val="009109BC"/>
    <w:rsid w:val="00910E16"/>
    <w:rsid w:val="009110BC"/>
    <w:rsid w:val="009110C9"/>
    <w:rsid w:val="009148DE"/>
    <w:rsid w:val="00915264"/>
    <w:rsid w:val="009201A9"/>
    <w:rsid w:val="00923F59"/>
    <w:rsid w:val="009244DC"/>
    <w:rsid w:val="0092471E"/>
    <w:rsid w:val="0092595A"/>
    <w:rsid w:val="00930B59"/>
    <w:rsid w:val="00931815"/>
    <w:rsid w:val="00931F9C"/>
    <w:rsid w:val="009322D8"/>
    <w:rsid w:val="00932E9D"/>
    <w:rsid w:val="00933F33"/>
    <w:rsid w:val="00935E64"/>
    <w:rsid w:val="00943448"/>
    <w:rsid w:val="00953B2F"/>
    <w:rsid w:val="00957538"/>
    <w:rsid w:val="00966EEF"/>
    <w:rsid w:val="00976FFD"/>
    <w:rsid w:val="00980AEC"/>
    <w:rsid w:val="00981D7F"/>
    <w:rsid w:val="00981DB2"/>
    <w:rsid w:val="00991099"/>
    <w:rsid w:val="0099117B"/>
    <w:rsid w:val="0099414E"/>
    <w:rsid w:val="00996513"/>
    <w:rsid w:val="00996BF2"/>
    <w:rsid w:val="009979EF"/>
    <w:rsid w:val="009A0E33"/>
    <w:rsid w:val="009A328C"/>
    <w:rsid w:val="009A467E"/>
    <w:rsid w:val="009A4A9E"/>
    <w:rsid w:val="009A7BD6"/>
    <w:rsid w:val="009B2B94"/>
    <w:rsid w:val="009B2B9C"/>
    <w:rsid w:val="009B33C1"/>
    <w:rsid w:val="009B6D27"/>
    <w:rsid w:val="009C0A1A"/>
    <w:rsid w:val="009C0C6F"/>
    <w:rsid w:val="009C0C99"/>
    <w:rsid w:val="009C148C"/>
    <w:rsid w:val="009C1E51"/>
    <w:rsid w:val="009C5AFB"/>
    <w:rsid w:val="009C6DAE"/>
    <w:rsid w:val="009D3977"/>
    <w:rsid w:val="009D49A4"/>
    <w:rsid w:val="009D5742"/>
    <w:rsid w:val="009D5FB5"/>
    <w:rsid w:val="009D7A53"/>
    <w:rsid w:val="009E3B60"/>
    <w:rsid w:val="009E5BF4"/>
    <w:rsid w:val="009E64AE"/>
    <w:rsid w:val="009E7218"/>
    <w:rsid w:val="009E75DB"/>
    <w:rsid w:val="009F2999"/>
    <w:rsid w:val="009F6997"/>
    <w:rsid w:val="009F77DE"/>
    <w:rsid w:val="00A02C05"/>
    <w:rsid w:val="00A02C31"/>
    <w:rsid w:val="00A0547F"/>
    <w:rsid w:val="00A067D7"/>
    <w:rsid w:val="00A07D84"/>
    <w:rsid w:val="00A14074"/>
    <w:rsid w:val="00A14A22"/>
    <w:rsid w:val="00A16F35"/>
    <w:rsid w:val="00A172EB"/>
    <w:rsid w:val="00A21282"/>
    <w:rsid w:val="00A223AD"/>
    <w:rsid w:val="00A233A8"/>
    <w:rsid w:val="00A23541"/>
    <w:rsid w:val="00A24F57"/>
    <w:rsid w:val="00A27338"/>
    <w:rsid w:val="00A320FE"/>
    <w:rsid w:val="00A37649"/>
    <w:rsid w:val="00A37896"/>
    <w:rsid w:val="00A4161F"/>
    <w:rsid w:val="00A43D0B"/>
    <w:rsid w:val="00A52272"/>
    <w:rsid w:val="00A544A2"/>
    <w:rsid w:val="00A5574D"/>
    <w:rsid w:val="00A55EA8"/>
    <w:rsid w:val="00A5694F"/>
    <w:rsid w:val="00A57DDD"/>
    <w:rsid w:val="00A60482"/>
    <w:rsid w:val="00A679CE"/>
    <w:rsid w:val="00A7305C"/>
    <w:rsid w:val="00A73681"/>
    <w:rsid w:val="00A77C76"/>
    <w:rsid w:val="00A82F26"/>
    <w:rsid w:val="00A847C9"/>
    <w:rsid w:val="00A84C4E"/>
    <w:rsid w:val="00A84F3E"/>
    <w:rsid w:val="00A9397F"/>
    <w:rsid w:val="00A93C0E"/>
    <w:rsid w:val="00A95545"/>
    <w:rsid w:val="00A974F4"/>
    <w:rsid w:val="00A97A0F"/>
    <w:rsid w:val="00AA6982"/>
    <w:rsid w:val="00AB1874"/>
    <w:rsid w:val="00AB18E5"/>
    <w:rsid w:val="00AB288F"/>
    <w:rsid w:val="00AB2EBA"/>
    <w:rsid w:val="00AB52D6"/>
    <w:rsid w:val="00AB5CC7"/>
    <w:rsid w:val="00AB6046"/>
    <w:rsid w:val="00AB71C1"/>
    <w:rsid w:val="00AC1971"/>
    <w:rsid w:val="00AC39F1"/>
    <w:rsid w:val="00AC4F20"/>
    <w:rsid w:val="00AC7A8C"/>
    <w:rsid w:val="00AC7CF3"/>
    <w:rsid w:val="00AD3AE3"/>
    <w:rsid w:val="00AD6480"/>
    <w:rsid w:val="00AD6A8E"/>
    <w:rsid w:val="00AE2D7F"/>
    <w:rsid w:val="00AE3DBE"/>
    <w:rsid w:val="00AE5124"/>
    <w:rsid w:val="00AE7E2B"/>
    <w:rsid w:val="00AF0751"/>
    <w:rsid w:val="00AF3682"/>
    <w:rsid w:val="00AF4B29"/>
    <w:rsid w:val="00AF4D98"/>
    <w:rsid w:val="00B0153F"/>
    <w:rsid w:val="00B0211C"/>
    <w:rsid w:val="00B02EC3"/>
    <w:rsid w:val="00B114C9"/>
    <w:rsid w:val="00B11686"/>
    <w:rsid w:val="00B119B0"/>
    <w:rsid w:val="00B11A76"/>
    <w:rsid w:val="00B12F67"/>
    <w:rsid w:val="00B1364A"/>
    <w:rsid w:val="00B21DCE"/>
    <w:rsid w:val="00B22A88"/>
    <w:rsid w:val="00B23452"/>
    <w:rsid w:val="00B2434A"/>
    <w:rsid w:val="00B34222"/>
    <w:rsid w:val="00B36851"/>
    <w:rsid w:val="00B37752"/>
    <w:rsid w:val="00B37E69"/>
    <w:rsid w:val="00B402AC"/>
    <w:rsid w:val="00B40587"/>
    <w:rsid w:val="00B42513"/>
    <w:rsid w:val="00B42D36"/>
    <w:rsid w:val="00B4389D"/>
    <w:rsid w:val="00B44602"/>
    <w:rsid w:val="00B51EA8"/>
    <w:rsid w:val="00B525B7"/>
    <w:rsid w:val="00B52D7F"/>
    <w:rsid w:val="00B53427"/>
    <w:rsid w:val="00B53F1E"/>
    <w:rsid w:val="00B540C8"/>
    <w:rsid w:val="00B55AF2"/>
    <w:rsid w:val="00B5702F"/>
    <w:rsid w:val="00B62BBC"/>
    <w:rsid w:val="00B632E4"/>
    <w:rsid w:val="00B65117"/>
    <w:rsid w:val="00B653D2"/>
    <w:rsid w:val="00B663EB"/>
    <w:rsid w:val="00B70081"/>
    <w:rsid w:val="00B7010C"/>
    <w:rsid w:val="00B7067F"/>
    <w:rsid w:val="00B7280E"/>
    <w:rsid w:val="00B73391"/>
    <w:rsid w:val="00B80F91"/>
    <w:rsid w:val="00B81AA2"/>
    <w:rsid w:val="00B832F8"/>
    <w:rsid w:val="00B92CF1"/>
    <w:rsid w:val="00B940AE"/>
    <w:rsid w:val="00B942AE"/>
    <w:rsid w:val="00B94A80"/>
    <w:rsid w:val="00B9584D"/>
    <w:rsid w:val="00B95A68"/>
    <w:rsid w:val="00B95D17"/>
    <w:rsid w:val="00B97DE6"/>
    <w:rsid w:val="00BA22E2"/>
    <w:rsid w:val="00BA477E"/>
    <w:rsid w:val="00BA60DC"/>
    <w:rsid w:val="00BB1BAA"/>
    <w:rsid w:val="00BB2DB5"/>
    <w:rsid w:val="00BB539D"/>
    <w:rsid w:val="00BB6C2B"/>
    <w:rsid w:val="00BC01F6"/>
    <w:rsid w:val="00BC1DA0"/>
    <w:rsid w:val="00BC5CCE"/>
    <w:rsid w:val="00BC7DF5"/>
    <w:rsid w:val="00BD0C54"/>
    <w:rsid w:val="00BD1F86"/>
    <w:rsid w:val="00BD27D2"/>
    <w:rsid w:val="00BD731A"/>
    <w:rsid w:val="00BE0899"/>
    <w:rsid w:val="00BE285D"/>
    <w:rsid w:val="00BE6CAE"/>
    <w:rsid w:val="00BE7B23"/>
    <w:rsid w:val="00BE7B8F"/>
    <w:rsid w:val="00BE7DEC"/>
    <w:rsid w:val="00BF168C"/>
    <w:rsid w:val="00BF23F7"/>
    <w:rsid w:val="00BF3D01"/>
    <w:rsid w:val="00C01196"/>
    <w:rsid w:val="00C02B36"/>
    <w:rsid w:val="00C057A9"/>
    <w:rsid w:val="00C05DC0"/>
    <w:rsid w:val="00C06382"/>
    <w:rsid w:val="00C076FA"/>
    <w:rsid w:val="00C07E88"/>
    <w:rsid w:val="00C120B4"/>
    <w:rsid w:val="00C12E07"/>
    <w:rsid w:val="00C1307A"/>
    <w:rsid w:val="00C13F77"/>
    <w:rsid w:val="00C162BF"/>
    <w:rsid w:val="00C16CF3"/>
    <w:rsid w:val="00C20B01"/>
    <w:rsid w:val="00C24C43"/>
    <w:rsid w:val="00C26E17"/>
    <w:rsid w:val="00C27328"/>
    <w:rsid w:val="00C27F40"/>
    <w:rsid w:val="00C30116"/>
    <w:rsid w:val="00C313A3"/>
    <w:rsid w:val="00C34071"/>
    <w:rsid w:val="00C34809"/>
    <w:rsid w:val="00C3798B"/>
    <w:rsid w:val="00C41BD8"/>
    <w:rsid w:val="00C430B1"/>
    <w:rsid w:val="00C43C7F"/>
    <w:rsid w:val="00C45458"/>
    <w:rsid w:val="00C5218F"/>
    <w:rsid w:val="00C529EB"/>
    <w:rsid w:val="00C534E6"/>
    <w:rsid w:val="00C53B61"/>
    <w:rsid w:val="00C54D23"/>
    <w:rsid w:val="00C55EED"/>
    <w:rsid w:val="00C56B44"/>
    <w:rsid w:val="00C607D5"/>
    <w:rsid w:val="00C608A4"/>
    <w:rsid w:val="00C63770"/>
    <w:rsid w:val="00C64DFB"/>
    <w:rsid w:val="00C66D2D"/>
    <w:rsid w:val="00C77A89"/>
    <w:rsid w:val="00C8109C"/>
    <w:rsid w:val="00C820A2"/>
    <w:rsid w:val="00C821C0"/>
    <w:rsid w:val="00C8256F"/>
    <w:rsid w:val="00C8352C"/>
    <w:rsid w:val="00C83610"/>
    <w:rsid w:val="00C84DD3"/>
    <w:rsid w:val="00C854B1"/>
    <w:rsid w:val="00C87EE0"/>
    <w:rsid w:val="00C92206"/>
    <w:rsid w:val="00C94391"/>
    <w:rsid w:val="00C94C38"/>
    <w:rsid w:val="00C95208"/>
    <w:rsid w:val="00C962FB"/>
    <w:rsid w:val="00C976DC"/>
    <w:rsid w:val="00CA1B63"/>
    <w:rsid w:val="00CA1BC2"/>
    <w:rsid w:val="00CA31D6"/>
    <w:rsid w:val="00CB1B4C"/>
    <w:rsid w:val="00CB22A9"/>
    <w:rsid w:val="00CB7EB7"/>
    <w:rsid w:val="00CC25B0"/>
    <w:rsid w:val="00CC2CF5"/>
    <w:rsid w:val="00CC481A"/>
    <w:rsid w:val="00CC6074"/>
    <w:rsid w:val="00CC67FF"/>
    <w:rsid w:val="00CC6C2F"/>
    <w:rsid w:val="00CD3681"/>
    <w:rsid w:val="00CD3DE7"/>
    <w:rsid w:val="00CD53F8"/>
    <w:rsid w:val="00CD7FB1"/>
    <w:rsid w:val="00CE11A5"/>
    <w:rsid w:val="00CE2805"/>
    <w:rsid w:val="00CE7D6E"/>
    <w:rsid w:val="00CF44C1"/>
    <w:rsid w:val="00D00192"/>
    <w:rsid w:val="00D023D4"/>
    <w:rsid w:val="00D0520C"/>
    <w:rsid w:val="00D113CD"/>
    <w:rsid w:val="00D113DB"/>
    <w:rsid w:val="00D12955"/>
    <w:rsid w:val="00D12AE5"/>
    <w:rsid w:val="00D16C1F"/>
    <w:rsid w:val="00D177E2"/>
    <w:rsid w:val="00D22222"/>
    <w:rsid w:val="00D223B2"/>
    <w:rsid w:val="00D276B6"/>
    <w:rsid w:val="00D305BF"/>
    <w:rsid w:val="00D3274B"/>
    <w:rsid w:val="00D34401"/>
    <w:rsid w:val="00D349A8"/>
    <w:rsid w:val="00D377B7"/>
    <w:rsid w:val="00D37AC3"/>
    <w:rsid w:val="00D420FF"/>
    <w:rsid w:val="00D43E42"/>
    <w:rsid w:val="00D448C2"/>
    <w:rsid w:val="00D46C85"/>
    <w:rsid w:val="00D56E74"/>
    <w:rsid w:val="00D618F9"/>
    <w:rsid w:val="00D61922"/>
    <w:rsid w:val="00D64809"/>
    <w:rsid w:val="00D67D54"/>
    <w:rsid w:val="00D67E5D"/>
    <w:rsid w:val="00D733C3"/>
    <w:rsid w:val="00D773E9"/>
    <w:rsid w:val="00D916D6"/>
    <w:rsid w:val="00D919E0"/>
    <w:rsid w:val="00D920CC"/>
    <w:rsid w:val="00D94F3A"/>
    <w:rsid w:val="00D97020"/>
    <w:rsid w:val="00DA31A7"/>
    <w:rsid w:val="00DA3386"/>
    <w:rsid w:val="00DA4F93"/>
    <w:rsid w:val="00DB1E77"/>
    <w:rsid w:val="00DB20A7"/>
    <w:rsid w:val="00DB4C23"/>
    <w:rsid w:val="00DC1577"/>
    <w:rsid w:val="00DC4DDE"/>
    <w:rsid w:val="00DC60C3"/>
    <w:rsid w:val="00DC6A4F"/>
    <w:rsid w:val="00DC7292"/>
    <w:rsid w:val="00DD1B52"/>
    <w:rsid w:val="00DD2473"/>
    <w:rsid w:val="00DD2D6B"/>
    <w:rsid w:val="00DD2D6D"/>
    <w:rsid w:val="00DD41D1"/>
    <w:rsid w:val="00DD663D"/>
    <w:rsid w:val="00DD7C13"/>
    <w:rsid w:val="00DE1A1E"/>
    <w:rsid w:val="00DE675A"/>
    <w:rsid w:val="00DF0138"/>
    <w:rsid w:val="00DF17DF"/>
    <w:rsid w:val="00DF1C2C"/>
    <w:rsid w:val="00DF2392"/>
    <w:rsid w:val="00DF35C6"/>
    <w:rsid w:val="00DF4145"/>
    <w:rsid w:val="00DF4D21"/>
    <w:rsid w:val="00E029E8"/>
    <w:rsid w:val="00E03646"/>
    <w:rsid w:val="00E038F6"/>
    <w:rsid w:val="00E0456D"/>
    <w:rsid w:val="00E04F9B"/>
    <w:rsid w:val="00E07A13"/>
    <w:rsid w:val="00E10C23"/>
    <w:rsid w:val="00E1357F"/>
    <w:rsid w:val="00E13661"/>
    <w:rsid w:val="00E13866"/>
    <w:rsid w:val="00E1516A"/>
    <w:rsid w:val="00E165A1"/>
    <w:rsid w:val="00E2079F"/>
    <w:rsid w:val="00E20ECA"/>
    <w:rsid w:val="00E217C9"/>
    <w:rsid w:val="00E21FA2"/>
    <w:rsid w:val="00E22428"/>
    <w:rsid w:val="00E23167"/>
    <w:rsid w:val="00E23CE4"/>
    <w:rsid w:val="00E24840"/>
    <w:rsid w:val="00E320C0"/>
    <w:rsid w:val="00E33127"/>
    <w:rsid w:val="00E40C91"/>
    <w:rsid w:val="00E424C8"/>
    <w:rsid w:val="00E430F6"/>
    <w:rsid w:val="00E500DB"/>
    <w:rsid w:val="00E5308E"/>
    <w:rsid w:val="00E5348A"/>
    <w:rsid w:val="00E53843"/>
    <w:rsid w:val="00E53A05"/>
    <w:rsid w:val="00E55841"/>
    <w:rsid w:val="00E65F62"/>
    <w:rsid w:val="00E66604"/>
    <w:rsid w:val="00E7159C"/>
    <w:rsid w:val="00E72869"/>
    <w:rsid w:val="00E73E05"/>
    <w:rsid w:val="00E763C8"/>
    <w:rsid w:val="00E76B42"/>
    <w:rsid w:val="00E7707D"/>
    <w:rsid w:val="00E8091F"/>
    <w:rsid w:val="00E83712"/>
    <w:rsid w:val="00E83F5F"/>
    <w:rsid w:val="00E86BDF"/>
    <w:rsid w:val="00E92AE4"/>
    <w:rsid w:val="00EA1138"/>
    <w:rsid w:val="00EA27B3"/>
    <w:rsid w:val="00EA2F85"/>
    <w:rsid w:val="00EA453E"/>
    <w:rsid w:val="00EA4ABE"/>
    <w:rsid w:val="00EA4DE6"/>
    <w:rsid w:val="00EB62BC"/>
    <w:rsid w:val="00EB710F"/>
    <w:rsid w:val="00EC53B2"/>
    <w:rsid w:val="00EC5413"/>
    <w:rsid w:val="00EC670A"/>
    <w:rsid w:val="00ED48C8"/>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541F"/>
    <w:rsid w:val="00F155DD"/>
    <w:rsid w:val="00F15A47"/>
    <w:rsid w:val="00F171AF"/>
    <w:rsid w:val="00F208B0"/>
    <w:rsid w:val="00F20C54"/>
    <w:rsid w:val="00F20DE7"/>
    <w:rsid w:val="00F21260"/>
    <w:rsid w:val="00F234CB"/>
    <w:rsid w:val="00F23587"/>
    <w:rsid w:val="00F239B3"/>
    <w:rsid w:val="00F239EE"/>
    <w:rsid w:val="00F26AD7"/>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BC4"/>
    <w:rsid w:val="00F445A8"/>
    <w:rsid w:val="00F45849"/>
    <w:rsid w:val="00F45E6E"/>
    <w:rsid w:val="00F47A61"/>
    <w:rsid w:val="00F47B6A"/>
    <w:rsid w:val="00F50124"/>
    <w:rsid w:val="00F52D28"/>
    <w:rsid w:val="00F55BF9"/>
    <w:rsid w:val="00F60384"/>
    <w:rsid w:val="00F615EF"/>
    <w:rsid w:val="00F64608"/>
    <w:rsid w:val="00F64D9F"/>
    <w:rsid w:val="00F658AB"/>
    <w:rsid w:val="00F65D4F"/>
    <w:rsid w:val="00F66864"/>
    <w:rsid w:val="00F67AF6"/>
    <w:rsid w:val="00F7161F"/>
    <w:rsid w:val="00F723EF"/>
    <w:rsid w:val="00F726DA"/>
    <w:rsid w:val="00F72C6E"/>
    <w:rsid w:val="00F752EE"/>
    <w:rsid w:val="00F75B18"/>
    <w:rsid w:val="00F768EE"/>
    <w:rsid w:val="00F82A19"/>
    <w:rsid w:val="00F908B1"/>
    <w:rsid w:val="00F9301B"/>
    <w:rsid w:val="00F930B1"/>
    <w:rsid w:val="00F941F2"/>
    <w:rsid w:val="00F96924"/>
    <w:rsid w:val="00FA09EE"/>
    <w:rsid w:val="00FA193E"/>
    <w:rsid w:val="00FA494A"/>
    <w:rsid w:val="00FA5F86"/>
    <w:rsid w:val="00FA6A5C"/>
    <w:rsid w:val="00FA71E1"/>
    <w:rsid w:val="00FB175E"/>
    <w:rsid w:val="00FB1A43"/>
    <w:rsid w:val="00FB296E"/>
    <w:rsid w:val="00FB53C2"/>
    <w:rsid w:val="00FB59BB"/>
    <w:rsid w:val="00FB5A73"/>
    <w:rsid w:val="00FB5FBE"/>
    <w:rsid w:val="00FB6DA4"/>
    <w:rsid w:val="00FB7D62"/>
    <w:rsid w:val="00FC0392"/>
    <w:rsid w:val="00FC1AA2"/>
    <w:rsid w:val="00FC202E"/>
    <w:rsid w:val="00FC241F"/>
    <w:rsid w:val="00FC2DF1"/>
    <w:rsid w:val="00FD0674"/>
    <w:rsid w:val="00FD14FF"/>
    <w:rsid w:val="00FD6166"/>
    <w:rsid w:val="00FD6B43"/>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0C19"/>
  <w15:docId w15:val="{900FC64F-F766-4145-A823-8CBC0538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374-05"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ramitacion.senado.cl/appsenado/index.php?mo=tramitacion&amp;ac=getDocto&amp;iddocto=22411&amp;tipodoc=docto_comision" TargetMode="External"/><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8009&amp;tipodoc=mensaje_mocio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5-03-26/070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225;n%20Montenegro\OneDrive\Escritorio\SENADO\17.374-05.%20PdL,%20PRIMER%20TR&#193;MITE%20CONSTITUCIONAL,%20BONO%20PDI\17.374-05.%20Bono%20PDI%20(borrador%20sm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96534-0545-4B47-94F1-E0245605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17.374-05. Bono PDI (borrador sma)</Template>
  <TotalTime>2</TotalTime>
  <Pages>15</Pages>
  <Words>4173</Words>
  <Characters>22955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27074</CharactersWithSpaces>
  <SharedDoc>false</SharedDoc>
  <HLinks>
    <vt:vector size="204" baseType="variant">
      <vt:variant>
        <vt:i4>1703999</vt:i4>
      </vt:variant>
      <vt:variant>
        <vt:i4>143</vt:i4>
      </vt:variant>
      <vt:variant>
        <vt:i4>0</vt:i4>
      </vt:variant>
      <vt:variant>
        <vt:i4>5</vt:i4>
      </vt:variant>
      <vt:variant>
        <vt:lpwstr/>
      </vt:variant>
      <vt:variant>
        <vt:lpwstr>_Toc80957991</vt:lpwstr>
      </vt:variant>
      <vt:variant>
        <vt:i4>1769535</vt:i4>
      </vt:variant>
      <vt:variant>
        <vt:i4>137</vt:i4>
      </vt:variant>
      <vt:variant>
        <vt:i4>0</vt:i4>
      </vt:variant>
      <vt:variant>
        <vt:i4>5</vt:i4>
      </vt:variant>
      <vt:variant>
        <vt:lpwstr/>
      </vt:variant>
      <vt:variant>
        <vt:lpwstr>_Toc80957990</vt:lpwstr>
      </vt:variant>
      <vt:variant>
        <vt:i4>1179710</vt:i4>
      </vt:variant>
      <vt:variant>
        <vt:i4>131</vt:i4>
      </vt:variant>
      <vt:variant>
        <vt:i4>0</vt:i4>
      </vt:variant>
      <vt:variant>
        <vt:i4>5</vt:i4>
      </vt:variant>
      <vt:variant>
        <vt:lpwstr/>
      </vt:variant>
      <vt:variant>
        <vt:lpwstr>_Toc80957989</vt:lpwstr>
      </vt:variant>
      <vt:variant>
        <vt:i4>1245246</vt:i4>
      </vt:variant>
      <vt:variant>
        <vt:i4>125</vt:i4>
      </vt:variant>
      <vt:variant>
        <vt:i4>0</vt:i4>
      </vt:variant>
      <vt:variant>
        <vt:i4>5</vt:i4>
      </vt:variant>
      <vt:variant>
        <vt:lpwstr/>
      </vt:variant>
      <vt:variant>
        <vt:lpwstr>_Toc80957988</vt:lpwstr>
      </vt:variant>
      <vt:variant>
        <vt:i4>1835070</vt:i4>
      </vt:variant>
      <vt:variant>
        <vt:i4>119</vt:i4>
      </vt:variant>
      <vt:variant>
        <vt:i4>0</vt:i4>
      </vt:variant>
      <vt:variant>
        <vt:i4>5</vt:i4>
      </vt:variant>
      <vt:variant>
        <vt:lpwstr/>
      </vt:variant>
      <vt:variant>
        <vt:lpwstr>_Toc80957987</vt:lpwstr>
      </vt:variant>
      <vt:variant>
        <vt:i4>1900606</vt:i4>
      </vt:variant>
      <vt:variant>
        <vt:i4>113</vt:i4>
      </vt:variant>
      <vt:variant>
        <vt:i4>0</vt:i4>
      </vt:variant>
      <vt:variant>
        <vt:i4>5</vt:i4>
      </vt:variant>
      <vt:variant>
        <vt:lpwstr/>
      </vt:variant>
      <vt:variant>
        <vt:lpwstr>_Toc80957986</vt:lpwstr>
      </vt:variant>
      <vt:variant>
        <vt:i4>1966142</vt:i4>
      </vt:variant>
      <vt:variant>
        <vt:i4>107</vt:i4>
      </vt:variant>
      <vt:variant>
        <vt:i4>0</vt:i4>
      </vt:variant>
      <vt:variant>
        <vt:i4>5</vt:i4>
      </vt:variant>
      <vt:variant>
        <vt:lpwstr/>
      </vt:variant>
      <vt:variant>
        <vt:lpwstr>_Toc80957985</vt:lpwstr>
      </vt:variant>
      <vt:variant>
        <vt:i4>2031678</vt:i4>
      </vt:variant>
      <vt:variant>
        <vt:i4>101</vt:i4>
      </vt:variant>
      <vt:variant>
        <vt:i4>0</vt:i4>
      </vt:variant>
      <vt:variant>
        <vt:i4>5</vt:i4>
      </vt:variant>
      <vt:variant>
        <vt:lpwstr/>
      </vt:variant>
      <vt:variant>
        <vt:lpwstr>_Toc80957984</vt:lpwstr>
      </vt:variant>
      <vt:variant>
        <vt:i4>1572926</vt:i4>
      </vt:variant>
      <vt:variant>
        <vt:i4>95</vt:i4>
      </vt:variant>
      <vt:variant>
        <vt:i4>0</vt:i4>
      </vt:variant>
      <vt:variant>
        <vt:i4>5</vt:i4>
      </vt:variant>
      <vt:variant>
        <vt:lpwstr/>
      </vt:variant>
      <vt:variant>
        <vt:lpwstr>_Toc80957983</vt:lpwstr>
      </vt:variant>
      <vt:variant>
        <vt:i4>1638462</vt:i4>
      </vt:variant>
      <vt:variant>
        <vt:i4>89</vt:i4>
      </vt:variant>
      <vt:variant>
        <vt:i4>0</vt:i4>
      </vt:variant>
      <vt:variant>
        <vt:i4>5</vt:i4>
      </vt:variant>
      <vt:variant>
        <vt:lpwstr/>
      </vt:variant>
      <vt:variant>
        <vt:lpwstr>_Toc80957982</vt:lpwstr>
      </vt:variant>
      <vt:variant>
        <vt:i4>1703998</vt:i4>
      </vt:variant>
      <vt:variant>
        <vt:i4>83</vt:i4>
      </vt:variant>
      <vt:variant>
        <vt:i4>0</vt:i4>
      </vt:variant>
      <vt:variant>
        <vt:i4>5</vt:i4>
      </vt:variant>
      <vt:variant>
        <vt:lpwstr/>
      </vt:variant>
      <vt:variant>
        <vt:lpwstr>_Toc80957981</vt:lpwstr>
      </vt:variant>
      <vt:variant>
        <vt:i4>1769534</vt:i4>
      </vt:variant>
      <vt:variant>
        <vt:i4>77</vt:i4>
      </vt:variant>
      <vt:variant>
        <vt:i4>0</vt:i4>
      </vt:variant>
      <vt:variant>
        <vt:i4>5</vt:i4>
      </vt:variant>
      <vt:variant>
        <vt:lpwstr/>
      </vt:variant>
      <vt:variant>
        <vt:lpwstr>_Toc80957980</vt:lpwstr>
      </vt:variant>
      <vt:variant>
        <vt:i4>1179697</vt:i4>
      </vt:variant>
      <vt:variant>
        <vt:i4>71</vt:i4>
      </vt:variant>
      <vt:variant>
        <vt:i4>0</vt:i4>
      </vt:variant>
      <vt:variant>
        <vt:i4>5</vt:i4>
      </vt:variant>
      <vt:variant>
        <vt:lpwstr/>
      </vt:variant>
      <vt:variant>
        <vt:lpwstr>_Toc80957979</vt:lpwstr>
      </vt:variant>
      <vt:variant>
        <vt:i4>1245233</vt:i4>
      </vt:variant>
      <vt:variant>
        <vt:i4>65</vt:i4>
      </vt:variant>
      <vt:variant>
        <vt:i4>0</vt:i4>
      </vt:variant>
      <vt:variant>
        <vt:i4>5</vt:i4>
      </vt:variant>
      <vt:variant>
        <vt:lpwstr/>
      </vt:variant>
      <vt:variant>
        <vt:lpwstr>_Toc80957978</vt:lpwstr>
      </vt:variant>
      <vt:variant>
        <vt:i4>1835057</vt:i4>
      </vt:variant>
      <vt:variant>
        <vt:i4>59</vt:i4>
      </vt:variant>
      <vt:variant>
        <vt:i4>0</vt:i4>
      </vt:variant>
      <vt:variant>
        <vt:i4>5</vt:i4>
      </vt:variant>
      <vt:variant>
        <vt:lpwstr/>
      </vt:variant>
      <vt:variant>
        <vt:lpwstr>_Toc80957977</vt:lpwstr>
      </vt:variant>
      <vt:variant>
        <vt:i4>327705</vt:i4>
      </vt:variant>
      <vt:variant>
        <vt:i4>54</vt:i4>
      </vt:variant>
      <vt:variant>
        <vt:i4>0</vt:i4>
      </vt:variant>
      <vt:variant>
        <vt:i4>5</vt:i4>
      </vt:variant>
      <vt:variant>
        <vt:lpwstr/>
      </vt:variant>
      <vt:variant>
        <vt:lpwstr>propuestacambionombre</vt:lpwstr>
      </vt:variant>
      <vt:variant>
        <vt:i4>7864442</vt:i4>
      </vt:variant>
      <vt:variant>
        <vt:i4>51</vt:i4>
      </vt:variant>
      <vt:variant>
        <vt:i4>0</vt:i4>
      </vt:variant>
      <vt:variant>
        <vt:i4>5</vt:i4>
      </vt:variant>
      <vt:variant>
        <vt:lpwstr/>
      </vt:variant>
      <vt:variant>
        <vt:lpwstr>reseervaconstitucionalidad</vt:lpwstr>
      </vt:variant>
      <vt:variant>
        <vt:i4>6422639</vt:i4>
      </vt:variant>
      <vt:variant>
        <vt:i4>48</vt:i4>
      </vt:variant>
      <vt:variant>
        <vt:i4>0</vt:i4>
      </vt:variant>
      <vt:variant>
        <vt:i4>5</vt:i4>
      </vt:variant>
      <vt:variant>
        <vt:lpwstr/>
      </vt:variant>
      <vt:variant>
        <vt:lpwstr>consultaCS</vt:lpwstr>
      </vt:variant>
      <vt:variant>
        <vt:i4>1769494</vt:i4>
      </vt:variant>
      <vt:variant>
        <vt:i4>45</vt:i4>
      </vt:variant>
      <vt:variant>
        <vt:i4>0</vt:i4>
      </vt:variant>
      <vt:variant>
        <vt:i4>5</vt:i4>
      </vt:variant>
      <vt:variant>
        <vt:lpwstr/>
      </vt:variant>
      <vt:variant>
        <vt:lpwstr>normasquorum</vt:lpwstr>
      </vt:variant>
      <vt:variant>
        <vt:i4>393225</vt:i4>
      </vt:variant>
      <vt:variant>
        <vt:i4>42</vt:i4>
      </vt:variant>
      <vt:variant>
        <vt:i4>0</vt:i4>
      </vt:variant>
      <vt:variant>
        <vt:i4>5</vt:i4>
      </vt:variant>
      <vt:variant>
        <vt:lpwstr/>
      </vt:variant>
      <vt:variant>
        <vt:lpwstr>resumenejecutivo</vt:lpwstr>
      </vt:variant>
      <vt:variant>
        <vt:i4>2031630</vt:i4>
      </vt:variant>
      <vt:variant>
        <vt:i4>39</vt:i4>
      </vt:variant>
      <vt:variant>
        <vt:i4>0</vt:i4>
      </vt:variant>
      <vt:variant>
        <vt:i4>5</vt:i4>
      </vt:variant>
      <vt:variant>
        <vt:lpwstr/>
      </vt:variant>
      <vt:variant>
        <vt:lpwstr>acordado</vt:lpwstr>
      </vt:variant>
      <vt:variant>
        <vt:i4>2031627</vt:i4>
      </vt:variant>
      <vt:variant>
        <vt:i4>36</vt:i4>
      </vt:variant>
      <vt:variant>
        <vt:i4>0</vt:i4>
      </vt:variant>
      <vt:variant>
        <vt:i4>5</vt:i4>
      </vt:variant>
      <vt:variant>
        <vt:lpwstr/>
      </vt:variant>
      <vt:variant>
        <vt:lpwstr>textoproyecto</vt:lpwstr>
      </vt:variant>
      <vt:variant>
        <vt:i4>1114134</vt:i4>
      </vt:variant>
      <vt:variant>
        <vt:i4>33</vt:i4>
      </vt:variant>
      <vt:variant>
        <vt:i4>0</vt:i4>
      </vt:variant>
      <vt:variant>
        <vt:i4>5</vt:i4>
      </vt:variant>
      <vt:variant>
        <vt:lpwstr/>
      </vt:variant>
      <vt:variant>
        <vt:lpwstr>informefinanciero</vt:lpwstr>
      </vt:variant>
      <vt:variant>
        <vt:i4>6815977</vt:i4>
      </vt:variant>
      <vt:variant>
        <vt:i4>30</vt:i4>
      </vt:variant>
      <vt:variant>
        <vt:i4>0</vt:i4>
      </vt:variant>
      <vt:variant>
        <vt:i4>5</vt:i4>
      </vt:variant>
      <vt:variant>
        <vt:lpwstr/>
      </vt:variant>
      <vt:variant>
        <vt:lpwstr>votacióngeneral</vt:lpwstr>
      </vt:variant>
      <vt:variant>
        <vt:i4>10289156</vt:i4>
      </vt:variant>
      <vt:variant>
        <vt:i4>27</vt:i4>
      </vt:variant>
      <vt:variant>
        <vt:i4>0</vt:i4>
      </vt:variant>
      <vt:variant>
        <vt:i4>5</vt:i4>
      </vt:variant>
      <vt:variant>
        <vt:lpwstr/>
      </vt:variant>
      <vt:variant>
        <vt:lpwstr>discusióngeneral</vt:lpwstr>
      </vt:variant>
      <vt:variant>
        <vt:i4>262158</vt:i4>
      </vt:variant>
      <vt:variant>
        <vt:i4>24</vt:i4>
      </vt:variant>
      <vt:variant>
        <vt:i4>0</vt:i4>
      </vt:variant>
      <vt:variant>
        <vt:i4>5</vt:i4>
      </vt:variant>
      <vt:variant>
        <vt:lpwstr/>
      </vt:variant>
      <vt:variant>
        <vt:lpwstr>aspectoscentrales</vt:lpwstr>
      </vt:variant>
      <vt:variant>
        <vt:i4>786457</vt:i4>
      </vt:variant>
      <vt:variant>
        <vt:i4>21</vt:i4>
      </vt:variant>
      <vt:variant>
        <vt:i4>0</vt:i4>
      </vt:variant>
      <vt:variant>
        <vt:i4>5</vt:i4>
      </vt:variant>
      <vt:variant>
        <vt:lpwstr/>
      </vt:variant>
      <vt:variant>
        <vt:lpwstr>antecedentes</vt:lpwstr>
      </vt:variant>
      <vt:variant>
        <vt:i4>6750331</vt:i4>
      </vt:variant>
      <vt:variant>
        <vt:i4>18</vt:i4>
      </vt:variant>
      <vt:variant>
        <vt:i4>0</vt:i4>
      </vt:variant>
      <vt:variant>
        <vt:i4>5</vt:i4>
      </vt:variant>
      <vt:variant>
        <vt:lpwstr/>
      </vt:variant>
      <vt:variant>
        <vt:lpwstr>asistencia</vt:lpwstr>
      </vt:variant>
      <vt:variant>
        <vt:i4>327705</vt:i4>
      </vt:variant>
      <vt:variant>
        <vt:i4>15</vt:i4>
      </vt:variant>
      <vt:variant>
        <vt:i4>0</vt:i4>
      </vt:variant>
      <vt:variant>
        <vt:i4>5</vt:i4>
      </vt:variant>
      <vt:variant>
        <vt:lpwstr/>
      </vt:variant>
      <vt:variant>
        <vt:lpwstr>propuestacambionombre</vt:lpwstr>
      </vt:variant>
      <vt:variant>
        <vt:i4>7864442</vt:i4>
      </vt:variant>
      <vt:variant>
        <vt:i4>12</vt:i4>
      </vt:variant>
      <vt:variant>
        <vt:i4>0</vt:i4>
      </vt:variant>
      <vt:variant>
        <vt:i4>5</vt:i4>
      </vt:variant>
      <vt:variant>
        <vt:lpwstr/>
      </vt:variant>
      <vt:variant>
        <vt:lpwstr>reseervaconstitucionalidad</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Sebastián Montenegro</dc:creator>
  <cp:lastModifiedBy>Sebastián Montenegro</cp:lastModifiedBy>
  <cp:revision>4</cp:revision>
  <cp:lastPrinted>2010-08-09T16:03:00Z</cp:lastPrinted>
  <dcterms:created xsi:type="dcterms:W3CDTF">2025-03-26T18:16:00Z</dcterms:created>
  <dcterms:modified xsi:type="dcterms:W3CDTF">2025-03-26T18:30:00Z</dcterms:modified>
</cp:coreProperties>
</file>