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F0" w:rsidRPr="00E2245B" w:rsidRDefault="00DD17F0" w:rsidP="00E2245B">
      <w:pPr>
        <w:spacing w:line="276" w:lineRule="auto"/>
        <w:ind w:firstLine="851"/>
        <w:jc w:val="both"/>
        <w:rPr>
          <w:rFonts w:ascii="Calibri" w:hAnsi="Calibri" w:cs="Calibri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1"/>
        <w:gridCol w:w="8637"/>
      </w:tblGrid>
      <w:tr w:rsidR="00DD17F0" w:rsidRPr="006873A5">
        <w:trPr>
          <w:trHeight w:val="454"/>
          <w:tblHeader/>
        </w:trPr>
        <w:tc>
          <w:tcPr>
            <w:tcW w:w="2409" w:type="pct"/>
            <w:shd w:val="clear" w:color="auto" w:fill="E7E6E6"/>
            <w:vAlign w:val="center"/>
          </w:tcPr>
          <w:p w:rsidR="00DD17F0" w:rsidRPr="006873A5" w:rsidRDefault="00DD17F0" w:rsidP="006873A5">
            <w:pPr>
              <w:ind w:firstLine="284"/>
              <w:jc w:val="center"/>
              <w:rPr>
                <w:rFonts w:ascii="Calibri" w:hAnsi="Calibri" w:cs="Calibri"/>
                <w:b/>
                <w:bCs/>
              </w:rPr>
            </w:pPr>
            <w:r w:rsidRPr="006873A5">
              <w:rPr>
                <w:rFonts w:ascii="Calibri" w:hAnsi="Calibri" w:cs="Calibri"/>
                <w:b/>
                <w:bCs/>
              </w:rPr>
              <w:t>CÓDIGO PENAL</w:t>
            </w:r>
          </w:p>
        </w:tc>
        <w:tc>
          <w:tcPr>
            <w:tcW w:w="2591" w:type="pct"/>
            <w:shd w:val="clear" w:color="auto" w:fill="E7E6E6"/>
            <w:vAlign w:val="center"/>
          </w:tcPr>
          <w:p w:rsidR="00DD17F0" w:rsidRPr="006873A5" w:rsidRDefault="00DD17F0" w:rsidP="006873A5">
            <w:pPr>
              <w:suppressAutoHyphens/>
              <w:autoSpaceDE w:val="0"/>
              <w:ind w:firstLine="284"/>
              <w:jc w:val="center"/>
              <w:rPr>
                <w:rFonts w:ascii="Calibri" w:hAnsi="Calibri" w:cs="Calibri"/>
                <w:b/>
                <w:bCs/>
                <w:lang w:eastAsia="ar-SA"/>
              </w:rPr>
            </w:pPr>
            <w:r w:rsidRPr="006873A5">
              <w:rPr>
                <w:rFonts w:ascii="Calibri" w:hAnsi="Calibri" w:cs="Calibri"/>
                <w:b/>
                <w:bCs/>
                <w:lang w:eastAsia="ar-SA"/>
              </w:rPr>
              <w:t>PROYECTO DE LEY</w:t>
            </w:r>
            <w:r w:rsidRPr="006873A5">
              <w:rPr>
                <w:rStyle w:val="FootnoteReference"/>
                <w:rFonts w:ascii="Calibri" w:hAnsi="Calibri" w:cs="Calibri"/>
                <w:b/>
                <w:bCs/>
                <w:lang w:eastAsia="ar-SA"/>
              </w:rPr>
              <w:footnoteReference w:id="2"/>
            </w:r>
          </w:p>
        </w:tc>
      </w:tr>
      <w:tr w:rsidR="00DD17F0" w:rsidRPr="00E2245B">
        <w:tc>
          <w:tcPr>
            <w:tcW w:w="2409" w:type="pct"/>
          </w:tcPr>
          <w:p w:rsidR="00DD17F0" w:rsidRPr="00E2245B" w:rsidRDefault="00DD17F0" w:rsidP="006873A5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  <w:r w:rsidRPr="00E2245B">
              <w:rPr>
                <w:rFonts w:ascii="Calibri" w:hAnsi="Calibri" w:cs="Calibri"/>
                <w:b/>
                <w:bCs/>
                <w:color w:val="000000"/>
              </w:rPr>
              <w:t xml:space="preserve">Artículo 141.- </w:t>
            </w:r>
            <w:r w:rsidRPr="00E2245B">
              <w:rPr>
                <w:rFonts w:ascii="Calibri" w:hAnsi="Calibri" w:cs="Calibri"/>
                <w:color w:val="000000"/>
                <w:lang w:val="es-CL" w:eastAsia="es-CL"/>
              </w:rPr>
              <w:t>El que sin derecho encerrare o detuviere a otro privándolede su libertad, comete el delito de secuestro y será castigado con la pena de presidio o reclusión menor en su grado máximo.</w:t>
            </w:r>
          </w:p>
          <w:p w:rsidR="00DD17F0" w:rsidRPr="00E2245B" w:rsidRDefault="00DD17F0" w:rsidP="006873A5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</w:p>
          <w:p w:rsidR="00DD17F0" w:rsidRPr="00E2245B" w:rsidRDefault="00DD17F0" w:rsidP="006873A5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  <w:r w:rsidRPr="004C5924">
              <w:rPr>
                <w:rFonts w:ascii="Calibri" w:hAnsi="Calibri" w:cs="Calibri"/>
                <w:color w:val="000000"/>
                <w:lang w:val="es-CL" w:eastAsia="es-CL"/>
              </w:rPr>
              <w:t>En la misma pena incurrirá el que proporcionare lugar para la ejecución del delito.</w:t>
            </w:r>
          </w:p>
          <w:p w:rsidR="00DD17F0" w:rsidRPr="004C5924" w:rsidRDefault="00DD17F0" w:rsidP="006873A5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</w:p>
          <w:p w:rsidR="00DD17F0" w:rsidRPr="00E2245B" w:rsidRDefault="00DD17F0" w:rsidP="006873A5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  <w:r w:rsidRPr="004C5924">
              <w:rPr>
                <w:rFonts w:ascii="Calibri" w:hAnsi="Calibri" w:cs="Calibri"/>
                <w:color w:val="000000"/>
                <w:lang w:val="es-CL" w:eastAsia="es-CL"/>
              </w:rPr>
              <w:t>Si se ejecutare para obtener un rescate o imponer exigencias o arrancar decisiones</w:t>
            </w:r>
            <w:r w:rsidRPr="00E2245B">
              <w:rPr>
                <w:rFonts w:ascii="Calibri" w:hAnsi="Calibri" w:cs="Calibri"/>
                <w:b/>
                <w:bCs/>
                <w:color w:val="000000"/>
                <w:lang w:val="es-CL" w:eastAsia="es-CL"/>
              </w:rPr>
              <w:t>[…]</w:t>
            </w:r>
            <w:r w:rsidRPr="004C5924">
              <w:rPr>
                <w:rFonts w:ascii="Calibri" w:hAnsi="Calibri" w:cs="Calibri"/>
                <w:color w:val="000000"/>
                <w:lang w:val="es-CL" w:eastAsia="es-CL"/>
              </w:rPr>
              <w:t xml:space="preserve"> será castigado con la pena de presidio mayor en su grado mínimo a medio.</w:t>
            </w:r>
          </w:p>
          <w:p w:rsidR="00DD17F0" w:rsidRPr="004C5924" w:rsidRDefault="00DD17F0" w:rsidP="006873A5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</w:p>
          <w:p w:rsidR="00DD17F0" w:rsidRPr="00E2245B" w:rsidRDefault="00DD17F0" w:rsidP="006873A5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  <w:r w:rsidRPr="004C5924">
              <w:rPr>
                <w:rFonts w:ascii="Calibri" w:hAnsi="Calibri" w:cs="Calibri"/>
                <w:color w:val="000000"/>
                <w:lang w:val="es-CL" w:eastAsia="es-CL"/>
              </w:rPr>
              <w:t>Si en cualesquiera de los casos anteriores, el encierro o la detención se prolongare por más de quince días o si de ello resultare un daño grave en la persona o intereses del secuestrado, la pena será presidio mayor en su grado medio a máximo.</w:t>
            </w:r>
          </w:p>
          <w:p w:rsidR="00DD17F0" w:rsidRPr="004C5924" w:rsidRDefault="00DD17F0" w:rsidP="006873A5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</w:p>
          <w:p w:rsidR="00DD17F0" w:rsidRDefault="00DD17F0" w:rsidP="006873A5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  <w:r w:rsidRPr="004C5924">
              <w:rPr>
                <w:rFonts w:ascii="Calibri" w:hAnsi="Calibri" w:cs="Calibri"/>
                <w:color w:val="000000"/>
                <w:lang w:val="es-CL" w:eastAsia="es-CL"/>
              </w:rPr>
              <w:t>El que con motivo u ocasión del secuestro cometi</w:t>
            </w:r>
            <w:r>
              <w:rPr>
                <w:rFonts w:ascii="Calibri" w:hAnsi="Calibri" w:cs="Calibri"/>
                <w:color w:val="000000"/>
                <w:lang w:val="es-CL" w:eastAsia="es-CL"/>
              </w:rPr>
              <w:t xml:space="preserve">ere además homicidio, violación </w:t>
            </w:r>
            <w:r w:rsidRPr="004C5924">
              <w:rPr>
                <w:rFonts w:ascii="Calibri" w:hAnsi="Calibri" w:cs="Calibri"/>
                <w:color w:val="000000"/>
                <w:lang w:val="es-CL" w:eastAsia="es-CL"/>
              </w:rPr>
              <w:t>o algunas de las lesiones comprendidas en los artículos 395, 396 y 397 N° 1, en la persona del ofendido, será castigado con presidio mayor en su grado máximo a presidio perpetuo calificado.</w:t>
            </w:r>
          </w:p>
          <w:p w:rsidR="00DD17F0" w:rsidRPr="00E2245B" w:rsidRDefault="00DD17F0" w:rsidP="006873A5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</w:p>
        </w:tc>
        <w:tc>
          <w:tcPr>
            <w:tcW w:w="2591" w:type="pct"/>
          </w:tcPr>
          <w:p w:rsidR="00DD17F0" w:rsidRPr="006873A5" w:rsidRDefault="00DD17F0" w:rsidP="006873A5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DD17F0" w:rsidRPr="006873A5" w:rsidRDefault="00DD17F0" w:rsidP="006873A5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DD17F0" w:rsidRPr="006873A5" w:rsidRDefault="00DD17F0" w:rsidP="006873A5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DD17F0" w:rsidRPr="006873A5" w:rsidRDefault="00DD17F0" w:rsidP="006873A5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DD17F0" w:rsidRPr="006873A5" w:rsidRDefault="00DD17F0" w:rsidP="006873A5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DD17F0" w:rsidRPr="006873A5" w:rsidRDefault="00DD17F0" w:rsidP="006873A5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DD17F0" w:rsidRPr="00E2245B" w:rsidRDefault="00DD17F0" w:rsidP="006873A5">
            <w:pPr>
              <w:suppressAutoHyphens/>
              <w:ind w:firstLine="284"/>
              <w:jc w:val="both"/>
              <w:rPr>
                <w:rFonts w:ascii="Calibri" w:hAnsi="Calibri" w:cs="Calibri"/>
                <w:b/>
                <w:bCs/>
              </w:rPr>
            </w:pPr>
            <w:r w:rsidRPr="00E2245B">
              <w:rPr>
                <w:rFonts w:ascii="Calibri" w:hAnsi="Calibri" w:cs="Calibri"/>
                <w:b/>
                <w:bCs/>
              </w:rPr>
              <w:t>Artículo único.-</w:t>
            </w:r>
            <w:r w:rsidRPr="00E2245B">
              <w:rPr>
                <w:rFonts w:ascii="Calibri" w:hAnsi="Calibri" w:cs="Calibri"/>
              </w:rPr>
              <w:t>Intercálase en el inciso tercero del artículo 141 del Código Penal, entre las expresiones “decisiones” y “será”, la siguiente frase</w:t>
            </w:r>
            <w:r w:rsidRPr="00E2245B">
              <w:rPr>
                <w:rFonts w:ascii="Calibri" w:hAnsi="Calibri" w:cs="Calibri"/>
                <w:b/>
                <w:bCs/>
              </w:rPr>
              <w:t>: “, o si el encierro o detención se prolongare por más de 48 horas,”.</w:t>
            </w:r>
          </w:p>
          <w:p w:rsidR="00DD17F0" w:rsidRPr="00E2245B" w:rsidRDefault="00DD17F0" w:rsidP="006873A5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DD17F0" w:rsidRPr="00E2245B" w:rsidRDefault="00DD17F0" w:rsidP="006873A5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DD17F0" w:rsidRPr="00E2245B" w:rsidRDefault="00DD17F0" w:rsidP="006873A5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DD17F0" w:rsidRPr="00E2245B" w:rsidRDefault="00DD17F0" w:rsidP="006873A5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DD17F0" w:rsidRPr="00E2245B" w:rsidRDefault="00DD17F0" w:rsidP="006873A5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DD17F0" w:rsidRPr="00E2245B" w:rsidRDefault="00DD17F0" w:rsidP="006873A5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DD17F0" w:rsidRPr="00E2245B" w:rsidRDefault="00DD17F0" w:rsidP="006873A5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DD17F0" w:rsidRPr="00E2245B" w:rsidRDefault="00DD17F0" w:rsidP="006873A5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DD17F0" w:rsidRPr="00E2245B" w:rsidRDefault="00DD17F0" w:rsidP="006873A5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DD17F0" w:rsidRPr="00E2245B" w:rsidRDefault="00DD17F0" w:rsidP="006873A5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</w:tc>
      </w:tr>
    </w:tbl>
    <w:p w:rsidR="00DD17F0" w:rsidRPr="00E2245B" w:rsidRDefault="00DD17F0" w:rsidP="00E2245B">
      <w:pPr>
        <w:spacing w:line="276" w:lineRule="auto"/>
        <w:jc w:val="both"/>
        <w:rPr>
          <w:rFonts w:ascii="Calibri" w:hAnsi="Calibri" w:cs="Calibri"/>
        </w:rPr>
      </w:pPr>
    </w:p>
    <w:sectPr w:rsidR="00DD17F0" w:rsidRPr="00E2245B" w:rsidSect="00536C5F">
      <w:headerReference w:type="default" r:id="rId6"/>
      <w:footerReference w:type="default" r:id="rId7"/>
      <w:pgSz w:w="18720" w:h="12240" w:orient="landscape" w:code="133"/>
      <w:pgMar w:top="1134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7F0" w:rsidRDefault="00DD17F0" w:rsidP="00AD2BFA">
      <w:r>
        <w:separator/>
      </w:r>
    </w:p>
  </w:endnote>
  <w:endnote w:type="continuationSeparator" w:id="1">
    <w:p w:rsidR="00DD17F0" w:rsidRDefault="00DD17F0" w:rsidP="00AD2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F0" w:rsidRPr="00536C5F" w:rsidRDefault="00DD17F0" w:rsidP="00536C5F">
    <w:pPr>
      <w:pStyle w:val="Footer"/>
      <w:spacing w:line="240" w:lineRule="auto"/>
      <w:jc w:val="center"/>
      <w:rPr>
        <w:rFonts w:ascii="Calibri" w:hAnsi="Calibri" w:cs="Calibri"/>
        <w:lang w:val="es-CL"/>
      </w:rPr>
    </w:pPr>
    <w:r w:rsidRPr="00536C5F">
      <w:rPr>
        <w:rFonts w:ascii="Calibri" w:hAnsi="Calibri" w:cs="Calibri"/>
        <w:lang w:val="es-CL"/>
      </w:rPr>
      <w:t>COMISIÓN DE CONSTITUCIÓN, LEGISLACIÓN, JUSTICIA Y REGLAMENTO</w:t>
    </w:r>
  </w:p>
  <w:p w:rsidR="00DD17F0" w:rsidRPr="00536C5F" w:rsidRDefault="00DD17F0" w:rsidP="006873A5">
    <w:pPr>
      <w:pStyle w:val="Footer"/>
      <w:jc w:val="center"/>
      <w:rPr>
        <w:rFonts w:ascii="Calibri" w:hAnsi="Calibri" w:cs="Calibri"/>
        <w:lang w:val="es-CL"/>
      </w:rPr>
    </w:pPr>
    <w:r w:rsidRPr="00536C5F">
      <w:rPr>
        <w:rFonts w:ascii="Calibri" w:hAnsi="Calibri" w:cs="Calibri"/>
        <w:lang w:val="es-CL"/>
      </w:rPr>
      <w:t>CÁMARA DE DIPUTADOS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7F0" w:rsidRDefault="00DD17F0" w:rsidP="00AD2BFA">
      <w:r>
        <w:separator/>
      </w:r>
    </w:p>
  </w:footnote>
  <w:footnote w:type="continuationSeparator" w:id="1">
    <w:p w:rsidR="00DD17F0" w:rsidRDefault="00DD17F0" w:rsidP="00AD2BFA">
      <w:r>
        <w:continuationSeparator/>
      </w:r>
    </w:p>
  </w:footnote>
  <w:footnote w:id="2">
    <w:p w:rsidR="00DD17F0" w:rsidRDefault="00DD17F0" w:rsidP="00E2245B">
      <w:pPr>
        <w:pStyle w:val="FootnoteText"/>
        <w:jc w:val="both"/>
      </w:pPr>
      <w:r w:rsidRPr="00E2245B">
        <w:rPr>
          <w:rStyle w:val="FootnoteReference"/>
          <w:rFonts w:ascii="Calibri" w:hAnsi="Calibri" w:cs="Calibri"/>
        </w:rPr>
        <w:footnoteRef/>
      </w:r>
      <w:r w:rsidRPr="00E2245B">
        <w:rPr>
          <w:rFonts w:ascii="Calibri" w:hAnsi="Calibri" w:cs="Calibri"/>
          <w:lang w:val="es-CL"/>
        </w:rPr>
        <w:t xml:space="preserve">Proyecto ingresado el 12 de diciembre de 2022., </w:t>
      </w:r>
      <w:r>
        <w:rPr>
          <w:rFonts w:ascii="Calibri" w:hAnsi="Calibri" w:cs="Calibri"/>
          <w:lang w:val="es-CL"/>
        </w:rPr>
        <w:t xml:space="preserve">que </w:t>
      </w:r>
      <w:r w:rsidRPr="00E2245B">
        <w:rPr>
          <w:rFonts w:ascii="Calibri" w:hAnsi="Calibri" w:cs="Calibri"/>
          <w:lang w:val="es-CL"/>
        </w:rPr>
        <w:t>modificael tipo penal de secuestro regulado en el artículo 141 del C.P., incorporando dentro de las calificantes que serán castigadas con pena de presidio mayor en su grado mínimo a medio, el que la privación de libertad tenga una duración de más de 48 horas. Según consta en informe financiero N</w:t>
      </w:r>
      <w:r>
        <w:rPr>
          <w:rFonts w:ascii="Calibri" w:hAnsi="Calibri" w:cs="Calibri"/>
          <w:lang w:val="es-CL"/>
        </w:rPr>
        <w:t>° 227, el presente proyecto no i</w:t>
      </w:r>
      <w:r w:rsidRPr="00E2245B">
        <w:rPr>
          <w:rFonts w:ascii="Calibri" w:hAnsi="Calibri" w:cs="Calibri"/>
          <w:lang w:val="es-CL"/>
        </w:rPr>
        <w:t>rroga mayor gasto fiscal.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7F0" w:rsidRPr="00AD2BFA" w:rsidRDefault="00DD17F0" w:rsidP="006873A5">
    <w:pPr>
      <w:pStyle w:val="Header"/>
      <w:jc w:val="center"/>
      <w:rPr>
        <w:lang w:val="es-CL"/>
      </w:rPr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left:0;text-align:left;margin-left:-41.05pt;margin-top:-22.35pt;width:55.1pt;height:55.1pt;z-index:-251656192;visibility:visible">
          <v:imagedata r:id="rId1" o:title=""/>
        </v:shape>
      </w:pict>
    </w:r>
    <w:r>
      <w:rPr>
        <w:rFonts w:ascii="Calibri" w:hAnsi="Calibri" w:cs="Calibri"/>
        <w:b/>
        <w:bCs/>
        <w:caps/>
        <w:sz w:val="24"/>
        <w:szCs w:val="24"/>
        <w:lang w:val="es-CL"/>
      </w:rPr>
      <w:t>PROYECTO DE LEY QUE MODIFICA EL CÓDIGO PENAL AGRAVANDo EL DELITO DE SECUESTRO. boletín n° 15558-07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BFA"/>
    <w:rsid w:val="0016446A"/>
    <w:rsid w:val="001F5D89"/>
    <w:rsid w:val="00261E8F"/>
    <w:rsid w:val="00401FF1"/>
    <w:rsid w:val="004B6087"/>
    <w:rsid w:val="004C5924"/>
    <w:rsid w:val="00536C5F"/>
    <w:rsid w:val="006873A5"/>
    <w:rsid w:val="00842454"/>
    <w:rsid w:val="009A7AC8"/>
    <w:rsid w:val="00A66C03"/>
    <w:rsid w:val="00AD2BFA"/>
    <w:rsid w:val="00B06390"/>
    <w:rsid w:val="00D3780C"/>
    <w:rsid w:val="00DD17F0"/>
    <w:rsid w:val="00E2245B"/>
    <w:rsid w:val="00E4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F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2BFA"/>
    <w:pPr>
      <w:tabs>
        <w:tab w:val="center" w:pos="4252"/>
        <w:tab w:val="right" w:pos="8504"/>
      </w:tabs>
      <w:spacing w:line="360" w:lineRule="auto"/>
    </w:pPr>
    <w:rPr>
      <w:sz w:val="28"/>
      <w:szCs w:val="28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2BFA"/>
    <w:rPr>
      <w:rFonts w:ascii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DefaultParagraphFont"/>
    <w:uiPriority w:val="99"/>
    <w:semiHidden/>
    <w:rsid w:val="00AD2BFA"/>
    <w:rPr>
      <w:rFonts w:ascii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rsid w:val="00AD2BFA"/>
    <w:pPr>
      <w:tabs>
        <w:tab w:val="center" w:pos="4252"/>
        <w:tab w:val="right" w:pos="8504"/>
      </w:tabs>
      <w:spacing w:line="360" w:lineRule="auto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2BFA"/>
    <w:rPr>
      <w:rFonts w:ascii="Arial" w:hAnsi="Arial" w:cs="Arial"/>
      <w:sz w:val="20"/>
      <w:szCs w:val="20"/>
      <w:lang w:val="es-ES" w:eastAsia="es-ES"/>
    </w:rPr>
  </w:style>
  <w:style w:type="character" w:customStyle="1" w:styleId="PiedepginaCar">
    <w:name w:val="Pie de página Car"/>
    <w:basedOn w:val="DefaultParagraphFont"/>
    <w:uiPriority w:val="99"/>
    <w:semiHidden/>
    <w:rsid w:val="00AD2BFA"/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n">
    <w:name w:val="n"/>
    <w:basedOn w:val="DefaultParagraphFont"/>
    <w:uiPriority w:val="99"/>
    <w:rsid w:val="004C5924"/>
  </w:style>
  <w:style w:type="character" w:styleId="Hyperlink">
    <w:name w:val="Hyperlink"/>
    <w:basedOn w:val="DefaultParagraphFont"/>
    <w:uiPriority w:val="99"/>
    <w:semiHidden/>
    <w:rsid w:val="004C592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224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2245B"/>
    <w:rPr>
      <w:rFonts w:ascii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rsid w:val="00E224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5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188</Words>
  <Characters>1040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 PENAL</dc:title>
  <dc:subject/>
  <dc:creator>Soporte Camara de Diputados Chile</dc:creator>
  <cp:keywords/>
  <dc:description/>
  <cp:lastModifiedBy>Windows User</cp:lastModifiedBy>
  <cp:revision>2</cp:revision>
  <dcterms:created xsi:type="dcterms:W3CDTF">2023-03-08T15:17:00Z</dcterms:created>
  <dcterms:modified xsi:type="dcterms:W3CDTF">2023-03-08T15:17:00Z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0x01010022F9C7A0789B7E4DA0527EC93634D546</vt:lpwstr>
  </property>
</Properties>
</file>