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B331BA">
        <w:rPr>
          <w:rFonts w:cs="Arial"/>
          <w:b/>
          <w:szCs w:val="24"/>
          <w:u w:val="single"/>
        </w:rPr>
        <w:t>6.481-2</w:t>
      </w:r>
      <w:r w:rsidR="00E12686">
        <w:rPr>
          <w:rFonts w:cs="Arial"/>
          <w:b/>
          <w:szCs w:val="24"/>
          <w:u w:val="single"/>
        </w:rPr>
        <w:t>5</w:t>
      </w:r>
    </w:p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:rsidR="000E1B44" w:rsidRPr="002348D6" w:rsidRDefault="00B331BA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18</w:t>
      </w:r>
      <w:r w:rsidR="00305ED4">
        <w:rPr>
          <w:rFonts w:cs="Arial"/>
          <w:b/>
          <w:szCs w:val="24"/>
          <w:u w:val="single"/>
        </w:rPr>
        <w:t>.0</w:t>
      </w:r>
      <w:r w:rsidR="00863A0E">
        <w:rPr>
          <w:rFonts w:cs="Arial"/>
          <w:b/>
          <w:szCs w:val="24"/>
          <w:u w:val="single"/>
        </w:rPr>
        <w:t>3</w:t>
      </w:r>
      <w:r w:rsidR="000E1B44" w:rsidRPr="002348D6">
        <w:rPr>
          <w:rFonts w:cs="Arial"/>
          <w:b/>
          <w:szCs w:val="24"/>
          <w:u w:val="single"/>
        </w:rPr>
        <w:t>.202</w:t>
      </w:r>
      <w:r w:rsidR="005F66C8">
        <w:rPr>
          <w:rFonts w:cs="Arial"/>
          <w:b/>
          <w:szCs w:val="24"/>
          <w:u w:val="single"/>
        </w:rPr>
        <w:t>4</w:t>
      </w:r>
    </w:p>
    <w:p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:rsidR="000E1B44" w:rsidRPr="005F66C8" w:rsidRDefault="000E1B44" w:rsidP="005F66C8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863A0E">
        <w:rPr>
          <w:rFonts w:cs="Arial"/>
          <w:b/>
          <w:bCs/>
          <w:szCs w:val="24"/>
          <w:u w:val="single"/>
          <w:lang w:val="es-ES_tradnl"/>
        </w:rPr>
        <w:t xml:space="preserve"> PRIMER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B331BA">
        <w:rPr>
          <w:rFonts w:cs="Arial"/>
          <w:b/>
          <w:bCs/>
          <w:szCs w:val="24"/>
          <w:u w:val="single"/>
          <w:lang w:val="es-ES_tradnl"/>
        </w:rPr>
        <w:t xml:space="preserve">MODIFICA EL CÓDIGO PROCESAL PENAL, CON EL OBJETO DE AUMENTAR EL PLAZO MÁXIMO PARA </w:t>
      </w:r>
      <w:r w:rsidR="003C1DB2">
        <w:rPr>
          <w:rFonts w:cs="Arial"/>
          <w:b/>
          <w:bCs/>
          <w:szCs w:val="24"/>
          <w:u w:val="single"/>
          <w:lang w:val="es-ES_tradnl"/>
        </w:rPr>
        <w:t>CO</w:t>
      </w:r>
      <w:r w:rsidR="00B331BA">
        <w:rPr>
          <w:rFonts w:cs="Arial"/>
          <w:b/>
          <w:bCs/>
          <w:szCs w:val="24"/>
          <w:u w:val="single"/>
          <w:lang w:val="es-ES_tradnl"/>
        </w:rPr>
        <w:t>NSIDERAR UNA SITUACIÓN ENTRE LAS HIPÓTESIS DE FLAGRANCIA</w:t>
      </w:r>
    </w:p>
    <w:p w:rsidR="00D11B54" w:rsidRDefault="00D11B54"/>
    <w:p w:rsidR="005F66C8" w:rsidRDefault="005F66C8"/>
    <w:p w:rsidR="00904F91" w:rsidRDefault="00904F91"/>
    <w:p w:rsidR="000E1B44" w:rsidRDefault="000E1B44" w:rsidP="000E1B44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 w:rsidR="00B331BA">
        <w:rPr>
          <w:b/>
          <w:bCs/>
          <w:u w:val="single"/>
        </w:rPr>
        <w:t>ÚNICO</w:t>
      </w:r>
    </w:p>
    <w:p w:rsidR="00CC5836" w:rsidRDefault="00CC5836" w:rsidP="000E1B44">
      <w:pPr>
        <w:jc w:val="center"/>
        <w:rPr>
          <w:b/>
          <w:bCs/>
          <w:u w:val="single"/>
        </w:rPr>
      </w:pPr>
    </w:p>
    <w:p w:rsidR="00F6154D" w:rsidRDefault="00F6154D" w:rsidP="003E7223">
      <w:pPr>
        <w:rPr>
          <w:b/>
          <w:bCs/>
          <w:u w:val="single"/>
        </w:rPr>
      </w:pPr>
    </w:p>
    <w:p w:rsidR="00B331BA" w:rsidRPr="00B331BA" w:rsidRDefault="005B0CF6" w:rsidP="00B331BA">
      <w:pPr>
        <w:jc w:val="both"/>
        <w:rPr>
          <w:bCs/>
        </w:rPr>
      </w:pPr>
      <w:r>
        <w:rPr>
          <w:b/>
          <w:bCs/>
        </w:rPr>
        <w:t>1</w:t>
      </w:r>
      <w:r w:rsidR="003E7223">
        <w:rPr>
          <w:b/>
          <w:bCs/>
        </w:rPr>
        <w:t xml:space="preserve">.- </w:t>
      </w:r>
      <w:r w:rsidR="003E7223">
        <w:rPr>
          <w:bCs/>
        </w:rPr>
        <w:t>De</w:t>
      </w:r>
      <w:r w:rsidR="00B331BA">
        <w:rPr>
          <w:bCs/>
        </w:rPr>
        <w:t xml:space="preserve"> Su Excelencia el Presidente de la República, para </w:t>
      </w:r>
      <w:r w:rsidR="00B331BA" w:rsidRPr="00B331BA">
        <w:rPr>
          <w:bCs/>
        </w:rPr>
        <w:t>reemplazarlo por el siguiente:</w:t>
      </w:r>
    </w:p>
    <w:p w:rsidR="00B331BA" w:rsidRPr="00B331BA" w:rsidRDefault="00B331BA" w:rsidP="00B331BA">
      <w:pPr>
        <w:jc w:val="both"/>
        <w:rPr>
          <w:bCs/>
        </w:rPr>
      </w:pPr>
    </w:p>
    <w:p w:rsidR="00B331BA" w:rsidRPr="00B331BA" w:rsidRDefault="00B331BA" w:rsidP="00B331BA">
      <w:pPr>
        <w:jc w:val="both"/>
        <w:rPr>
          <w:bCs/>
        </w:rPr>
      </w:pPr>
      <w:r w:rsidRPr="00B331BA">
        <w:rPr>
          <w:bCs/>
        </w:rPr>
        <w:t xml:space="preserve">“Artículo </w:t>
      </w:r>
      <w:proofErr w:type="gramStart"/>
      <w:r w:rsidRPr="00B331BA">
        <w:rPr>
          <w:bCs/>
        </w:rPr>
        <w:t>único.-</w:t>
      </w:r>
      <w:proofErr w:type="gramEnd"/>
      <w:r w:rsidRPr="00B331BA">
        <w:rPr>
          <w:bCs/>
        </w:rPr>
        <w:t xml:space="preserve"> </w:t>
      </w:r>
      <w:proofErr w:type="spellStart"/>
      <w:r w:rsidRPr="00B331BA">
        <w:rPr>
          <w:bCs/>
        </w:rPr>
        <w:t>Modifícase</w:t>
      </w:r>
      <w:proofErr w:type="spellEnd"/>
      <w:r w:rsidRPr="00B331BA">
        <w:rPr>
          <w:bCs/>
        </w:rPr>
        <w:t xml:space="preserve"> el artículo 83 del Código Procesal Penal,</w:t>
      </w:r>
      <w:r w:rsidR="007867D8">
        <w:rPr>
          <w:bCs/>
        </w:rPr>
        <w:t xml:space="preserve"> de la siguiente manera</w:t>
      </w:r>
      <w:r w:rsidRPr="00B331BA">
        <w:rPr>
          <w:bCs/>
        </w:rPr>
        <w:t xml:space="preserve">: </w:t>
      </w:r>
    </w:p>
    <w:p w:rsidR="00B331BA" w:rsidRPr="00B331BA" w:rsidRDefault="00B331BA" w:rsidP="00B331BA">
      <w:pPr>
        <w:jc w:val="both"/>
        <w:rPr>
          <w:bCs/>
        </w:rPr>
      </w:pPr>
    </w:p>
    <w:p w:rsidR="00B331BA" w:rsidRPr="00B331BA" w:rsidRDefault="003C1DB2" w:rsidP="00B331BA">
      <w:pPr>
        <w:jc w:val="both"/>
        <w:rPr>
          <w:bCs/>
        </w:rPr>
      </w:pPr>
      <w:r>
        <w:rPr>
          <w:bCs/>
        </w:rPr>
        <w:t xml:space="preserve">a) </w:t>
      </w:r>
      <w:proofErr w:type="spellStart"/>
      <w:r w:rsidR="00B331BA" w:rsidRPr="00B331BA">
        <w:rPr>
          <w:bCs/>
        </w:rPr>
        <w:t>Introdúcese</w:t>
      </w:r>
      <w:proofErr w:type="spellEnd"/>
      <w:r w:rsidR="00B331BA" w:rsidRPr="00B331BA">
        <w:rPr>
          <w:bCs/>
        </w:rPr>
        <w:t xml:space="preserve">, en el literal b), a continuación del punto y coma, que pasa a ser punto seguido, la oración “Para estos efectos, podrán coordinarse con entidades públicas o solicitar la colaboración de entidades privadas, cuando ello fuere útil para asegurar el éxito de la detención en cualquiera de las hipótesis de flagrancia descritas en el artículo 130;”. </w:t>
      </w:r>
    </w:p>
    <w:p w:rsidR="00B331BA" w:rsidRDefault="00B331BA" w:rsidP="00B331BA">
      <w:pPr>
        <w:jc w:val="both"/>
        <w:rPr>
          <w:bCs/>
        </w:rPr>
      </w:pPr>
    </w:p>
    <w:p w:rsidR="005B0CF6" w:rsidRPr="00B331BA" w:rsidRDefault="005B0CF6" w:rsidP="00B331BA">
      <w:pPr>
        <w:jc w:val="both"/>
        <w:rPr>
          <w:bCs/>
        </w:rPr>
      </w:pPr>
    </w:p>
    <w:p w:rsidR="00B331BA" w:rsidRPr="00B331BA" w:rsidRDefault="003C1DB2" w:rsidP="00B331BA">
      <w:pPr>
        <w:jc w:val="both"/>
        <w:rPr>
          <w:bCs/>
        </w:rPr>
      </w:pPr>
      <w:r>
        <w:rPr>
          <w:bCs/>
        </w:rPr>
        <w:t xml:space="preserve">b) </w:t>
      </w:r>
      <w:proofErr w:type="spellStart"/>
      <w:r w:rsidR="00B331BA" w:rsidRPr="00B331BA">
        <w:rPr>
          <w:bCs/>
        </w:rPr>
        <w:t>Reemplázase</w:t>
      </w:r>
      <w:proofErr w:type="spellEnd"/>
      <w:r w:rsidR="00B331BA" w:rsidRPr="00B331BA">
        <w:rPr>
          <w:bCs/>
        </w:rPr>
        <w:t xml:space="preserve">, en el párrafo </w:t>
      </w:r>
      <w:r w:rsidR="00A5634C" w:rsidRPr="003C1DB2">
        <w:rPr>
          <w:bCs/>
        </w:rPr>
        <w:t>cuarto</w:t>
      </w:r>
      <w:r w:rsidR="00B331BA" w:rsidRPr="003C1DB2">
        <w:rPr>
          <w:bCs/>
        </w:rPr>
        <w:t xml:space="preserve"> del</w:t>
      </w:r>
      <w:r w:rsidR="00B331BA" w:rsidRPr="00B331BA">
        <w:rPr>
          <w:bCs/>
        </w:rPr>
        <w:t xml:space="preserve"> literal c), la f</w:t>
      </w:r>
      <w:r w:rsidR="001F7B93">
        <w:rPr>
          <w:bCs/>
        </w:rPr>
        <w:t>rase “letra e)” por “letra g)”.</w:t>
      </w:r>
    </w:p>
    <w:p w:rsidR="00B331BA" w:rsidRDefault="00B331BA" w:rsidP="00B331BA">
      <w:pPr>
        <w:jc w:val="both"/>
        <w:rPr>
          <w:bCs/>
        </w:rPr>
      </w:pPr>
    </w:p>
    <w:p w:rsidR="005B0CF6" w:rsidRPr="00B331BA" w:rsidRDefault="005B0CF6" w:rsidP="00B331BA">
      <w:pPr>
        <w:jc w:val="both"/>
        <w:rPr>
          <w:bCs/>
        </w:rPr>
      </w:pPr>
    </w:p>
    <w:p w:rsidR="00B331BA" w:rsidRPr="00B331BA" w:rsidRDefault="003C1DB2" w:rsidP="00B331BA">
      <w:pPr>
        <w:jc w:val="both"/>
        <w:rPr>
          <w:bCs/>
        </w:rPr>
      </w:pPr>
      <w:r>
        <w:rPr>
          <w:bCs/>
        </w:rPr>
        <w:t xml:space="preserve">c) </w:t>
      </w:r>
      <w:proofErr w:type="spellStart"/>
      <w:r w:rsidR="00B331BA" w:rsidRPr="00B331BA">
        <w:rPr>
          <w:bCs/>
        </w:rPr>
        <w:t>Introdúcense</w:t>
      </w:r>
      <w:proofErr w:type="spellEnd"/>
      <w:r w:rsidR="00B331BA" w:rsidRPr="00B331BA">
        <w:rPr>
          <w:bCs/>
        </w:rPr>
        <w:t xml:space="preserve"> los siguientes literales e) y f), nuevos, readecuándose el orden correlativo de los literales siguientes:</w:t>
      </w:r>
    </w:p>
    <w:p w:rsidR="00B331BA" w:rsidRPr="00B331BA" w:rsidRDefault="00B331BA" w:rsidP="00B331BA">
      <w:pPr>
        <w:jc w:val="both"/>
        <w:rPr>
          <w:bCs/>
        </w:rPr>
      </w:pPr>
    </w:p>
    <w:p w:rsidR="00B331BA" w:rsidRPr="00B331BA" w:rsidRDefault="00B331BA" w:rsidP="00B331BA">
      <w:pPr>
        <w:jc w:val="both"/>
        <w:rPr>
          <w:bCs/>
        </w:rPr>
      </w:pPr>
      <w:r w:rsidRPr="00B331BA">
        <w:rPr>
          <w:bCs/>
        </w:rPr>
        <w:t>“e) Requerir a los encargados de los establecimientos que contaren con cámaras de seguridad, en los casos de delitos flagrantes, la entrega voluntaria de los regist</w:t>
      </w:r>
      <w:r w:rsidR="003C1DB2">
        <w:rPr>
          <w:bCs/>
        </w:rPr>
        <w:t>ros audiovisuales captados por é</w:t>
      </w:r>
      <w:r w:rsidRPr="00B331BA">
        <w:rPr>
          <w:bCs/>
        </w:rPr>
        <w:t xml:space="preserve">stas, cuando fueren útiles para la detención, el esclarecimiento de los hechos y la determinación de sus responsables; </w:t>
      </w:r>
    </w:p>
    <w:p w:rsidR="00B331BA" w:rsidRPr="00B331BA" w:rsidRDefault="00B331BA" w:rsidP="00B331BA">
      <w:pPr>
        <w:jc w:val="both"/>
        <w:rPr>
          <w:bCs/>
        </w:rPr>
      </w:pPr>
    </w:p>
    <w:p w:rsidR="00B331BA" w:rsidRPr="00B331BA" w:rsidRDefault="00B331BA" w:rsidP="00B331BA">
      <w:pPr>
        <w:jc w:val="both"/>
        <w:rPr>
          <w:bCs/>
        </w:rPr>
      </w:pPr>
      <w:r w:rsidRPr="00B331BA">
        <w:rPr>
          <w:bCs/>
        </w:rPr>
        <w:t>f) Solicitar a los testigos, en los casos de delitos flagrantes, previa identificación de los mismos y consignación de sus declaraciones, la entrega voluntaria de los registros audiovisuales, o de otro tipo, que estuvieren en su poder y pudieren contribuir a la detención, al esclarecimiento de los hechos y la determinación de los responsables. Asimismo, podrán solicitar de los testigos la entrega voluntaria de información de georreferenciación, u otra a la que éste tenga acceso, que permita localizar a los responsables o los objetos vinculados al delito;”.</w:t>
      </w:r>
    </w:p>
    <w:p w:rsidR="00B331BA" w:rsidRPr="00B331BA" w:rsidRDefault="00B331BA" w:rsidP="00B331BA">
      <w:pPr>
        <w:jc w:val="both"/>
        <w:rPr>
          <w:bCs/>
        </w:rPr>
      </w:pPr>
    </w:p>
    <w:p w:rsidR="00B331BA" w:rsidRDefault="003C1DB2" w:rsidP="00B331BA">
      <w:pPr>
        <w:jc w:val="both"/>
        <w:rPr>
          <w:bCs/>
        </w:rPr>
      </w:pPr>
      <w:r>
        <w:rPr>
          <w:bCs/>
        </w:rPr>
        <w:lastRenderedPageBreak/>
        <w:t xml:space="preserve">d) </w:t>
      </w:r>
      <w:proofErr w:type="spellStart"/>
      <w:r w:rsidR="00B331BA" w:rsidRPr="00B331BA">
        <w:rPr>
          <w:bCs/>
        </w:rPr>
        <w:t>Introdúcese</w:t>
      </w:r>
      <w:proofErr w:type="spellEnd"/>
      <w:r w:rsidR="00B331BA" w:rsidRPr="00B331BA">
        <w:rPr>
          <w:bCs/>
        </w:rPr>
        <w:t xml:space="preserve"> el siguiente inciso final, nuevo: </w:t>
      </w:r>
    </w:p>
    <w:p w:rsidR="00DD6FD0" w:rsidRPr="00B331BA" w:rsidRDefault="00DD6FD0" w:rsidP="00B331BA">
      <w:pPr>
        <w:jc w:val="both"/>
        <w:rPr>
          <w:bCs/>
        </w:rPr>
      </w:pPr>
    </w:p>
    <w:p w:rsidR="00680D8B" w:rsidRDefault="00B331BA" w:rsidP="00B331BA">
      <w:pPr>
        <w:jc w:val="both"/>
        <w:rPr>
          <w:bCs/>
        </w:rPr>
      </w:pPr>
      <w:r w:rsidRPr="00B331BA">
        <w:rPr>
          <w:bCs/>
        </w:rPr>
        <w:t>“Las policías deberán adoptar las medidas necesarias para resguardar la integridad y debida custodia de los registros obtenidos en virtud de lo dispuesto en los literales e) y f). Además, en el momento de su obtención, deberán entregar, a quien haya facilitado el registro, un recibo detallado del mismo.”.”.</w:t>
      </w:r>
    </w:p>
    <w:p w:rsidR="00680D8B" w:rsidRDefault="00680D8B" w:rsidP="003E7223">
      <w:pPr>
        <w:jc w:val="both"/>
        <w:rPr>
          <w:bCs/>
        </w:rPr>
      </w:pPr>
    </w:p>
    <w:p w:rsidR="001F7B93" w:rsidRDefault="001F7B93" w:rsidP="003E7223">
      <w:pPr>
        <w:jc w:val="both"/>
        <w:rPr>
          <w:bCs/>
        </w:rPr>
      </w:pPr>
    </w:p>
    <w:p w:rsidR="001F7B93" w:rsidRPr="00A5634C" w:rsidRDefault="001F7B93" w:rsidP="001F7B93">
      <w:pPr>
        <w:jc w:val="center"/>
        <w:rPr>
          <w:b/>
          <w:bCs/>
        </w:rPr>
      </w:pPr>
      <w:proofErr w:type="spellStart"/>
      <w:r w:rsidRPr="00A5634C">
        <w:rPr>
          <w:b/>
          <w:bCs/>
        </w:rPr>
        <w:t>°°°°</w:t>
      </w:r>
      <w:proofErr w:type="spellEnd"/>
    </w:p>
    <w:p w:rsidR="001F7B93" w:rsidRPr="00A5634C" w:rsidRDefault="001F7B93" w:rsidP="001F7B93">
      <w:pPr>
        <w:rPr>
          <w:bCs/>
        </w:rPr>
      </w:pPr>
    </w:p>
    <w:p w:rsidR="001F7B93" w:rsidRPr="00A5634C" w:rsidRDefault="001F7B93" w:rsidP="001F7B93">
      <w:pPr>
        <w:jc w:val="center"/>
        <w:rPr>
          <w:bCs/>
        </w:rPr>
      </w:pPr>
      <w:r w:rsidRPr="00A5634C">
        <w:rPr>
          <w:bCs/>
        </w:rPr>
        <w:t>Modificación nueva</w:t>
      </w:r>
    </w:p>
    <w:p w:rsidR="001F7B93" w:rsidRPr="00A5634C" w:rsidRDefault="001F7B93" w:rsidP="001F7B93">
      <w:pPr>
        <w:rPr>
          <w:bCs/>
        </w:rPr>
      </w:pPr>
    </w:p>
    <w:p w:rsidR="001F7B93" w:rsidRPr="00A5634C" w:rsidRDefault="001F7B93" w:rsidP="001F7B93">
      <w:pPr>
        <w:jc w:val="both"/>
        <w:rPr>
          <w:bCs/>
        </w:rPr>
      </w:pPr>
      <w:r>
        <w:rPr>
          <w:b/>
          <w:bCs/>
        </w:rPr>
        <w:t>2</w:t>
      </w:r>
      <w:r w:rsidRPr="00A5634C">
        <w:rPr>
          <w:b/>
          <w:bCs/>
        </w:rPr>
        <w:t xml:space="preserve">.- </w:t>
      </w:r>
      <w:r w:rsidRPr="00A5634C">
        <w:rPr>
          <w:bCs/>
        </w:rPr>
        <w:t>De los Honorables Senadores señora Pascual y señor Núñez, para consultar la siguiente mo</w:t>
      </w:r>
      <w:r>
        <w:rPr>
          <w:bCs/>
        </w:rPr>
        <w:t>dificación, nueva, al artículo 130</w:t>
      </w:r>
      <w:r w:rsidRPr="00A5634C">
        <w:rPr>
          <w:bCs/>
        </w:rPr>
        <w:t>:</w:t>
      </w:r>
    </w:p>
    <w:p w:rsidR="001F7B93" w:rsidRPr="00A5634C" w:rsidRDefault="001F7B93" w:rsidP="001F7B93">
      <w:pPr>
        <w:jc w:val="both"/>
        <w:rPr>
          <w:bCs/>
        </w:rPr>
      </w:pPr>
    </w:p>
    <w:p w:rsidR="001F7B93" w:rsidRPr="00A5634C" w:rsidRDefault="001F7B93" w:rsidP="001F7B93">
      <w:pPr>
        <w:jc w:val="both"/>
        <w:rPr>
          <w:bCs/>
        </w:rPr>
      </w:pPr>
      <w:r>
        <w:rPr>
          <w:bCs/>
        </w:rPr>
        <w:t xml:space="preserve">“…. </w:t>
      </w:r>
      <w:proofErr w:type="spellStart"/>
      <w:r>
        <w:rPr>
          <w:bCs/>
        </w:rPr>
        <w:t>Agrégase</w:t>
      </w:r>
      <w:proofErr w:type="spellEnd"/>
      <w:r>
        <w:rPr>
          <w:bCs/>
        </w:rPr>
        <w:t>, en la letra c) del inciso primero del artículo 130 del Código Procesal Penal, a continuación del vocablo “cómplice”, la siguiente frase</w:t>
      </w:r>
      <w:r w:rsidRPr="00A5634C">
        <w:rPr>
          <w:bCs/>
        </w:rPr>
        <w:t>:</w:t>
      </w:r>
      <w:r>
        <w:rPr>
          <w:bCs/>
        </w:rPr>
        <w:t xml:space="preserve"> “</w:t>
      </w:r>
      <w:r w:rsidRPr="00A5634C">
        <w:rPr>
          <w:bCs/>
        </w:rPr>
        <w:t>o fuere perseguido inmediatamente después de cometerlo, si la persecución durare o no se suspendiere siempre que el hechor se encuentre al alcance inmediato de los que le persiguen</w:t>
      </w:r>
      <w:r>
        <w:rPr>
          <w:bCs/>
        </w:rPr>
        <w:t>”.</w:t>
      </w:r>
      <w:r w:rsidR="00617B19">
        <w:rPr>
          <w:bCs/>
        </w:rPr>
        <w:t>”.</w:t>
      </w:r>
    </w:p>
    <w:p w:rsidR="001F7B93" w:rsidRPr="00A5634C" w:rsidRDefault="001F7B93" w:rsidP="001F7B93">
      <w:pPr>
        <w:rPr>
          <w:bCs/>
        </w:rPr>
      </w:pPr>
    </w:p>
    <w:p w:rsidR="001F7B93" w:rsidRPr="00A5634C" w:rsidRDefault="001F7B93" w:rsidP="001F7B93">
      <w:pPr>
        <w:jc w:val="center"/>
        <w:rPr>
          <w:b/>
          <w:bCs/>
        </w:rPr>
      </w:pPr>
      <w:proofErr w:type="spellStart"/>
      <w:r w:rsidRPr="00A5634C">
        <w:rPr>
          <w:b/>
          <w:bCs/>
        </w:rPr>
        <w:t>°°°°</w:t>
      </w:r>
      <w:proofErr w:type="spellEnd"/>
    </w:p>
    <w:p w:rsidR="00F6154D" w:rsidRDefault="00F6154D" w:rsidP="003E7223">
      <w:pPr>
        <w:jc w:val="both"/>
        <w:rPr>
          <w:bCs/>
        </w:rPr>
      </w:pPr>
    </w:p>
    <w:p w:rsidR="001F7B93" w:rsidRDefault="001F7B93" w:rsidP="003E7223">
      <w:pPr>
        <w:jc w:val="both"/>
        <w:rPr>
          <w:bCs/>
        </w:rPr>
      </w:pPr>
    </w:p>
    <w:p w:rsidR="00617B19" w:rsidRDefault="00617B19" w:rsidP="003E7223">
      <w:pPr>
        <w:jc w:val="both"/>
        <w:rPr>
          <w:bCs/>
        </w:rPr>
      </w:pPr>
    </w:p>
    <w:p w:rsidR="008E6C77" w:rsidRPr="001F7B93" w:rsidRDefault="001F7B93" w:rsidP="001F7B93">
      <w:pPr>
        <w:jc w:val="center"/>
        <w:rPr>
          <w:b/>
          <w:bCs/>
          <w:u w:val="single"/>
        </w:rPr>
      </w:pPr>
      <w:r w:rsidRPr="001F7B93">
        <w:rPr>
          <w:b/>
          <w:bCs/>
          <w:u w:val="single"/>
        </w:rPr>
        <w:t>Inciso segundo propuesto</w:t>
      </w:r>
    </w:p>
    <w:p w:rsidR="001F7B93" w:rsidRPr="001F7B93" w:rsidRDefault="001F7B93" w:rsidP="001F7B93">
      <w:pPr>
        <w:jc w:val="center"/>
        <w:rPr>
          <w:b/>
          <w:bCs/>
          <w:u w:val="single"/>
        </w:rPr>
      </w:pPr>
    </w:p>
    <w:p w:rsidR="001F7B93" w:rsidRDefault="001F7B93" w:rsidP="003E7223">
      <w:pPr>
        <w:jc w:val="both"/>
        <w:rPr>
          <w:bCs/>
        </w:rPr>
      </w:pPr>
    </w:p>
    <w:p w:rsidR="00680D8B" w:rsidRDefault="001F7B93" w:rsidP="003E7223">
      <w:pPr>
        <w:jc w:val="both"/>
        <w:rPr>
          <w:bCs/>
        </w:rPr>
      </w:pPr>
      <w:r>
        <w:rPr>
          <w:b/>
          <w:bCs/>
        </w:rPr>
        <w:t>3</w:t>
      </w:r>
      <w:r w:rsidR="00B331BA" w:rsidRPr="00A5634C">
        <w:rPr>
          <w:b/>
          <w:bCs/>
        </w:rPr>
        <w:t>.-</w:t>
      </w:r>
      <w:r w:rsidR="00B331BA">
        <w:rPr>
          <w:bCs/>
        </w:rPr>
        <w:t xml:space="preserve"> De los Honorables Senadores señora Pascual y señor Núñez, para </w:t>
      </w:r>
      <w:r w:rsidR="008E6C77">
        <w:rPr>
          <w:bCs/>
        </w:rPr>
        <w:t>sustituirlo</w:t>
      </w:r>
      <w:r w:rsidR="00AE5586">
        <w:rPr>
          <w:bCs/>
        </w:rPr>
        <w:t xml:space="preserve"> </w:t>
      </w:r>
      <w:r w:rsidR="008E6C77">
        <w:rPr>
          <w:bCs/>
        </w:rPr>
        <w:t xml:space="preserve">por </w:t>
      </w:r>
      <w:r w:rsidR="00AE5586">
        <w:rPr>
          <w:bCs/>
        </w:rPr>
        <w:t>el siguiente</w:t>
      </w:r>
      <w:r w:rsidR="008E6C77">
        <w:rPr>
          <w:bCs/>
        </w:rPr>
        <w:t>:</w:t>
      </w:r>
    </w:p>
    <w:p w:rsidR="008E6C77" w:rsidRDefault="008E6C77" w:rsidP="003E7223">
      <w:pPr>
        <w:jc w:val="both"/>
        <w:rPr>
          <w:bCs/>
        </w:rPr>
      </w:pPr>
    </w:p>
    <w:p w:rsidR="008E6C77" w:rsidRDefault="008E6C77" w:rsidP="003E7223">
      <w:pPr>
        <w:jc w:val="both"/>
        <w:rPr>
          <w:bCs/>
        </w:rPr>
      </w:pPr>
      <w:r>
        <w:rPr>
          <w:bCs/>
        </w:rPr>
        <w:t>“</w:t>
      </w:r>
      <w:r w:rsidRPr="008E6C77">
        <w:rPr>
          <w:bCs/>
        </w:rPr>
        <w:t>Para los efectos de lo establecido en las letras d), e) y f) se entenderá por tiempo inmediato todo aquel que transcurra entre la comisión del hecho y la captura del imputado, siempre que no hubieren transcurrido más de doce horas.”</w:t>
      </w:r>
      <w:r>
        <w:rPr>
          <w:bCs/>
        </w:rPr>
        <w:t>.</w:t>
      </w:r>
    </w:p>
    <w:p w:rsidR="00F6154D" w:rsidRDefault="00F6154D" w:rsidP="003E7223">
      <w:pPr>
        <w:jc w:val="both"/>
        <w:rPr>
          <w:bCs/>
        </w:rPr>
      </w:pPr>
    </w:p>
    <w:p w:rsidR="00F6154D" w:rsidRDefault="00F6154D" w:rsidP="003E7223">
      <w:pPr>
        <w:jc w:val="both"/>
        <w:rPr>
          <w:bCs/>
        </w:rPr>
      </w:pPr>
      <w:bookmarkStart w:id="0" w:name="_GoBack"/>
      <w:bookmarkEnd w:id="0"/>
    </w:p>
    <w:p w:rsidR="008E6C77" w:rsidRDefault="008E6C77" w:rsidP="003E7223">
      <w:pPr>
        <w:jc w:val="both"/>
        <w:rPr>
          <w:bCs/>
        </w:rPr>
      </w:pPr>
    </w:p>
    <w:p w:rsidR="008E6C77" w:rsidRDefault="008E6C77" w:rsidP="003E7223">
      <w:pPr>
        <w:jc w:val="both"/>
        <w:rPr>
          <w:bCs/>
        </w:rPr>
      </w:pPr>
    </w:p>
    <w:p w:rsidR="008E6C77" w:rsidRDefault="008E6C77" w:rsidP="008E6C77">
      <w:pPr>
        <w:jc w:val="center"/>
        <w:rPr>
          <w:bCs/>
        </w:rPr>
      </w:pPr>
      <w:r>
        <w:rPr>
          <w:bCs/>
        </w:rPr>
        <w:t>- - -</w:t>
      </w:r>
    </w:p>
    <w:p w:rsidR="008E6C77" w:rsidRDefault="008E6C77" w:rsidP="003E7223">
      <w:pPr>
        <w:jc w:val="both"/>
        <w:rPr>
          <w:bCs/>
        </w:rPr>
      </w:pPr>
    </w:p>
    <w:sectPr w:rsidR="008E6C77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CF" w:rsidRDefault="004E28CF" w:rsidP="00221747">
      <w:r>
        <w:separator/>
      </w:r>
    </w:p>
  </w:endnote>
  <w:endnote w:type="continuationSeparator" w:id="0">
    <w:p w:rsidR="004E28CF" w:rsidRDefault="004E28CF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CF" w:rsidRDefault="004E28CF" w:rsidP="00221747">
      <w:r>
        <w:separator/>
      </w:r>
    </w:p>
  </w:footnote>
  <w:footnote w:type="continuationSeparator" w:id="0">
    <w:p w:rsidR="004E28CF" w:rsidRDefault="004E28CF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323343"/>
      <w:docPartObj>
        <w:docPartGallery w:val="Page Numbers (Top of Page)"/>
        <w:docPartUnique/>
      </w:docPartObj>
    </w:sdtPr>
    <w:sdtEndPr/>
    <w:sdtContent>
      <w:p w:rsidR="005E09C6" w:rsidRDefault="005E09C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E2" w:rsidRPr="005E22E2">
          <w:rPr>
            <w:noProof/>
            <w:lang w:val="es-ES"/>
          </w:rPr>
          <w:t>2</w:t>
        </w:r>
        <w:r>
          <w:fldChar w:fldCharType="end"/>
        </w:r>
      </w:p>
    </w:sdtContent>
  </w:sdt>
  <w:p w:rsidR="005E09C6" w:rsidRDefault="005E0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4"/>
    <w:rsid w:val="0007121D"/>
    <w:rsid w:val="0007607E"/>
    <w:rsid w:val="00091004"/>
    <w:rsid w:val="000E1B44"/>
    <w:rsid w:val="000F059C"/>
    <w:rsid w:val="00107042"/>
    <w:rsid w:val="00124CD4"/>
    <w:rsid w:val="001304F5"/>
    <w:rsid w:val="0014482A"/>
    <w:rsid w:val="0015293D"/>
    <w:rsid w:val="00155E09"/>
    <w:rsid w:val="001969CC"/>
    <w:rsid w:val="001E01D9"/>
    <w:rsid w:val="001F7B93"/>
    <w:rsid w:val="00202CC4"/>
    <w:rsid w:val="00221747"/>
    <w:rsid w:val="00221A03"/>
    <w:rsid w:val="00222129"/>
    <w:rsid w:val="00231827"/>
    <w:rsid w:val="00305ED4"/>
    <w:rsid w:val="00322C82"/>
    <w:rsid w:val="00383F7F"/>
    <w:rsid w:val="00385047"/>
    <w:rsid w:val="003972FA"/>
    <w:rsid w:val="003C1DB2"/>
    <w:rsid w:val="003D0498"/>
    <w:rsid w:val="003D240D"/>
    <w:rsid w:val="003D72A9"/>
    <w:rsid w:val="003E2426"/>
    <w:rsid w:val="003E7223"/>
    <w:rsid w:val="004000DA"/>
    <w:rsid w:val="00405717"/>
    <w:rsid w:val="00410C7F"/>
    <w:rsid w:val="00452535"/>
    <w:rsid w:val="00463F9A"/>
    <w:rsid w:val="00473288"/>
    <w:rsid w:val="004B492B"/>
    <w:rsid w:val="004E28CF"/>
    <w:rsid w:val="004E7DE9"/>
    <w:rsid w:val="004F0440"/>
    <w:rsid w:val="005123FD"/>
    <w:rsid w:val="005301CB"/>
    <w:rsid w:val="00530A92"/>
    <w:rsid w:val="005444EF"/>
    <w:rsid w:val="00555331"/>
    <w:rsid w:val="00566920"/>
    <w:rsid w:val="00596DC1"/>
    <w:rsid w:val="005A4881"/>
    <w:rsid w:val="005B0CF6"/>
    <w:rsid w:val="005B2909"/>
    <w:rsid w:val="005C4443"/>
    <w:rsid w:val="005D353C"/>
    <w:rsid w:val="005E09C6"/>
    <w:rsid w:val="005E22E2"/>
    <w:rsid w:val="005F3639"/>
    <w:rsid w:val="005F66C8"/>
    <w:rsid w:val="0061697A"/>
    <w:rsid w:val="00616FFB"/>
    <w:rsid w:val="00617B19"/>
    <w:rsid w:val="00643EE5"/>
    <w:rsid w:val="00654FCF"/>
    <w:rsid w:val="00667967"/>
    <w:rsid w:val="00680D8B"/>
    <w:rsid w:val="006A08E6"/>
    <w:rsid w:val="006A5F82"/>
    <w:rsid w:val="006B6796"/>
    <w:rsid w:val="00701E61"/>
    <w:rsid w:val="00705201"/>
    <w:rsid w:val="00721977"/>
    <w:rsid w:val="00735975"/>
    <w:rsid w:val="00764DC6"/>
    <w:rsid w:val="00770227"/>
    <w:rsid w:val="007867D8"/>
    <w:rsid w:val="00786AF1"/>
    <w:rsid w:val="007A3050"/>
    <w:rsid w:val="007C4B2E"/>
    <w:rsid w:val="007D4C53"/>
    <w:rsid w:val="0083151B"/>
    <w:rsid w:val="00832AF2"/>
    <w:rsid w:val="008356BB"/>
    <w:rsid w:val="00843CAD"/>
    <w:rsid w:val="00845951"/>
    <w:rsid w:val="008517AD"/>
    <w:rsid w:val="00863A0E"/>
    <w:rsid w:val="0087507F"/>
    <w:rsid w:val="00881B07"/>
    <w:rsid w:val="0088336A"/>
    <w:rsid w:val="008A7BC7"/>
    <w:rsid w:val="008B2D26"/>
    <w:rsid w:val="008E0261"/>
    <w:rsid w:val="008E6C77"/>
    <w:rsid w:val="008E7D61"/>
    <w:rsid w:val="008F4517"/>
    <w:rsid w:val="00904F91"/>
    <w:rsid w:val="009148ED"/>
    <w:rsid w:val="009159EB"/>
    <w:rsid w:val="0095537F"/>
    <w:rsid w:val="009C0979"/>
    <w:rsid w:val="009D74CF"/>
    <w:rsid w:val="009E10EE"/>
    <w:rsid w:val="009F4706"/>
    <w:rsid w:val="00A17BCB"/>
    <w:rsid w:val="00A5106C"/>
    <w:rsid w:val="00A5634C"/>
    <w:rsid w:val="00A7327F"/>
    <w:rsid w:val="00A97DB5"/>
    <w:rsid w:val="00AA16A7"/>
    <w:rsid w:val="00AB0066"/>
    <w:rsid w:val="00AB7393"/>
    <w:rsid w:val="00AE5586"/>
    <w:rsid w:val="00B059D1"/>
    <w:rsid w:val="00B07274"/>
    <w:rsid w:val="00B10BF8"/>
    <w:rsid w:val="00B21A8B"/>
    <w:rsid w:val="00B25527"/>
    <w:rsid w:val="00B331BA"/>
    <w:rsid w:val="00B513A0"/>
    <w:rsid w:val="00B548C4"/>
    <w:rsid w:val="00B5599E"/>
    <w:rsid w:val="00B96466"/>
    <w:rsid w:val="00BA56D4"/>
    <w:rsid w:val="00BC7C86"/>
    <w:rsid w:val="00BD31C3"/>
    <w:rsid w:val="00BE40DE"/>
    <w:rsid w:val="00BE598E"/>
    <w:rsid w:val="00BF538B"/>
    <w:rsid w:val="00C46649"/>
    <w:rsid w:val="00C56634"/>
    <w:rsid w:val="00C570D2"/>
    <w:rsid w:val="00C70D5A"/>
    <w:rsid w:val="00C72B53"/>
    <w:rsid w:val="00CC44F6"/>
    <w:rsid w:val="00CC5836"/>
    <w:rsid w:val="00D07FB5"/>
    <w:rsid w:val="00D11B54"/>
    <w:rsid w:val="00D11FD5"/>
    <w:rsid w:val="00D86942"/>
    <w:rsid w:val="00DD6FD0"/>
    <w:rsid w:val="00DE0AA2"/>
    <w:rsid w:val="00DE78D7"/>
    <w:rsid w:val="00E12686"/>
    <w:rsid w:val="00E17094"/>
    <w:rsid w:val="00E21CD2"/>
    <w:rsid w:val="00E31137"/>
    <w:rsid w:val="00E57922"/>
    <w:rsid w:val="00E62539"/>
    <w:rsid w:val="00EA09DE"/>
    <w:rsid w:val="00EB2397"/>
    <w:rsid w:val="00EF0AF6"/>
    <w:rsid w:val="00F010A1"/>
    <w:rsid w:val="00F6154D"/>
    <w:rsid w:val="00F80936"/>
    <w:rsid w:val="00F8512E"/>
    <w:rsid w:val="00F926A3"/>
    <w:rsid w:val="00FA6E3A"/>
    <w:rsid w:val="00FD06F7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64F9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0A4A-6469-48B6-B3AD-E1F2A636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10</cp:revision>
  <cp:lastPrinted>2024-03-11T20:49:00Z</cp:lastPrinted>
  <dcterms:created xsi:type="dcterms:W3CDTF">2024-03-18T15:55:00Z</dcterms:created>
  <dcterms:modified xsi:type="dcterms:W3CDTF">2024-03-18T18:19:00Z</dcterms:modified>
</cp:coreProperties>
</file>