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2331" w:type="dxa"/>
        <w:tblInd w:w="-1069" w:type="dxa"/>
        <w:tblLayout w:type="fixed"/>
        <w:tblCellMar>
          <w:left w:w="0" w:type="dxa"/>
          <w:right w:w="0" w:type="dxa"/>
        </w:tblCellMar>
        <w:tblLook w:val="0600" w:firstRow="0" w:lastRow="0" w:firstColumn="0" w:lastColumn="0" w:noHBand="1" w:noVBand="1"/>
      </w:tblPr>
      <w:tblGrid>
        <w:gridCol w:w="1120"/>
        <w:gridCol w:w="2642"/>
        <w:gridCol w:w="184"/>
        <w:gridCol w:w="7237"/>
        <w:gridCol w:w="1148"/>
      </w:tblGrid>
      <w:tr w:rsidR="00271719" w14:paraId="3873D41C" w14:textId="77777777" w:rsidTr="00694065">
        <w:tc>
          <w:tcPr>
            <w:tcW w:w="12331" w:type="dxa"/>
            <w:gridSpan w:val="5"/>
            <w:tcBorders>
              <w:top w:val="none" w:sz="4" w:space="0" w:color="000000"/>
              <w:left w:val="none" w:sz="4" w:space="0" w:color="000000"/>
              <w:bottom w:val="none" w:sz="4" w:space="0" w:color="000000"/>
              <w:right w:val="none" w:sz="4" w:space="0" w:color="000000"/>
            </w:tcBorders>
            <w:shd w:val="clear" w:color="auto" w:fill="D9D9D9" w:themeFill="background1" w:themeFillShade="D9"/>
          </w:tcPr>
          <w:p w14:paraId="6805085D" w14:textId="77777777" w:rsidR="00271719" w:rsidRDefault="00271719"/>
          <w:tbl>
            <w:tblPr>
              <w:tblStyle w:val="Tablaconcuadrcula"/>
              <w:tblW w:w="0" w:type="auto"/>
              <w:tblInd w:w="1134" w:type="dxa"/>
              <w:tblLayout w:type="fixed"/>
              <w:tblCellMar>
                <w:left w:w="0" w:type="dxa"/>
                <w:right w:w="0" w:type="dxa"/>
              </w:tblCellMar>
              <w:tblLook w:val="0600" w:firstRow="0" w:lastRow="0" w:firstColumn="0" w:lastColumn="0" w:noHBand="1" w:noVBand="1"/>
            </w:tblPr>
            <w:tblGrid>
              <w:gridCol w:w="10063"/>
            </w:tblGrid>
            <w:tr w:rsidR="00271719" w14:paraId="4AF83D1F" w14:textId="77777777">
              <w:tc>
                <w:tcPr>
                  <w:tcW w:w="10063" w:type="dxa"/>
                  <w:tcBorders>
                    <w:top w:val="none" w:sz="4" w:space="0" w:color="000000"/>
                    <w:left w:val="none" w:sz="4" w:space="0" w:color="000000"/>
                    <w:bottom w:val="none" w:sz="4" w:space="0" w:color="000000"/>
                    <w:right w:val="none" w:sz="4" w:space="0" w:color="000000"/>
                  </w:tcBorders>
                </w:tcPr>
                <w:p w14:paraId="241EC1A9" w14:textId="77777777" w:rsidR="00271719" w:rsidRPr="002C73A2" w:rsidRDefault="001D4BA2" w:rsidP="001D4BA2">
                  <w:pPr>
                    <w:pStyle w:val="Titulodocumento"/>
                    <w:jc w:val="both"/>
                    <w:rPr>
                      <w:sz w:val="46"/>
                      <w:szCs w:val="46"/>
                    </w:rPr>
                  </w:pPr>
                  <w:r w:rsidRPr="002C73A2">
                    <w:rPr>
                      <w:sz w:val="46"/>
                      <w:szCs w:val="46"/>
                    </w:rPr>
                    <w:t xml:space="preserve">Sistema de manejo de pesquerías </w:t>
                  </w:r>
                  <w:proofErr w:type="gramStart"/>
                  <w:r w:rsidRPr="002C73A2">
                    <w:rPr>
                      <w:sz w:val="46"/>
                      <w:szCs w:val="46"/>
                    </w:rPr>
                    <w:t>y  asignación</w:t>
                  </w:r>
                  <w:proofErr w:type="gramEnd"/>
                  <w:r w:rsidRPr="002C73A2">
                    <w:rPr>
                      <w:sz w:val="46"/>
                      <w:szCs w:val="46"/>
                    </w:rPr>
                    <w:t xml:space="preserve"> de cuotas al sector pesquero industrial. Experiencia extranjera</w:t>
                  </w:r>
                </w:p>
              </w:tc>
            </w:tr>
            <w:tr w:rsidR="00271719" w14:paraId="2E36BF1E" w14:textId="77777777">
              <w:tblPrEx>
                <w:tblLook w:val="04A0" w:firstRow="1" w:lastRow="0" w:firstColumn="1" w:lastColumn="0" w:noHBand="0" w:noVBand="1"/>
              </w:tblPrEx>
              <w:tc>
                <w:tcPr>
                  <w:tcW w:w="10063" w:type="dxa"/>
                  <w:tcBorders>
                    <w:top w:val="none" w:sz="4" w:space="0" w:color="000000"/>
                    <w:left w:val="none" w:sz="4" w:space="0" w:color="000000"/>
                    <w:bottom w:val="none" w:sz="4" w:space="0" w:color="000000"/>
                    <w:right w:val="none" w:sz="4" w:space="0" w:color="000000"/>
                  </w:tcBorders>
                </w:tcPr>
                <w:p w14:paraId="304DA81A" w14:textId="77777777" w:rsidR="00271719" w:rsidRDefault="00271719" w:rsidP="00AA25E1">
                  <w:pPr>
                    <w:pStyle w:val="Subttulo"/>
                    <w:jc w:val="left"/>
                    <w:rPr>
                      <w:color w:val="808080"/>
                    </w:rPr>
                  </w:pPr>
                </w:p>
              </w:tc>
            </w:tr>
          </w:tbl>
          <w:p w14:paraId="054EBB4B" w14:textId="77777777" w:rsidR="00271719" w:rsidRDefault="00271719"/>
        </w:tc>
      </w:tr>
      <w:tr w:rsidR="00271719" w:rsidRPr="00F12E44" w14:paraId="761CC440" w14:textId="77777777" w:rsidTr="00694065">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108" w:type="dxa"/>
            <w:right w:w="57" w:type="dxa"/>
          </w:tblCellMar>
          <w:tblLook w:val="04A0" w:firstRow="1" w:lastRow="0" w:firstColumn="1" w:lastColumn="0" w:noHBand="0" w:noVBand="1"/>
        </w:tblPrEx>
        <w:trPr>
          <w:gridBefore w:val="1"/>
          <w:gridAfter w:val="1"/>
          <w:wBefore w:w="1120" w:type="dxa"/>
          <w:wAfter w:w="1148" w:type="dxa"/>
          <w:trHeight w:val="7158"/>
        </w:trPr>
        <w:tc>
          <w:tcPr>
            <w:tcW w:w="264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tbl>
            <w:tblPr>
              <w:tblStyle w:val="Tablaconcuadrcula"/>
              <w:tblW w:w="0" w:type="auto"/>
              <w:tblBorders>
                <w:top w:val="none" w:sz="4" w:space="0" w:color="000000"/>
                <w:bottom w:val="none" w:sz="4" w:space="0" w:color="000000"/>
                <w:insideH w:val="none" w:sz="4" w:space="0" w:color="000000"/>
                <w:insideV w:val="none" w:sz="4" w:space="0" w:color="000000"/>
              </w:tblBorders>
              <w:tblLayout w:type="fixed"/>
              <w:tblCellMar>
                <w:top w:w="57" w:type="dxa"/>
                <w:left w:w="0" w:type="dxa"/>
                <w:bottom w:w="57" w:type="dxa"/>
                <w:right w:w="57" w:type="dxa"/>
              </w:tblCellMar>
              <w:tblLook w:val="04A0" w:firstRow="1" w:lastRow="0" w:firstColumn="1" w:lastColumn="0" w:noHBand="0" w:noVBand="1"/>
            </w:tblPr>
            <w:tblGrid>
              <w:gridCol w:w="2693"/>
            </w:tblGrid>
            <w:tr w:rsidR="00271719" w:rsidRPr="00F12E44" w14:paraId="785FAD12" w14:textId="77777777">
              <w:tc>
                <w:tcPr>
                  <w:tcW w:w="2693" w:type="dxa"/>
                  <w:tcBorders>
                    <w:left w:val="none" w:sz="4" w:space="0" w:color="000000"/>
                    <w:bottom w:val="single" w:sz="4" w:space="0" w:color="000000"/>
                    <w:right w:val="none" w:sz="4" w:space="0" w:color="000000"/>
                  </w:tcBorders>
                </w:tcPr>
                <w:p w14:paraId="4E9D01EC" w14:textId="77777777" w:rsidR="00271719" w:rsidRPr="007E5E28" w:rsidRDefault="00D5728F" w:rsidP="00F12E44">
                  <w:pPr>
                    <w:pStyle w:val="Textosecciones"/>
                    <w:spacing w:after="0" w:line="276" w:lineRule="auto"/>
                    <w:ind w:right="-25"/>
                    <w:rPr>
                      <w:b/>
                      <w:color w:val="808080"/>
                    </w:rPr>
                  </w:pPr>
                  <w:r w:rsidRPr="00694065">
                    <w:rPr>
                      <w:b/>
                      <w:color w:val="auto"/>
                    </w:rPr>
                    <w:t>Autor</w:t>
                  </w:r>
                  <w:r w:rsidR="00F12E44" w:rsidRPr="00694065">
                    <w:rPr>
                      <w:b/>
                      <w:color w:val="auto"/>
                    </w:rPr>
                    <w:t>es</w:t>
                  </w:r>
                </w:p>
              </w:tc>
            </w:tr>
            <w:tr w:rsidR="00271719" w:rsidRPr="00F12E44" w14:paraId="7E2EFD9C" w14:textId="77777777">
              <w:tc>
                <w:tcPr>
                  <w:tcW w:w="2693" w:type="dxa"/>
                  <w:tcBorders>
                    <w:top w:val="single" w:sz="4" w:space="0" w:color="000000"/>
                    <w:left w:val="none" w:sz="4" w:space="0" w:color="000000"/>
                    <w:bottom w:val="none" w:sz="4" w:space="0" w:color="000000"/>
                    <w:right w:val="none" w:sz="4" w:space="0" w:color="000000"/>
                  </w:tcBorders>
                </w:tcPr>
                <w:p w14:paraId="097F92CA" w14:textId="77777777" w:rsidR="00271719" w:rsidRDefault="00271719" w:rsidP="00441F7B">
                  <w:pPr>
                    <w:pStyle w:val="Textosecciones"/>
                    <w:spacing w:after="0" w:line="276" w:lineRule="auto"/>
                    <w:ind w:right="-25"/>
                    <w:rPr>
                      <w:color w:val="808080"/>
                    </w:rPr>
                  </w:pPr>
                </w:p>
              </w:tc>
            </w:tr>
            <w:tr w:rsidR="00271719" w:rsidRPr="00694065" w14:paraId="0D58EDF2" w14:textId="77777777">
              <w:trPr>
                <w:trHeight w:val="148"/>
              </w:trPr>
              <w:tc>
                <w:tcPr>
                  <w:tcW w:w="2693" w:type="dxa"/>
                  <w:tcBorders>
                    <w:top w:val="none" w:sz="4" w:space="0" w:color="000000"/>
                    <w:left w:val="none" w:sz="4" w:space="0" w:color="000000"/>
                    <w:bottom w:val="none" w:sz="4" w:space="0" w:color="000000"/>
                    <w:right w:val="none" w:sz="4" w:space="0" w:color="000000"/>
                  </w:tcBorders>
                </w:tcPr>
                <w:p w14:paraId="6BC44CA5" w14:textId="77777777" w:rsidR="00C33F3A" w:rsidRPr="00C33F3A" w:rsidRDefault="00C33F3A" w:rsidP="00441F7B">
                  <w:pPr>
                    <w:pStyle w:val="Textosecciones"/>
                    <w:spacing w:after="0" w:line="276" w:lineRule="auto"/>
                    <w:ind w:right="-25"/>
                    <w:rPr>
                      <w:color w:val="808080"/>
                    </w:rPr>
                  </w:pPr>
                  <w:r w:rsidRPr="00C33F3A">
                    <w:rPr>
                      <w:color w:val="808080"/>
                    </w:rPr>
                    <w:t>Leonardo Arancibia J</w:t>
                  </w:r>
                  <w:r w:rsidR="00441F7B">
                    <w:rPr>
                      <w:color w:val="808080"/>
                    </w:rPr>
                    <w:t>eraldo</w:t>
                  </w:r>
                </w:p>
                <w:p w14:paraId="64BD4343" w14:textId="77777777" w:rsidR="00C33F3A" w:rsidRPr="00C33F3A" w:rsidRDefault="00C33F3A" w:rsidP="00441F7B">
                  <w:pPr>
                    <w:pStyle w:val="Textosecciones"/>
                    <w:spacing w:after="0" w:line="276" w:lineRule="auto"/>
                    <w:ind w:right="-25"/>
                    <w:rPr>
                      <w:color w:val="808080"/>
                    </w:rPr>
                  </w:pPr>
                  <w:r w:rsidRPr="00C33F3A">
                    <w:rPr>
                      <w:color w:val="808080"/>
                    </w:rPr>
                    <w:t xml:space="preserve">Email </w:t>
                  </w:r>
                  <w:hyperlink r:id="rId8" w:history="1">
                    <w:r w:rsidRPr="00C33F3A">
                      <w:rPr>
                        <w:color w:val="808080"/>
                      </w:rPr>
                      <w:t>larancibia@bcn.cl</w:t>
                    </w:r>
                  </w:hyperlink>
                </w:p>
                <w:p w14:paraId="4BCA3BC7" w14:textId="77777777" w:rsidR="00C33F3A" w:rsidRPr="00694065" w:rsidRDefault="00C33F3A" w:rsidP="00441F7B">
                  <w:pPr>
                    <w:pStyle w:val="Textosecciones"/>
                    <w:spacing w:after="0" w:line="276" w:lineRule="auto"/>
                    <w:ind w:right="-25"/>
                    <w:rPr>
                      <w:color w:val="808080"/>
                      <w:lang w:val="en-US"/>
                    </w:rPr>
                  </w:pPr>
                  <w:r w:rsidRPr="00694065">
                    <w:rPr>
                      <w:color w:val="808080"/>
                      <w:lang w:val="en-US"/>
                    </w:rPr>
                    <w:t>Tel.: (56) 32 226 3197</w:t>
                  </w:r>
                </w:p>
                <w:p w14:paraId="2864245A" w14:textId="77777777" w:rsidR="00F12E44" w:rsidRPr="00694065" w:rsidRDefault="001D4BA2" w:rsidP="00F12E44">
                  <w:pPr>
                    <w:pStyle w:val="Textosecciones"/>
                    <w:spacing w:after="0" w:line="276" w:lineRule="auto"/>
                    <w:ind w:right="-25"/>
                    <w:rPr>
                      <w:color w:val="808080"/>
                      <w:lang w:val="en-US"/>
                    </w:rPr>
                  </w:pPr>
                  <w:r w:rsidRPr="00694065">
                    <w:rPr>
                      <w:color w:val="808080"/>
                      <w:lang w:val="en-US"/>
                    </w:rPr>
                    <w:t xml:space="preserve"> </w:t>
                  </w:r>
                </w:p>
                <w:p w14:paraId="24D3491E" w14:textId="77777777" w:rsidR="006B09DE" w:rsidRPr="00694065" w:rsidRDefault="006B09DE" w:rsidP="006B09DE">
                  <w:pPr>
                    <w:rPr>
                      <w:color w:val="808080"/>
                      <w:sz w:val="20"/>
                      <w:lang w:val="en-US"/>
                    </w:rPr>
                  </w:pPr>
                  <w:r w:rsidRPr="00694065">
                    <w:rPr>
                      <w:color w:val="808080"/>
                      <w:sz w:val="20"/>
                      <w:lang w:val="en-US"/>
                    </w:rPr>
                    <w:t xml:space="preserve">Christine </w:t>
                  </w:r>
                  <w:proofErr w:type="spellStart"/>
                  <w:r w:rsidRPr="00694065">
                    <w:rPr>
                      <w:color w:val="808080"/>
                      <w:sz w:val="20"/>
                      <w:lang w:val="en-US"/>
                    </w:rPr>
                    <w:t>Weidenslaufer</w:t>
                  </w:r>
                  <w:proofErr w:type="spellEnd"/>
                  <w:r w:rsidRPr="00694065">
                    <w:rPr>
                      <w:color w:val="808080"/>
                      <w:sz w:val="20"/>
                      <w:lang w:val="en-US"/>
                    </w:rPr>
                    <w:t xml:space="preserve"> </w:t>
                  </w:r>
                </w:p>
                <w:p w14:paraId="58A8D51F" w14:textId="77777777" w:rsidR="006B09DE" w:rsidRPr="00694065" w:rsidRDefault="006B09DE" w:rsidP="006B09DE">
                  <w:pPr>
                    <w:pStyle w:val="Textosecciones"/>
                    <w:spacing w:after="0" w:line="276" w:lineRule="auto"/>
                    <w:ind w:right="-25"/>
                    <w:rPr>
                      <w:color w:val="808080"/>
                      <w:lang w:val="en-US"/>
                    </w:rPr>
                  </w:pPr>
                  <w:r w:rsidRPr="00694065">
                    <w:rPr>
                      <w:color w:val="808080"/>
                      <w:lang w:val="en-US"/>
                    </w:rPr>
                    <w:t xml:space="preserve">Email </w:t>
                  </w:r>
                  <w:hyperlink r:id="rId9" w:history="1">
                    <w:r w:rsidRPr="00694065">
                      <w:rPr>
                        <w:rStyle w:val="Hipervnculo"/>
                        <w:lang w:val="en-US"/>
                      </w:rPr>
                      <w:t>ceidenslaufer@bcn.cl</w:t>
                    </w:r>
                  </w:hyperlink>
                </w:p>
                <w:p w14:paraId="6004DC34" w14:textId="77777777" w:rsidR="006B09DE" w:rsidRPr="00694065" w:rsidRDefault="006B09DE" w:rsidP="006B09DE">
                  <w:pPr>
                    <w:pStyle w:val="Textosecciones"/>
                    <w:spacing w:after="0" w:line="276" w:lineRule="auto"/>
                    <w:ind w:right="-25"/>
                    <w:rPr>
                      <w:color w:val="808080"/>
                      <w:lang w:val="en-US"/>
                    </w:rPr>
                  </w:pPr>
                </w:p>
                <w:p w14:paraId="35809DD8" w14:textId="77777777" w:rsidR="006B09DE" w:rsidRPr="00C6034C" w:rsidRDefault="006B09DE" w:rsidP="006B09DE">
                  <w:pPr>
                    <w:pStyle w:val="Textosecciones"/>
                    <w:rPr>
                      <w:lang w:val="fr-FR"/>
                    </w:rPr>
                  </w:pPr>
                  <w:r w:rsidRPr="00C6034C">
                    <w:rPr>
                      <w:lang w:val="fr-FR"/>
                    </w:rPr>
                    <w:t>Virginie Loiseau</w:t>
                  </w:r>
                </w:p>
                <w:p w14:paraId="223430FA" w14:textId="77777777" w:rsidR="006B09DE" w:rsidRPr="0051733B" w:rsidRDefault="006B09DE" w:rsidP="006B09DE">
                  <w:pPr>
                    <w:pStyle w:val="Textosecciones"/>
                    <w:pBdr>
                      <w:top w:val="none" w:sz="0" w:space="0" w:color="auto"/>
                      <w:left w:val="none" w:sz="0" w:space="0" w:color="auto"/>
                      <w:bottom w:val="none" w:sz="0" w:space="0" w:color="auto"/>
                      <w:right w:val="none" w:sz="0" w:space="0" w:color="auto"/>
                      <w:between w:val="none" w:sz="0" w:space="0" w:color="auto"/>
                    </w:pBdr>
                    <w:rPr>
                      <w:lang w:val="fr-FR"/>
                    </w:rPr>
                  </w:pPr>
                  <w:proofErr w:type="gramStart"/>
                  <w:r w:rsidRPr="0051733B">
                    <w:rPr>
                      <w:lang w:val="fr-FR"/>
                    </w:rPr>
                    <w:t>Email:</w:t>
                  </w:r>
                  <w:proofErr w:type="gramEnd"/>
                  <w:r w:rsidRPr="0051733B">
                    <w:rPr>
                      <w:lang w:val="fr-FR"/>
                    </w:rPr>
                    <w:t xml:space="preserve"> vloiseau@bcn.cl</w:t>
                  </w:r>
                </w:p>
                <w:p w14:paraId="4747A190" w14:textId="77777777" w:rsidR="006B09DE" w:rsidRDefault="006B09DE" w:rsidP="006B09DE">
                  <w:pPr>
                    <w:pStyle w:val="Textosecciones"/>
                    <w:spacing w:after="0" w:line="276" w:lineRule="auto"/>
                    <w:ind w:right="-25"/>
                    <w:rPr>
                      <w:color w:val="808080"/>
                      <w:lang w:val="en-US"/>
                    </w:rPr>
                  </w:pPr>
                </w:p>
                <w:p w14:paraId="4B6A728D" w14:textId="77777777" w:rsidR="008D71CE" w:rsidRPr="008D71CE" w:rsidRDefault="008D71CE" w:rsidP="008D71CE">
                  <w:pPr>
                    <w:rPr>
                      <w:lang w:val="en-US"/>
                    </w:rPr>
                  </w:pPr>
                </w:p>
                <w:p w14:paraId="220DFABD" w14:textId="77777777" w:rsidR="00F12E44" w:rsidRPr="00694065" w:rsidRDefault="00F12E44" w:rsidP="00F12E44">
                  <w:pPr>
                    <w:rPr>
                      <w:lang w:val="en-US"/>
                    </w:rPr>
                  </w:pPr>
                </w:p>
              </w:tc>
            </w:tr>
            <w:tr w:rsidR="00271719" w:rsidRPr="00694065" w14:paraId="334F758A" w14:textId="77777777">
              <w:tc>
                <w:tcPr>
                  <w:tcW w:w="2693" w:type="dxa"/>
                  <w:tcBorders>
                    <w:top w:val="none" w:sz="4" w:space="0" w:color="000000"/>
                    <w:left w:val="none" w:sz="4" w:space="0" w:color="000000"/>
                    <w:bottom w:val="single" w:sz="4" w:space="0" w:color="000000"/>
                    <w:right w:val="none" w:sz="4" w:space="0" w:color="000000"/>
                  </w:tcBorders>
                </w:tcPr>
                <w:p w14:paraId="27AD02C1" w14:textId="77777777" w:rsidR="00271719" w:rsidRPr="00694065" w:rsidRDefault="00B50845" w:rsidP="00B50845">
                  <w:pPr>
                    <w:pStyle w:val="Textosecciones"/>
                    <w:pBdr>
                      <w:top w:val="none" w:sz="0" w:space="0" w:color="auto"/>
                      <w:left w:val="none" w:sz="0" w:space="0" w:color="auto"/>
                      <w:bottom w:val="none" w:sz="0" w:space="0" w:color="auto"/>
                      <w:right w:val="none" w:sz="0" w:space="0" w:color="auto"/>
                      <w:between w:val="none" w:sz="0" w:space="0" w:color="auto"/>
                    </w:pBdr>
                    <w:spacing w:after="0" w:line="276" w:lineRule="auto"/>
                    <w:ind w:right="-25"/>
                    <w:rPr>
                      <w:color w:val="808080"/>
                      <w:lang w:val="en-US"/>
                    </w:rPr>
                  </w:pPr>
                  <w:r w:rsidRPr="00694065">
                    <w:rPr>
                      <w:b/>
                      <w:color w:val="808080"/>
                      <w:lang w:val="en-US"/>
                    </w:rPr>
                    <w:t xml:space="preserve"> </w:t>
                  </w:r>
                </w:p>
              </w:tc>
            </w:tr>
            <w:tr w:rsidR="00271719" w:rsidRPr="00F12E44" w14:paraId="5C3E45E6" w14:textId="77777777">
              <w:tc>
                <w:tcPr>
                  <w:tcW w:w="2693" w:type="dxa"/>
                  <w:tcBorders>
                    <w:top w:val="single" w:sz="4" w:space="0" w:color="000000"/>
                    <w:left w:val="none" w:sz="4" w:space="0" w:color="000000"/>
                    <w:bottom w:val="none" w:sz="4" w:space="0" w:color="000000"/>
                    <w:right w:val="none" w:sz="4" w:space="0" w:color="000000"/>
                  </w:tcBorders>
                </w:tcPr>
                <w:p w14:paraId="4422FD48" w14:textId="77777777" w:rsidR="008D71CE" w:rsidRDefault="008D71CE" w:rsidP="00B50845">
                  <w:pPr>
                    <w:pStyle w:val="Textosecciones"/>
                    <w:pBdr>
                      <w:top w:val="none" w:sz="0" w:space="0" w:color="auto"/>
                      <w:left w:val="none" w:sz="0" w:space="0" w:color="auto"/>
                      <w:bottom w:val="none" w:sz="0" w:space="0" w:color="auto"/>
                      <w:right w:val="none" w:sz="0" w:space="0" w:color="auto"/>
                      <w:between w:val="none" w:sz="0" w:space="0" w:color="auto"/>
                    </w:pBdr>
                    <w:spacing w:after="0" w:line="276" w:lineRule="auto"/>
                    <w:ind w:right="-25"/>
                    <w:rPr>
                      <w:color w:val="808080"/>
                    </w:rPr>
                  </w:pPr>
                  <w:r>
                    <w:rPr>
                      <w:color w:val="808080"/>
                    </w:rPr>
                    <w:t xml:space="preserve">Elaborado para la </w:t>
                  </w:r>
                  <w:r w:rsidRPr="008D71CE">
                    <w:rPr>
                      <w:color w:val="808080"/>
                    </w:rPr>
                    <w:t xml:space="preserve">Comisión de Pesca, Acuicultura e Intereses Marítimos de la Cámara de Diputadas y Diputados </w:t>
                  </w:r>
                </w:p>
                <w:p w14:paraId="0A5CF74B" w14:textId="541EFED4" w:rsidR="00CF5204" w:rsidRPr="00F12E44" w:rsidRDefault="008D71CE" w:rsidP="00B50845">
                  <w:pPr>
                    <w:pStyle w:val="Textosecciones"/>
                    <w:pBdr>
                      <w:top w:val="none" w:sz="0" w:space="0" w:color="auto"/>
                      <w:left w:val="none" w:sz="0" w:space="0" w:color="auto"/>
                      <w:bottom w:val="none" w:sz="0" w:space="0" w:color="auto"/>
                      <w:right w:val="none" w:sz="0" w:space="0" w:color="auto"/>
                      <w:between w:val="none" w:sz="0" w:space="0" w:color="auto"/>
                    </w:pBdr>
                    <w:spacing w:after="0" w:line="276" w:lineRule="auto"/>
                    <w:ind w:right="-25"/>
                    <w:rPr>
                      <w:color w:val="808080"/>
                    </w:rPr>
                  </w:pPr>
                  <w:r>
                    <w:rPr>
                      <w:color w:val="808080"/>
                    </w:rPr>
                    <w:t>A</w:t>
                  </w:r>
                  <w:r w:rsidR="001D4BA2">
                    <w:rPr>
                      <w:color w:val="808080"/>
                    </w:rPr>
                    <w:t>ctualización de informes BCN de 2012</w:t>
                  </w:r>
                  <w:r w:rsidR="00F33671">
                    <w:rPr>
                      <w:color w:val="808080"/>
                    </w:rPr>
                    <w:t xml:space="preserve">, </w:t>
                  </w:r>
                  <w:r w:rsidR="001D4BA2">
                    <w:rPr>
                      <w:color w:val="808080"/>
                    </w:rPr>
                    <w:t>2015</w:t>
                  </w:r>
                  <w:r w:rsidR="00F33671">
                    <w:rPr>
                      <w:color w:val="808080"/>
                    </w:rPr>
                    <w:t xml:space="preserve"> y 2019</w:t>
                  </w:r>
                </w:p>
                <w:p w14:paraId="2B87A8A7" w14:textId="77777777" w:rsidR="00271719" w:rsidRPr="00F12E44" w:rsidRDefault="000C0320" w:rsidP="00B50845">
                  <w:pPr>
                    <w:pStyle w:val="Textosecciones"/>
                    <w:pBdr>
                      <w:top w:val="none" w:sz="0" w:space="0" w:color="auto"/>
                      <w:left w:val="none" w:sz="0" w:space="0" w:color="auto"/>
                      <w:bottom w:val="none" w:sz="0" w:space="0" w:color="auto"/>
                      <w:right w:val="none" w:sz="0" w:space="0" w:color="auto"/>
                      <w:between w:val="none" w:sz="0" w:space="0" w:color="auto"/>
                    </w:pBdr>
                    <w:spacing w:after="0" w:line="276" w:lineRule="auto"/>
                    <w:ind w:right="-25"/>
                    <w:rPr>
                      <w:color w:val="808080"/>
                    </w:rPr>
                  </w:pPr>
                  <w:r w:rsidRPr="00F12E44">
                    <w:rPr>
                      <w:color w:val="808080"/>
                    </w:rPr>
                    <w:t xml:space="preserve"> </w:t>
                  </w:r>
                </w:p>
                <w:p w14:paraId="0E5DCF2F" w14:textId="77777777" w:rsidR="00CF5204" w:rsidRPr="00F12E44" w:rsidRDefault="00CF5204" w:rsidP="00B50845">
                  <w:pPr>
                    <w:pStyle w:val="Textosecciones"/>
                    <w:pBdr>
                      <w:top w:val="none" w:sz="0" w:space="0" w:color="auto"/>
                      <w:left w:val="none" w:sz="0" w:space="0" w:color="auto"/>
                      <w:bottom w:val="none" w:sz="0" w:space="0" w:color="auto"/>
                      <w:right w:val="none" w:sz="0" w:space="0" w:color="auto"/>
                      <w:between w:val="none" w:sz="0" w:space="0" w:color="auto"/>
                    </w:pBdr>
                    <w:spacing w:after="0" w:line="276" w:lineRule="auto"/>
                    <w:ind w:right="-25"/>
                    <w:rPr>
                      <w:color w:val="808080"/>
                    </w:rPr>
                  </w:pPr>
                </w:p>
                <w:p w14:paraId="3FE2009C" w14:textId="77777777" w:rsidR="00271719" w:rsidRPr="00F12E44" w:rsidRDefault="00271719" w:rsidP="00B50845">
                  <w:pPr>
                    <w:pStyle w:val="Textosecciones"/>
                    <w:pBdr>
                      <w:top w:val="none" w:sz="0" w:space="0" w:color="auto"/>
                      <w:left w:val="none" w:sz="0" w:space="0" w:color="auto"/>
                      <w:bottom w:val="none" w:sz="0" w:space="0" w:color="auto"/>
                      <w:right w:val="none" w:sz="0" w:space="0" w:color="auto"/>
                      <w:between w:val="none" w:sz="0" w:space="0" w:color="auto"/>
                    </w:pBdr>
                    <w:spacing w:after="0" w:line="276" w:lineRule="auto"/>
                    <w:ind w:right="-25"/>
                    <w:rPr>
                      <w:color w:val="808080"/>
                    </w:rPr>
                  </w:pPr>
                </w:p>
              </w:tc>
            </w:tr>
            <w:tr w:rsidR="00271719" w:rsidRPr="00F12E44" w14:paraId="646F141C" w14:textId="77777777">
              <w:tc>
                <w:tcPr>
                  <w:tcW w:w="2693" w:type="dxa"/>
                  <w:tcBorders>
                    <w:top w:val="none" w:sz="4" w:space="0" w:color="000000"/>
                    <w:left w:val="none" w:sz="4" w:space="0" w:color="000000"/>
                    <w:bottom w:val="none" w:sz="4" w:space="0" w:color="000000"/>
                    <w:right w:val="none" w:sz="4" w:space="0" w:color="000000"/>
                  </w:tcBorders>
                </w:tcPr>
                <w:p w14:paraId="5C0C719A" w14:textId="77777777" w:rsidR="00271719" w:rsidRPr="00F12E44" w:rsidRDefault="00271719" w:rsidP="00F12E44">
                  <w:pPr>
                    <w:pStyle w:val="Textosecciones"/>
                    <w:spacing w:after="0" w:line="276" w:lineRule="auto"/>
                    <w:ind w:right="-25"/>
                    <w:rPr>
                      <w:color w:val="808080"/>
                    </w:rPr>
                  </w:pPr>
                </w:p>
              </w:tc>
            </w:tr>
            <w:tr w:rsidR="00271719" w:rsidRPr="00F12E44" w14:paraId="420CA8BC" w14:textId="77777777">
              <w:tc>
                <w:tcPr>
                  <w:tcW w:w="2693" w:type="dxa"/>
                  <w:tcBorders>
                    <w:top w:val="none" w:sz="4" w:space="0" w:color="000000"/>
                    <w:left w:val="none" w:sz="4" w:space="0" w:color="000000"/>
                    <w:bottom w:val="none" w:sz="4" w:space="0" w:color="000000"/>
                    <w:right w:val="none" w:sz="4" w:space="0" w:color="000000"/>
                  </w:tcBorders>
                </w:tcPr>
                <w:p w14:paraId="146356FB" w14:textId="6C425CCD" w:rsidR="00271719" w:rsidRPr="00F12E44" w:rsidRDefault="005775F9" w:rsidP="009E60FA">
                  <w:pPr>
                    <w:pStyle w:val="Textosecciones"/>
                    <w:spacing w:after="0" w:line="276" w:lineRule="auto"/>
                    <w:ind w:right="-25"/>
                    <w:rPr>
                      <w:color w:val="808080"/>
                    </w:rPr>
                  </w:pPr>
                  <w:proofErr w:type="spellStart"/>
                  <w:r w:rsidRPr="00F12E44">
                    <w:rPr>
                      <w:color w:val="808080"/>
                    </w:rPr>
                    <w:t>Nº</w:t>
                  </w:r>
                  <w:proofErr w:type="spellEnd"/>
                  <w:r w:rsidRPr="00F12E44">
                    <w:rPr>
                      <w:color w:val="808080"/>
                    </w:rPr>
                    <w:t xml:space="preserve"> SUP: </w:t>
                  </w:r>
                  <w:r w:rsidR="008D71CE" w:rsidRPr="008D71CE">
                    <w:rPr>
                      <w:color w:val="808080"/>
                    </w:rPr>
                    <w:t>140666</w:t>
                  </w:r>
                </w:p>
              </w:tc>
            </w:tr>
          </w:tbl>
          <w:p w14:paraId="7AB20E0F" w14:textId="77777777" w:rsidR="00271719" w:rsidRPr="00F12E44" w:rsidRDefault="00271719" w:rsidP="00F12E44">
            <w:pPr>
              <w:pStyle w:val="Textosecciones"/>
              <w:spacing w:after="0" w:line="276" w:lineRule="auto"/>
              <w:ind w:right="-25"/>
              <w:rPr>
                <w:color w:val="808080"/>
              </w:rPr>
            </w:pPr>
          </w:p>
        </w:tc>
        <w:tc>
          <w:tcPr>
            <w:tcW w:w="184" w:type="dxa"/>
            <w:tcBorders>
              <w:left w:val="none" w:sz="4" w:space="0" w:color="000000"/>
            </w:tcBorders>
            <w:tcMar>
              <w:top w:w="0" w:type="dxa"/>
              <w:left w:w="0" w:type="dxa"/>
              <w:bottom w:w="0" w:type="dxa"/>
              <w:right w:w="0" w:type="dxa"/>
            </w:tcMar>
          </w:tcPr>
          <w:p w14:paraId="1BD24685" w14:textId="77777777" w:rsidR="00271719" w:rsidRPr="00F12E44" w:rsidRDefault="00271719" w:rsidP="00F12E44">
            <w:pPr>
              <w:pStyle w:val="Textosecciones"/>
              <w:spacing w:after="0" w:line="276" w:lineRule="auto"/>
              <w:ind w:right="-25"/>
              <w:rPr>
                <w:color w:val="808080"/>
              </w:rPr>
            </w:pPr>
          </w:p>
        </w:tc>
        <w:tc>
          <w:tcPr>
            <w:tcW w:w="7237" w:type="dxa"/>
            <w:tcMar>
              <w:top w:w="0" w:type="dxa"/>
              <w:left w:w="0" w:type="dxa"/>
              <w:bottom w:w="0" w:type="dxa"/>
              <w:right w:w="0" w:type="dxa"/>
            </w:tcMar>
          </w:tcPr>
          <w:tbl>
            <w:tblPr>
              <w:tblStyle w:val="Tablaconcuadrcula"/>
              <w:tblW w:w="0" w:type="auto"/>
              <w:tblBorders>
                <w:top w:val="none" w:sz="4" w:space="0" w:color="000000"/>
                <w:bottom w:val="none" w:sz="4" w:space="0" w:color="000000"/>
                <w:insideH w:val="none" w:sz="4" w:space="0" w:color="000000"/>
                <w:insideV w:val="none" w:sz="4" w:space="0" w:color="000000"/>
              </w:tblBorders>
              <w:tblLayout w:type="fixed"/>
              <w:tblCellMar>
                <w:top w:w="57" w:type="dxa"/>
                <w:left w:w="0" w:type="dxa"/>
                <w:bottom w:w="57" w:type="dxa"/>
                <w:right w:w="113" w:type="dxa"/>
              </w:tblCellMar>
              <w:tblLook w:val="04A0" w:firstRow="1" w:lastRow="0" w:firstColumn="1" w:lastColumn="0" w:noHBand="0" w:noVBand="1"/>
            </w:tblPr>
            <w:tblGrid>
              <w:gridCol w:w="7228"/>
            </w:tblGrid>
            <w:tr w:rsidR="00271719" w:rsidRPr="00F12E44" w14:paraId="1E4269F4" w14:textId="77777777">
              <w:tc>
                <w:tcPr>
                  <w:tcW w:w="7228" w:type="dxa"/>
                  <w:tcBorders>
                    <w:left w:val="none" w:sz="4" w:space="0" w:color="000000"/>
                    <w:bottom w:val="single" w:sz="4" w:space="0" w:color="000000"/>
                    <w:right w:val="none" w:sz="4" w:space="0" w:color="000000"/>
                  </w:tcBorders>
                </w:tcPr>
                <w:p w14:paraId="6CE81389" w14:textId="77777777" w:rsidR="00271719" w:rsidRPr="00694065" w:rsidRDefault="00D5728F" w:rsidP="00F12E44">
                  <w:pPr>
                    <w:pStyle w:val="Textosecciones"/>
                    <w:spacing w:after="0" w:line="276" w:lineRule="auto"/>
                    <w:ind w:right="-25"/>
                    <w:rPr>
                      <w:b/>
                      <w:color w:val="808080"/>
                    </w:rPr>
                  </w:pPr>
                  <w:r w:rsidRPr="00694065">
                    <w:rPr>
                      <w:b/>
                      <w:color w:val="auto"/>
                    </w:rPr>
                    <w:t>Resumen</w:t>
                  </w:r>
                </w:p>
              </w:tc>
            </w:tr>
            <w:tr w:rsidR="00271719" w:rsidRPr="00F12E44" w14:paraId="49919326" w14:textId="77777777" w:rsidTr="00694065">
              <w:trPr>
                <w:trHeight w:val="28"/>
              </w:trPr>
              <w:tc>
                <w:tcPr>
                  <w:tcW w:w="7228" w:type="dxa"/>
                  <w:tcBorders>
                    <w:top w:val="single" w:sz="4" w:space="0" w:color="000000"/>
                    <w:left w:val="none" w:sz="4" w:space="0" w:color="000000"/>
                    <w:bottom w:val="single" w:sz="4" w:space="0" w:color="000000"/>
                    <w:right w:val="none" w:sz="4" w:space="0" w:color="000000"/>
                  </w:tcBorders>
                </w:tcPr>
                <w:p w14:paraId="74E780CA" w14:textId="490FB40D" w:rsidR="007D7B06" w:rsidRPr="00694065" w:rsidRDefault="006B09DE" w:rsidP="006B09DE">
                  <w:pPr>
                    <w:pStyle w:val="Textosecciones"/>
                    <w:spacing w:after="0"/>
                    <w:ind w:right="-25"/>
                    <w:jc w:val="both"/>
                    <w:rPr>
                      <w:color w:val="auto"/>
                      <w:lang w:val="es-CL"/>
                    </w:rPr>
                  </w:pPr>
                  <w:r w:rsidRPr="00694065">
                    <w:rPr>
                      <w:color w:val="auto"/>
                    </w:rPr>
                    <w:t xml:space="preserve">Se analizan los criterios de asignación de cuotas pesqueras, bajo la mirada de la experiencia extranjera. Se han seleccionado los casos de Nueva Zelandia, Dinamarca, Islandia, Noruega, España y Perú, considerados relevantes para este estudio por sus características operacionales, de flotas, de fiscalización y de sistemas de asignación. </w:t>
                  </w:r>
                  <w:r w:rsidRPr="00694065">
                    <w:rPr>
                      <w:color w:val="auto"/>
                      <w:lang w:val="es-CL"/>
                    </w:rPr>
                    <w:t>Al respecto, y como una medida de ordenamiento, los principales países pesqueros han optado por un régimen de asignación de derechos de captura que les permita ordenar las capacidades extractivas y con ello evitar la carrera olímpica y mejorar en así las rentas de las flotas pesqueras.</w:t>
                  </w:r>
                </w:p>
                <w:p w14:paraId="1A6DF108" w14:textId="60FD6D43" w:rsidR="006B09DE" w:rsidRPr="00694065" w:rsidRDefault="006B09DE" w:rsidP="006B09DE">
                  <w:pPr>
                    <w:rPr>
                      <w:sz w:val="20"/>
                      <w:lang w:val="es-CL"/>
                    </w:rPr>
                  </w:pPr>
                  <w:r w:rsidRPr="00694065">
                    <w:rPr>
                      <w:sz w:val="20"/>
                      <w:lang w:val="es-CL"/>
                    </w:rPr>
                    <w:t xml:space="preserve">Al analizar los países se observa en primer lugar que </w:t>
                  </w:r>
                  <w:r w:rsidR="001058A9">
                    <w:rPr>
                      <w:sz w:val="20"/>
                      <w:lang w:val="es-CL"/>
                    </w:rPr>
                    <w:t xml:space="preserve">en </w:t>
                  </w:r>
                  <w:r w:rsidRPr="00694065">
                    <w:rPr>
                      <w:sz w:val="20"/>
                      <w:lang w:val="es-CL"/>
                    </w:rPr>
                    <w:t xml:space="preserve">el sistema de manejo de las pesquerías neozelandesas </w:t>
                  </w:r>
                  <w:r w:rsidR="001058A9">
                    <w:rPr>
                      <w:sz w:val="20"/>
                      <w:lang w:val="es-CL"/>
                    </w:rPr>
                    <w:t>e</w:t>
                  </w:r>
                  <w:r w:rsidRPr="00694065">
                    <w:rPr>
                      <w:sz w:val="20"/>
                      <w:lang w:val="es-CL"/>
                    </w:rPr>
                    <w:t xml:space="preserve">l </w:t>
                  </w:r>
                  <w:proofErr w:type="gramStart"/>
                  <w:r w:rsidRPr="00694065">
                    <w:rPr>
                      <w:sz w:val="20"/>
                      <w:lang w:val="es-CL"/>
                    </w:rPr>
                    <w:t>Ministro</w:t>
                  </w:r>
                  <w:proofErr w:type="gramEnd"/>
                  <w:r w:rsidRPr="00694065">
                    <w:rPr>
                      <w:sz w:val="20"/>
                      <w:lang w:val="es-CL"/>
                    </w:rPr>
                    <w:t xml:space="preserve"> de Pesca establece el TAC</w:t>
                  </w:r>
                  <w:r w:rsidR="002C73A2">
                    <w:rPr>
                      <w:sz w:val="20"/>
                      <w:lang w:val="es-CL"/>
                    </w:rPr>
                    <w:t xml:space="preserve"> (Cuota Total Admisible)</w:t>
                  </w:r>
                  <w:r w:rsidRPr="00694065">
                    <w:rPr>
                      <w:sz w:val="20"/>
                      <w:lang w:val="es-CL"/>
                    </w:rPr>
                    <w:t xml:space="preserve"> con referencia al rendimiento máximo sostenible del stock de que se trate. Una vez que se establece el TAC para un año determinado, se calcula el equivalente en kilogramos de cada porción de cuota y se transfiere al propietario, el primer día del año pesquero, como “Derechos Anuales de Captura”. En el marco del Sistema de Gestión de Cuotas, los titulares de cuotas tienen libertad para vender. La cuota es divisible para que los propietarios de cuotas puedan negociar partes o porciones de ella. Asimismo, desde la introducción de los Derechos Anuales de Captura en 2001, los titulares de cuotas pueden también arrendar sus derechos de pesca, manteniendo la titularidad, pero permitiendo a un tercero capturar la cuota asignada en la temporada de pesca correspondiente.</w:t>
                  </w:r>
                </w:p>
                <w:p w14:paraId="1E95DBED" w14:textId="77777777" w:rsidR="002654A5" w:rsidRPr="00694065" w:rsidRDefault="002654A5" w:rsidP="002654A5">
                  <w:pPr>
                    <w:rPr>
                      <w:sz w:val="20"/>
                      <w:lang w:val="es-CL"/>
                    </w:rPr>
                  </w:pPr>
                  <w:r w:rsidRPr="00694065">
                    <w:rPr>
                      <w:sz w:val="20"/>
                      <w:lang w:val="es-CL"/>
                    </w:rPr>
                    <w:t>En el caso de Dinamarca, la mayoría de las especies comerciales está regulada por el sistema de cuotas individuales transferibles (</w:t>
                  </w:r>
                  <w:proofErr w:type="spellStart"/>
                  <w:r w:rsidRPr="00694065">
                    <w:rPr>
                      <w:sz w:val="20"/>
                      <w:lang w:val="es-CL"/>
                    </w:rPr>
                    <w:t>CITs</w:t>
                  </w:r>
                  <w:proofErr w:type="spellEnd"/>
                  <w:r w:rsidRPr="00694065">
                    <w:rPr>
                      <w:sz w:val="20"/>
                      <w:lang w:val="es-CL"/>
                    </w:rPr>
                    <w:t xml:space="preserve">). Se distingue entre los segmentos pelágicos y </w:t>
                  </w:r>
                  <w:proofErr w:type="spellStart"/>
                  <w:r w:rsidRPr="00694065">
                    <w:rPr>
                      <w:sz w:val="20"/>
                      <w:lang w:val="es-CL"/>
                    </w:rPr>
                    <w:t>demersal</w:t>
                  </w:r>
                  <w:proofErr w:type="spellEnd"/>
                  <w:r w:rsidRPr="00694065">
                    <w:rPr>
                      <w:sz w:val="20"/>
                      <w:lang w:val="es-CL"/>
                    </w:rPr>
                    <w:t>, con respecto a la concentración de la propiedad y la propiedad cruzada.</w:t>
                  </w:r>
                </w:p>
                <w:p w14:paraId="7622DFBF" w14:textId="77777777" w:rsidR="002654A5" w:rsidRPr="00694065" w:rsidRDefault="002654A5" w:rsidP="002654A5">
                  <w:pPr>
                    <w:rPr>
                      <w:sz w:val="20"/>
                      <w:lang w:val="es-CL"/>
                    </w:rPr>
                  </w:pPr>
                  <w:r w:rsidRPr="00694065">
                    <w:rPr>
                      <w:sz w:val="20"/>
                      <w:lang w:val="es-CL"/>
                    </w:rPr>
                    <w:t xml:space="preserve">Cuando se introdujo el sistema de </w:t>
                  </w:r>
                  <w:proofErr w:type="spellStart"/>
                  <w:r w:rsidRPr="00694065">
                    <w:rPr>
                      <w:sz w:val="20"/>
                      <w:lang w:val="es-CL"/>
                    </w:rPr>
                    <w:t>CITs</w:t>
                  </w:r>
                  <w:proofErr w:type="spellEnd"/>
                  <w:r w:rsidRPr="00694065">
                    <w:rPr>
                      <w:sz w:val="20"/>
                      <w:lang w:val="es-CL"/>
                    </w:rPr>
                    <w:t xml:space="preserve"> se requirió implementar algunas restricciones sobre la concentración de cuotas: ningún buque pesquero o persona puede tener una posición dominante. Finalmente se señala que las </w:t>
                  </w:r>
                  <w:proofErr w:type="spellStart"/>
                  <w:r w:rsidRPr="00694065">
                    <w:rPr>
                      <w:sz w:val="20"/>
                      <w:lang w:val="es-CL"/>
                    </w:rPr>
                    <w:t>CITs</w:t>
                  </w:r>
                  <w:proofErr w:type="spellEnd"/>
                  <w:r w:rsidRPr="00694065">
                    <w:rPr>
                      <w:sz w:val="20"/>
                      <w:lang w:val="es-CL"/>
                    </w:rPr>
                    <w:t xml:space="preserve"> en Dinamarca pueden ser asignadas de las siguientes maneras:</w:t>
                  </w:r>
                </w:p>
                <w:p w14:paraId="32EE9B9F" w14:textId="77777777" w:rsidR="002654A5" w:rsidRPr="00694065" w:rsidRDefault="002654A5" w:rsidP="00694065">
                  <w:pPr>
                    <w:pStyle w:val="Prrafodelista"/>
                    <w:numPr>
                      <w:ilvl w:val="0"/>
                      <w:numId w:val="18"/>
                    </w:numPr>
                    <w:ind w:left="242" w:hanging="242"/>
                    <w:rPr>
                      <w:sz w:val="20"/>
                      <w:lang w:val="es-CL"/>
                    </w:rPr>
                  </w:pPr>
                  <w:r w:rsidRPr="00694065">
                    <w:rPr>
                      <w:sz w:val="20"/>
                      <w:lang w:val="es-CL"/>
                    </w:rPr>
                    <w:t>Subasta. S</w:t>
                  </w:r>
                  <w:r w:rsidR="00694065" w:rsidRPr="00694065">
                    <w:rPr>
                      <w:sz w:val="20"/>
                      <w:lang w:val="es-CL"/>
                    </w:rPr>
                    <w:t>e</w:t>
                  </w:r>
                  <w:r w:rsidRPr="00694065">
                    <w:rPr>
                      <w:sz w:val="20"/>
                      <w:lang w:val="es-CL"/>
                    </w:rPr>
                    <w:t xml:space="preserve"> considera como un método pertinente para la asignación en nuevas pesquerías.</w:t>
                  </w:r>
                </w:p>
                <w:p w14:paraId="06D4F8B5" w14:textId="77777777" w:rsidR="002654A5" w:rsidRPr="00694065" w:rsidRDefault="002654A5" w:rsidP="00694065">
                  <w:pPr>
                    <w:pStyle w:val="Prrafodelista"/>
                    <w:numPr>
                      <w:ilvl w:val="0"/>
                      <w:numId w:val="18"/>
                    </w:numPr>
                    <w:ind w:left="242" w:hanging="242"/>
                    <w:rPr>
                      <w:sz w:val="20"/>
                      <w:lang w:val="es-CL"/>
                    </w:rPr>
                  </w:pPr>
                  <w:r w:rsidRPr="00694065">
                    <w:rPr>
                      <w:sz w:val="20"/>
                      <w:lang w:val="es-CL"/>
                    </w:rPr>
                    <w:t>Asignación a los buques de acuerdo a características físicas o económicas, y</w:t>
                  </w:r>
                </w:p>
                <w:p w14:paraId="3355F858" w14:textId="77777777" w:rsidR="002654A5" w:rsidRPr="00694065" w:rsidRDefault="002654A5" w:rsidP="00694065">
                  <w:pPr>
                    <w:pStyle w:val="Prrafodelista"/>
                    <w:numPr>
                      <w:ilvl w:val="0"/>
                      <w:numId w:val="18"/>
                    </w:numPr>
                    <w:ind w:left="242" w:hanging="242"/>
                    <w:rPr>
                      <w:sz w:val="20"/>
                      <w:lang w:val="es-CL"/>
                    </w:rPr>
                  </w:pPr>
                  <w:r w:rsidRPr="00694065">
                    <w:rPr>
                      <w:sz w:val="20"/>
                      <w:lang w:val="es-CL"/>
                    </w:rPr>
                    <w:t>Asignación de acuerdo a capturas históricas como un método aceptable para la industria y las autoridades, ya que reflejaría la operación de los actores y con ello su valor en la pesquería.</w:t>
                  </w:r>
                </w:p>
                <w:p w14:paraId="0425117A" w14:textId="77777777" w:rsidR="002654A5" w:rsidRPr="00694065" w:rsidRDefault="002654A5" w:rsidP="002654A5">
                  <w:pPr>
                    <w:rPr>
                      <w:sz w:val="20"/>
                      <w:lang w:val="es-CL"/>
                    </w:rPr>
                  </w:pPr>
                  <w:r w:rsidRPr="00694065">
                    <w:rPr>
                      <w:sz w:val="20"/>
                      <w:lang w:val="es-CL"/>
                    </w:rPr>
                    <w:t>En Islandia es la Dirección de Pesca (</w:t>
                  </w:r>
                  <w:proofErr w:type="spellStart"/>
                  <w:r w:rsidRPr="00694065">
                    <w:rPr>
                      <w:sz w:val="20"/>
                      <w:lang w:val="es-CL"/>
                    </w:rPr>
                    <w:t>Fiskistofa</w:t>
                  </w:r>
                  <w:proofErr w:type="spellEnd"/>
                  <w:r w:rsidRPr="00694065">
                    <w:rPr>
                      <w:sz w:val="20"/>
                      <w:lang w:val="es-CL"/>
                    </w:rPr>
                    <w:t xml:space="preserve">) quien asigna cuotas de captura anuales a cada buque mediante la distribución de la TAC en porciones fijas de cuotas que corresponden a cada buque pesquero (“cuota de captura por buque”). </w:t>
                  </w:r>
                </w:p>
                <w:p w14:paraId="1D1C3011" w14:textId="77777777" w:rsidR="002654A5" w:rsidRPr="00694065" w:rsidRDefault="002654A5" w:rsidP="002654A5">
                  <w:pPr>
                    <w:rPr>
                      <w:sz w:val="20"/>
                      <w:lang w:val="es-CL"/>
                    </w:rPr>
                  </w:pPr>
                  <w:r w:rsidRPr="00694065">
                    <w:rPr>
                      <w:sz w:val="20"/>
                      <w:lang w:val="es-CL"/>
                    </w:rPr>
                    <w:t>Las cuotas que se distribuyen a cada buque pesquero se calculan sobre la base de sus capturas, en una población determinada, durante los tres años anteriores a la introducción de las porciones en el sistema de cuotas. Las porciones de cuota permanentes y las cuotas de captura anuales son divisibles y transferibles a otros buques pesqueros, con algunas restricciones menores y estas asignaciones de cuotas están sujetas a un pago.</w:t>
                  </w:r>
                </w:p>
                <w:p w14:paraId="5D6CBF3C" w14:textId="77777777" w:rsidR="002654A5" w:rsidRPr="00694065" w:rsidRDefault="002654A5" w:rsidP="002654A5">
                  <w:pPr>
                    <w:rPr>
                      <w:sz w:val="20"/>
                      <w:lang w:val="es-CL"/>
                    </w:rPr>
                  </w:pPr>
                  <w:r w:rsidRPr="00694065">
                    <w:rPr>
                      <w:sz w:val="20"/>
                      <w:lang w:val="es-CL"/>
                    </w:rPr>
                    <w:lastRenderedPageBreak/>
                    <w:t>Las pesquerías noruegas están sujetas a regulaciones anuales respecto del reparto del TAC de todos los stocks regulados, entre los diferentes grupos y buques participantes y la Dirección de Pesca recomienda la regulación de pesca para el año entrante El Ministerio de Comercio, Industria y Pesca (</w:t>
                  </w:r>
                  <w:proofErr w:type="spellStart"/>
                  <w:r w:rsidRPr="00694065">
                    <w:rPr>
                      <w:sz w:val="20"/>
                      <w:lang w:val="es-CL"/>
                    </w:rPr>
                    <w:t>Ministry</w:t>
                  </w:r>
                  <w:proofErr w:type="spellEnd"/>
                  <w:r w:rsidRPr="00694065">
                    <w:rPr>
                      <w:sz w:val="20"/>
                      <w:lang w:val="es-CL"/>
                    </w:rPr>
                    <w:t xml:space="preserve"> </w:t>
                  </w:r>
                  <w:proofErr w:type="spellStart"/>
                  <w:r w:rsidRPr="00694065">
                    <w:rPr>
                      <w:sz w:val="20"/>
                      <w:lang w:val="es-CL"/>
                    </w:rPr>
                    <w:t>of</w:t>
                  </w:r>
                  <w:proofErr w:type="spellEnd"/>
                  <w:r w:rsidRPr="00694065">
                    <w:rPr>
                      <w:sz w:val="20"/>
                      <w:lang w:val="es-CL"/>
                    </w:rPr>
                    <w:t xml:space="preserve"> </w:t>
                  </w:r>
                  <w:proofErr w:type="spellStart"/>
                  <w:r w:rsidRPr="00694065">
                    <w:rPr>
                      <w:sz w:val="20"/>
                      <w:lang w:val="es-CL"/>
                    </w:rPr>
                    <w:t>Trade</w:t>
                  </w:r>
                  <w:proofErr w:type="spellEnd"/>
                  <w:r w:rsidRPr="00694065">
                    <w:rPr>
                      <w:sz w:val="20"/>
                      <w:lang w:val="es-CL"/>
                    </w:rPr>
                    <w:t xml:space="preserve">, </w:t>
                  </w:r>
                  <w:proofErr w:type="spellStart"/>
                  <w:r w:rsidRPr="00694065">
                    <w:rPr>
                      <w:sz w:val="20"/>
                      <w:lang w:val="es-CL"/>
                    </w:rPr>
                    <w:t>Industry</w:t>
                  </w:r>
                  <w:proofErr w:type="spellEnd"/>
                  <w:r w:rsidRPr="00694065">
                    <w:rPr>
                      <w:sz w:val="20"/>
                      <w:lang w:val="es-CL"/>
                    </w:rPr>
                    <w:t xml:space="preserve"> and </w:t>
                  </w:r>
                  <w:proofErr w:type="spellStart"/>
                  <w:r w:rsidRPr="00694065">
                    <w:rPr>
                      <w:sz w:val="20"/>
                      <w:lang w:val="es-CL"/>
                    </w:rPr>
                    <w:t>Fisheries</w:t>
                  </w:r>
                  <w:proofErr w:type="spellEnd"/>
                  <w:r w:rsidRPr="00694065">
                    <w:rPr>
                      <w:sz w:val="20"/>
                      <w:lang w:val="es-CL"/>
                    </w:rPr>
                    <w:t>) decide cómo asignar las cuotas a cada buque y establece las normas técnicas para la pesca del año siguiente. Del proceso de asignación de cuotas que realiza el señalado Ministerio, y de la legislación noruega consultada, no se encontró información que diera cuenta de la existencia de subastas de cuotas pesqueras.</w:t>
                  </w:r>
                </w:p>
                <w:p w14:paraId="2FF15071" w14:textId="77777777" w:rsidR="002654A5" w:rsidRPr="00694065" w:rsidRDefault="002654A5" w:rsidP="002654A5">
                  <w:pPr>
                    <w:rPr>
                      <w:sz w:val="20"/>
                      <w:lang w:val="es-CL"/>
                    </w:rPr>
                  </w:pPr>
                  <w:r w:rsidRPr="00694065">
                    <w:rPr>
                      <w:sz w:val="20"/>
                      <w:lang w:val="es-CL"/>
                    </w:rPr>
                    <w:t>En España, las cuotas de pesca se denominan “posibilidades de pesca” y se regula su reparto entre buques o grupos de buques habituales en la pesquería. Para efectos de distribución de las posibilidades de pesca, éstas pueden cifrarse en volúmenes de capturas, esfuerzo de pesca, tiempo de pesca, o presencia en zonas de pesca. Se utilizan criterios históricos y de características de las naves entre otros. Las cuotas son transmisibles con autorización previa del Ministerio de Agricultura, Pesca y Alimentación y previo informe de la Comunidad Autónoma del puerto base del buque</w:t>
                  </w:r>
                  <w:r w:rsidR="00E93D5C" w:rsidRPr="00694065">
                    <w:rPr>
                      <w:sz w:val="20"/>
                      <w:lang w:val="es-CL"/>
                    </w:rPr>
                    <w:t>.</w:t>
                  </w:r>
                </w:p>
                <w:p w14:paraId="57A7CB40" w14:textId="77777777" w:rsidR="00285274" w:rsidRPr="00694065" w:rsidRDefault="00E93D5C" w:rsidP="00285274">
                  <w:pPr>
                    <w:rPr>
                      <w:sz w:val="20"/>
                      <w:lang w:val="es-CL"/>
                    </w:rPr>
                  </w:pPr>
                  <w:r w:rsidRPr="00694065">
                    <w:rPr>
                      <w:sz w:val="20"/>
                      <w:lang w:val="es-CL"/>
                    </w:rPr>
                    <w:t xml:space="preserve">Finalmente, </w:t>
                  </w:r>
                  <w:r w:rsidR="00285274" w:rsidRPr="00694065">
                    <w:rPr>
                      <w:sz w:val="20"/>
                      <w:lang w:val="es-CL"/>
                    </w:rPr>
                    <w:t xml:space="preserve">en </w:t>
                  </w:r>
                  <w:r w:rsidRPr="00694065">
                    <w:rPr>
                      <w:sz w:val="20"/>
                      <w:lang w:val="es-CL"/>
                    </w:rPr>
                    <w:t xml:space="preserve">Perú </w:t>
                  </w:r>
                  <w:r w:rsidR="00285274" w:rsidRPr="00694065">
                    <w:rPr>
                      <w:sz w:val="20"/>
                      <w:lang w:val="es-CL"/>
                    </w:rPr>
                    <w:t>hasta antes del 2009, las actividades pesqueras se desarrollaron en función de los permisos de pesca autorizados por el Ministerio de la Producción (PRODUCE), los cuales se daban dentro de las temporadas de pesca establecidas bajo un esquema de cuota global (carrera olímpica)</w:t>
                  </w:r>
                </w:p>
                <w:p w14:paraId="5B2D4C09" w14:textId="77777777" w:rsidR="00285274" w:rsidRPr="00694065" w:rsidRDefault="00285274" w:rsidP="00285274">
                  <w:pPr>
                    <w:rPr>
                      <w:sz w:val="20"/>
                      <w:lang w:val="es-CL"/>
                    </w:rPr>
                  </w:pPr>
                  <w:r w:rsidRPr="00694065">
                    <w:rPr>
                      <w:sz w:val="20"/>
                      <w:lang w:val="es-CL"/>
                    </w:rPr>
                    <w:t>El Decreto Legislativo  N°1084, Ley Sobre Límites Máximos de Captura por Embarcación (LMCE) , cuyo objetivo era “establecer el mecanismo de ordenamiento pesquero aplicable a la extracción de los recursos de anchoveta blanca y anchoveta (su principal especie) , con el fin de mejorar las condiciones para su modernización y eficiencia, promover su desarrollo sostenido como fuente de alimentación, empleo e ingresos, y asegurar un aprovechamiento responsable de los recursos hidrobiológicos, en armonía con la preservación del medio ambiente y la conservación de la biodiversidad”</w:t>
                  </w:r>
                </w:p>
                <w:p w14:paraId="73CAE3C9" w14:textId="77777777" w:rsidR="006B09DE" w:rsidRPr="006B09DE" w:rsidRDefault="00285274" w:rsidP="00285274">
                  <w:pPr>
                    <w:rPr>
                      <w:lang w:val="es-CL"/>
                    </w:rPr>
                  </w:pPr>
                  <w:r w:rsidRPr="00694065">
                    <w:rPr>
                      <w:sz w:val="20"/>
                      <w:lang w:val="es-CL"/>
                    </w:rPr>
                    <w:t>De acuerdo a lo analizado a partir de la información oficial, se puede desprender del proceso de asignación de cuota, no se encontró información que diera cuenta de la existencia de subastas de cuotas pesqueras. En este caso, la asignación de cuotas respetó criterio histórico de desembarque y capacidad de bodega autorizada</w:t>
                  </w:r>
                  <w:r w:rsidR="00694065">
                    <w:rPr>
                      <w:sz w:val="20"/>
                      <w:lang w:val="es-CL"/>
                    </w:rPr>
                    <w:t>.</w:t>
                  </w:r>
                </w:p>
              </w:tc>
            </w:tr>
            <w:tr w:rsidR="00694065" w:rsidRPr="00F12E44" w14:paraId="1D515EDB" w14:textId="77777777" w:rsidTr="00694065">
              <w:trPr>
                <w:trHeight w:val="28"/>
              </w:trPr>
              <w:tc>
                <w:tcPr>
                  <w:tcW w:w="7228" w:type="dxa"/>
                  <w:tcBorders>
                    <w:top w:val="single" w:sz="4" w:space="0" w:color="000000"/>
                    <w:left w:val="none" w:sz="4" w:space="0" w:color="000000"/>
                    <w:right w:val="none" w:sz="4" w:space="0" w:color="000000"/>
                  </w:tcBorders>
                </w:tcPr>
                <w:p w14:paraId="70C6FFD4" w14:textId="77777777" w:rsidR="00694065" w:rsidRPr="00694065" w:rsidRDefault="00694065" w:rsidP="006B09DE">
                  <w:pPr>
                    <w:pStyle w:val="Textosecciones"/>
                    <w:spacing w:after="0"/>
                    <w:ind w:right="-25"/>
                    <w:jc w:val="both"/>
                    <w:rPr>
                      <w:color w:val="auto"/>
                    </w:rPr>
                  </w:pPr>
                </w:p>
              </w:tc>
            </w:tr>
          </w:tbl>
          <w:p w14:paraId="55B0AE55" w14:textId="77777777" w:rsidR="00271719" w:rsidRPr="00F12E44" w:rsidRDefault="00271719" w:rsidP="00F12E44">
            <w:pPr>
              <w:pStyle w:val="Textosecciones"/>
              <w:spacing w:after="0" w:line="276" w:lineRule="auto"/>
              <w:ind w:right="-25"/>
              <w:rPr>
                <w:color w:val="808080"/>
              </w:rPr>
            </w:pPr>
          </w:p>
        </w:tc>
      </w:tr>
    </w:tbl>
    <w:p w14:paraId="48A1AF21" w14:textId="77777777" w:rsidR="00271719" w:rsidRPr="00A87003" w:rsidRDefault="00D5728F" w:rsidP="00441F7B">
      <w:pPr>
        <w:pStyle w:val="Seccindocumento"/>
        <w:spacing w:after="0"/>
        <w:rPr>
          <w:b w:val="0"/>
          <w:szCs w:val="24"/>
        </w:rPr>
      </w:pPr>
      <w:r w:rsidRPr="00A87003">
        <w:rPr>
          <w:rStyle w:val="Seccindocumentocharacter"/>
          <w:b/>
          <w:szCs w:val="24"/>
        </w:rPr>
        <w:lastRenderedPageBreak/>
        <w:t>Introducción</w:t>
      </w:r>
    </w:p>
    <w:p w14:paraId="7DC863C5" w14:textId="77777777" w:rsidR="006B09DE" w:rsidRDefault="006B09DE" w:rsidP="002C73A2">
      <w:pPr>
        <w:spacing w:after="0"/>
      </w:pPr>
    </w:p>
    <w:p w14:paraId="0BA87428" w14:textId="0354831C" w:rsidR="00EF7361" w:rsidRDefault="0011098D" w:rsidP="002C73A2">
      <w:pPr>
        <w:spacing w:after="0"/>
      </w:pPr>
      <w:r>
        <w:t>Este</w:t>
      </w:r>
      <w:r w:rsidR="00EF7361">
        <w:t xml:space="preserve"> trabajo</w:t>
      </w:r>
      <w:r>
        <w:t>,</w:t>
      </w:r>
      <w:r w:rsidR="00EF7361">
        <w:t xml:space="preserve"> actualiza </w:t>
      </w:r>
      <w:r w:rsidR="00B50845">
        <w:t xml:space="preserve">una serie de </w:t>
      </w:r>
      <w:r>
        <w:t xml:space="preserve">informes </w:t>
      </w:r>
      <w:r w:rsidR="00B50845">
        <w:t>realizados desde 2012</w:t>
      </w:r>
      <w:r>
        <w:t xml:space="preserve"> y además</w:t>
      </w:r>
      <w:r w:rsidR="00EF7361">
        <w:t xml:space="preserve"> se enfoca en analizar los criterios de asignación de cuotas pesqueras, bajo la mirada de la experiencia extranjera. </w:t>
      </w:r>
    </w:p>
    <w:p w14:paraId="06A262F7" w14:textId="77777777" w:rsidR="001058A9" w:rsidRDefault="001058A9" w:rsidP="002C73A2">
      <w:pPr>
        <w:spacing w:after="0"/>
      </w:pPr>
    </w:p>
    <w:p w14:paraId="587CD21C" w14:textId="1DF3BAA1" w:rsidR="00EF7361" w:rsidRDefault="00EF7361" w:rsidP="002C73A2">
      <w:pPr>
        <w:spacing w:after="0"/>
      </w:pPr>
      <w:r>
        <w:t>Se han seleccionado los casos de Nueva Zelandia, Dinamarca, Islandia, Noruega, España</w:t>
      </w:r>
      <w:r w:rsidR="002D1439">
        <w:t xml:space="preserve"> y Perú</w:t>
      </w:r>
      <w:r>
        <w:t>, considerados relevantes para este estudio por sus características operacionales, de flotas, de fiscalización y de sistemas de asignación. Se han consultado fuentes oficiales de cada Ministerio o servicio responsable de estas materias por país y además de otras fuentes como FAO y OCDE.</w:t>
      </w:r>
    </w:p>
    <w:p w14:paraId="52E3C250" w14:textId="77777777" w:rsidR="001058A9" w:rsidRDefault="001058A9" w:rsidP="002C73A2">
      <w:pPr>
        <w:spacing w:after="0"/>
      </w:pPr>
    </w:p>
    <w:p w14:paraId="47956320" w14:textId="4DF6EF62" w:rsidR="00EF7361" w:rsidRDefault="00EF7361" w:rsidP="002C73A2">
      <w:pPr>
        <w:spacing w:after="0"/>
      </w:pPr>
      <w:r>
        <w:t>El presente documento ha sido elaborado a</w:t>
      </w:r>
      <w:r w:rsidR="007424C1">
        <w:t xml:space="preserve"> partir de una</w:t>
      </w:r>
      <w:r>
        <w:t xml:space="preserve"> solicitud </w:t>
      </w:r>
      <w:r w:rsidR="008D71CE">
        <w:t xml:space="preserve">de la Comisión de Pesca, Acuicultura e Intereses Marítimos de la Cámara de Diputadas y Diputados y </w:t>
      </w:r>
      <w:r>
        <w:t>se enmarca en los criterios de neutralidad, pertinencia, síntesis y oportunidad en su entrega.</w:t>
      </w:r>
    </w:p>
    <w:p w14:paraId="1EBB406D" w14:textId="77777777" w:rsidR="001058A9" w:rsidRDefault="001058A9" w:rsidP="002C73A2">
      <w:pPr>
        <w:spacing w:after="0"/>
      </w:pPr>
    </w:p>
    <w:p w14:paraId="49088C21" w14:textId="77777777" w:rsidR="00EF7361" w:rsidRDefault="007424C1" w:rsidP="002C73A2">
      <w:pPr>
        <w:spacing w:after="0"/>
      </w:pPr>
      <w:r>
        <w:t>Las traducciones son propias</w:t>
      </w:r>
      <w:r w:rsidR="006B09DE">
        <w:t>.</w:t>
      </w:r>
    </w:p>
    <w:p w14:paraId="6DBFC99F" w14:textId="77777777" w:rsidR="00F33671" w:rsidRDefault="00F33671" w:rsidP="00694065">
      <w:pPr>
        <w:spacing w:after="0"/>
      </w:pPr>
    </w:p>
    <w:sdt>
      <w:sdtPr>
        <w:rPr>
          <w:b/>
        </w:rPr>
        <w:id w:val="-1211648028"/>
        <w:docPartObj>
          <w:docPartGallery w:val="Table of Contents"/>
          <w:docPartUnique/>
        </w:docPartObj>
      </w:sdtPr>
      <w:sdtEndPr>
        <w:rPr>
          <w:bCs/>
        </w:rPr>
      </w:sdtEndPr>
      <w:sdtContent>
        <w:p w14:paraId="586CFC44" w14:textId="1387CD85" w:rsidR="00F33671" w:rsidRPr="000073B3" w:rsidRDefault="00F33671">
          <w:pPr>
            <w:pStyle w:val="TtuloTDC"/>
            <w:rPr>
              <w:b/>
            </w:rPr>
          </w:pPr>
          <w:r w:rsidRPr="000073B3">
            <w:rPr>
              <w:b/>
            </w:rPr>
            <w:t>Contenido</w:t>
          </w:r>
        </w:p>
        <w:p w14:paraId="0CCCD81A" w14:textId="152F3EA4" w:rsidR="00A13127" w:rsidRDefault="00F33671">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r>
            <w:fldChar w:fldCharType="begin"/>
          </w:r>
          <w:r>
            <w:instrText xml:space="preserve"> TOC \o "1-3" \h \z \u </w:instrText>
          </w:r>
          <w:r>
            <w:fldChar w:fldCharType="separate"/>
          </w:r>
          <w:hyperlink w:anchor="_Toc157529071" w:history="1">
            <w:r w:rsidR="00A13127" w:rsidRPr="00B173DC">
              <w:rPr>
                <w:rStyle w:val="Hipervnculo"/>
                <w:noProof/>
              </w:rPr>
              <w:t>1.</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Nueva Zelandia</w:t>
            </w:r>
            <w:r w:rsidR="00A13127">
              <w:rPr>
                <w:noProof/>
                <w:webHidden/>
              </w:rPr>
              <w:tab/>
            </w:r>
            <w:r w:rsidR="00A13127">
              <w:rPr>
                <w:noProof/>
                <w:webHidden/>
              </w:rPr>
              <w:fldChar w:fldCharType="begin"/>
            </w:r>
            <w:r w:rsidR="00A13127">
              <w:rPr>
                <w:noProof/>
                <w:webHidden/>
              </w:rPr>
              <w:instrText xml:space="preserve"> PAGEREF _Toc157529071 \h </w:instrText>
            </w:r>
            <w:r w:rsidR="00A13127">
              <w:rPr>
                <w:noProof/>
                <w:webHidden/>
              </w:rPr>
            </w:r>
            <w:r w:rsidR="00A13127">
              <w:rPr>
                <w:noProof/>
                <w:webHidden/>
              </w:rPr>
              <w:fldChar w:fldCharType="separate"/>
            </w:r>
            <w:r w:rsidR="00A13127">
              <w:rPr>
                <w:noProof/>
                <w:webHidden/>
              </w:rPr>
              <w:t>4</w:t>
            </w:r>
            <w:r w:rsidR="00A13127">
              <w:rPr>
                <w:noProof/>
                <w:webHidden/>
              </w:rPr>
              <w:fldChar w:fldCharType="end"/>
            </w:r>
          </w:hyperlink>
        </w:p>
        <w:p w14:paraId="298B12B9" w14:textId="45911D4B" w:rsidR="00A13127" w:rsidRDefault="00E20A07">
          <w:pPr>
            <w:pStyle w:val="TDC3"/>
            <w:tabs>
              <w:tab w:val="left" w:pos="1134"/>
              <w:tab w:val="right" w:leader="dot" w:pos="10064"/>
            </w:tabs>
            <w:rPr>
              <w:rFonts w:asciiTheme="minorHAnsi" w:eastAsiaTheme="minorEastAsia" w:hAnsiTheme="minorHAnsi" w:cstheme="minorBidi"/>
              <w:noProof/>
              <w:kern w:val="2"/>
              <w:lang w:val="es-CL" w:eastAsia="es-CL"/>
              <w14:ligatures w14:val="standardContextual"/>
            </w:rPr>
          </w:pPr>
          <w:hyperlink w:anchor="_Toc157529072" w:history="1">
            <w:r w:rsidR="00A13127" w:rsidRPr="00B173DC">
              <w:rPr>
                <w:rStyle w:val="Hipervnculo"/>
                <w:noProof/>
              </w:rPr>
              <w:t>a.</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Sistemas de manejo de pesquerías</w:t>
            </w:r>
            <w:r w:rsidR="00A13127">
              <w:rPr>
                <w:noProof/>
                <w:webHidden/>
              </w:rPr>
              <w:tab/>
            </w:r>
            <w:r w:rsidR="00A13127">
              <w:rPr>
                <w:noProof/>
                <w:webHidden/>
              </w:rPr>
              <w:fldChar w:fldCharType="begin"/>
            </w:r>
            <w:r w:rsidR="00A13127">
              <w:rPr>
                <w:noProof/>
                <w:webHidden/>
              </w:rPr>
              <w:instrText xml:space="preserve"> PAGEREF _Toc157529072 \h </w:instrText>
            </w:r>
            <w:r w:rsidR="00A13127">
              <w:rPr>
                <w:noProof/>
                <w:webHidden/>
              </w:rPr>
            </w:r>
            <w:r w:rsidR="00A13127">
              <w:rPr>
                <w:noProof/>
                <w:webHidden/>
              </w:rPr>
              <w:fldChar w:fldCharType="separate"/>
            </w:r>
            <w:r w:rsidR="00A13127">
              <w:rPr>
                <w:noProof/>
                <w:webHidden/>
              </w:rPr>
              <w:t>4</w:t>
            </w:r>
            <w:r w:rsidR="00A13127">
              <w:rPr>
                <w:noProof/>
                <w:webHidden/>
              </w:rPr>
              <w:fldChar w:fldCharType="end"/>
            </w:r>
          </w:hyperlink>
        </w:p>
        <w:p w14:paraId="5759FC4D" w14:textId="685FD703" w:rsidR="00A13127" w:rsidRDefault="00E20A07">
          <w:pPr>
            <w:pStyle w:val="TDC3"/>
            <w:tabs>
              <w:tab w:val="left" w:pos="1134"/>
              <w:tab w:val="right" w:leader="dot" w:pos="10064"/>
            </w:tabs>
            <w:rPr>
              <w:rFonts w:asciiTheme="minorHAnsi" w:eastAsiaTheme="minorEastAsia" w:hAnsiTheme="minorHAnsi" w:cstheme="minorBidi"/>
              <w:noProof/>
              <w:kern w:val="2"/>
              <w:lang w:val="es-CL" w:eastAsia="es-CL"/>
              <w14:ligatures w14:val="standardContextual"/>
            </w:rPr>
          </w:pPr>
          <w:hyperlink w:anchor="_Toc157529073" w:history="1">
            <w:r w:rsidR="00A13127" w:rsidRPr="00B173DC">
              <w:rPr>
                <w:rStyle w:val="Hipervnculo"/>
                <w:noProof/>
              </w:rPr>
              <w:t>b.</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La subasta de cuotas</w:t>
            </w:r>
            <w:r w:rsidR="00A13127">
              <w:rPr>
                <w:noProof/>
                <w:webHidden/>
              </w:rPr>
              <w:tab/>
            </w:r>
            <w:r w:rsidR="00A13127">
              <w:rPr>
                <w:noProof/>
                <w:webHidden/>
              </w:rPr>
              <w:fldChar w:fldCharType="begin"/>
            </w:r>
            <w:r w:rsidR="00A13127">
              <w:rPr>
                <w:noProof/>
                <w:webHidden/>
              </w:rPr>
              <w:instrText xml:space="preserve"> PAGEREF _Toc157529073 \h </w:instrText>
            </w:r>
            <w:r w:rsidR="00A13127">
              <w:rPr>
                <w:noProof/>
                <w:webHidden/>
              </w:rPr>
            </w:r>
            <w:r w:rsidR="00A13127">
              <w:rPr>
                <w:noProof/>
                <w:webHidden/>
              </w:rPr>
              <w:fldChar w:fldCharType="separate"/>
            </w:r>
            <w:r w:rsidR="00A13127">
              <w:rPr>
                <w:noProof/>
                <w:webHidden/>
              </w:rPr>
              <w:t>6</w:t>
            </w:r>
            <w:r w:rsidR="00A13127">
              <w:rPr>
                <w:noProof/>
                <w:webHidden/>
              </w:rPr>
              <w:fldChar w:fldCharType="end"/>
            </w:r>
          </w:hyperlink>
        </w:p>
        <w:p w14:paraId="3230FF8C" w14:textId="068CE408" w:rsidR="00A13127" w:rsidRDefault="00E20A07">
          <w:pPr>
            <w:pStyle w:val="TDC3"/>
            <w:tabs>
              <w:tab w:val="left" w:pos="1134"/>
              <w:tab w:val="right" w:leader="dot" w:pos="10064"/>
            </w:tabs>
            <w:rPr>
              <w:rFonts w:asciiTheme="minorHAnsi" w:eastAsiaTheme="minorEastAsia" w:hAnsiTheme="minorHAnsi" w:cstheme="minorBidi"/>
              <w:noProof/>
              <w:kern w:val="2"/>
              <w:lang w:val="es-CL" w:eastAsia="es-CL"/>
              <w14:ligatures w14:val="standardContextual"/>
            </w:rPr>
          </w:pPr>
          <w:hyperlink w:anchor="_Toc157529074" w:history="1">
            <w:r w:rsidR="00A13127" w:rsidRPr="00B173DC">
              <w:rPr>
                <w:rStyle w:val="Hipervnculo"/>
                <w:noProof/>
              </w:rPr>
              <w:t>c.</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Nuevas temáticas</w:t>
            </w:r>
            <w:r w:rsidR="00A13127">
              <w:rPr>
                <w:noProof/>
                <w:webHidden/>
              </w:rPr>
              <w:tab/>
            </w:r>
            <w:r w:rsidR="00A13127">
              <w:rPr>
                <w:noProof/>
                <w:webHidden/>
              </w:rPr>
              <w:fldChar w:fldCharType="begin"/>
            </w:r>
            <w:r w:rsidR="00A13127">
              <w:rPr>
                <w:noProof/>
                <w:webHidden/>
              </w:rPr>
              <w:instrText xml:space="preserve"> PAGEREF _Toc157529074 \h </w:instrText>
            </w:r>
            <w:r w:rsidR="00A13127">
              <w:rPr>
                <w:noProof/>
                <w:webHidden/>
              </w:rPr>
            </w:r>
            <w:r w:rsidR="00A13127">
              <w:rPr>
                <w:noProof/>
                <w:webHidden/>
              </w:rPr>
              <w:fldChar w:fldCharType="separate"/>
            </w:r>
            <w:r w:rsidR="00A13127">
              <w:rPr>
                <w:noProof/>
                <w:webHidden/>
              </w:rPr>
              <w:t>7</w:t>
            </w:r>
            <w:r w:rsidR="00A13127">
              <w:rPr>
                <w:noProof/>
                <w:webHidden/>
              </w:rPr>
              <w:fldChar w:fldCharType="end"/>
            </w:r>
          </w:hyperlink>
        </w:p>
        <w:p w14:paraId="1CC87514" w14:textId="469AB81D" w:rsidR="00A13127" w:rsidRDefault="00E20A07">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hyperlink w:anchor="_Toc157529075" w:history="1">
            <w:r w:rsidR="00A13127" w:rsidRPr="00B173DC">
              <w:rPr>
                <w:rStyle w:val="Hipervnculo"/>
                <w:noProof/>
              </w:rPr>
              <w:t>2.</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Dinamarca</w:t>
            </w:r>
            <w:r w:rsidR="00A13127">
              <w:rPr>
                <w:noProof/>
                <w:webHidden/>
              </w:rPr>
              <w:tab/>
            </w:r>
            <w:r w:rsidR="00A13127">
              <w:rPr>
                <w:noProof/>
                <w:webHidden/>
              </w:rPr>
              <w:fldChar w:fldCharType="begin"/>
            </w:r>
            <w:r w:rsidR="00A13127">
              <w:rPr>
                <w:noProof/>
                <w:webHidden/>
              </w:rPr>
              <w:instrText xml:space="preserve"> PAGEREF _Toc157529075 \h </w:instrText>
            </w:r>
            <w:r w:rsidR="00A13127">
              <w:rPr>
                <w:noProof/>
                <w:webHidden/>
              </w:rPr>
            </w:r>
            <w:r w:rsidR="00A13127">
              <w:rPr>
                <w:noProof/>
                <w:webHidden/>
              </w:rPr>
              <w:fldChar w:fldCharType="separate"/>
            </w:r>
            <w:r w:rsidR="00A13127">
              <w:rPr>
                <w:noProof/>
                <w:webHidden/>
              </w:rPr>
              <w:t>9</w:t>
            </w:r>
            <w:r w:rsidR="00A13127">
              <w:rPr>
                <w:noProof/>
                <w:webHidden/>
              </w:rPr>
              <w:fldChar w:fldCharType="end"/>
            </w:r>
          </w:hyperlink>
        </w:p>
        <w:p w14:paraId="5140443A" w14:textId="71913A18" w:rsidR="00A13127" w:rsidRDefault="00E20A07">
          <w:pPr>
            <w:pStyle w:val="TDC3"/>
            <w:tabs>
              <w:tab w:val="left" w:pos="1134"/>
              <w:tab w:val="right" w:leader="dot" w:pos="10064"/>
            </w:tabs>
            <w:rPr>
              <w:rFonts w:asciiTheme="minorHAnsi" w:eastAsiaTheme="minorEastAsia" w:hAnsiTheme="minorHAnsi" w:cstheme="minorBidi"/>
              <w:noProof/>
              <w:kern w:val="2"/>
              <w:lang w:val="es-CL" w:eastAsia="es-CL"/>
              <w14:ligatures w14:val="standardContextual"/>
            </w:rPr>
          </w:pPr>
          <w:hyperlink w:anchor="_Toc157529076" w:history="1">
            <w:r w:rsidR="00A13127" w:rsidRPr="00B173DC">
              <w:rPr>
                <w:rStyle w:val="Hipervnculo"/>
                <w:noProof/>
              </w:rPr>
              <w:t>a.</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Sistemas de manejo de pesquerías</w:t>
            </w:r>
            <w:r w:rsidR="00A13127">
              <w:rPr>
                <w:noProof/>
                <w:webHidden/>
              </w:rPr>
              <w:tab/>
            </w:r>
            <w:r w:rsidR="00A13127">
              <w:rPr>
                <w:noProof/>
                <w:webHidden/>
              </w:rPr>
              <w:fldChar w:fldCharType="begin"/>
            </w:r>
            <w:r w:rsidR="00A13127">
              <w:rPr>
                <w:noProof/>
                <w:webHidden/>
              </w:rPr>
              <w:instrText xml:space="preserve"> PAGEREF _Toc157529076 \h </w:instrText>
            </w:r>
            <w:r w:rsidR="00A13127">
              <w:rPr>
                <w:noProof/>
                <w:webHidden/>
              </w:rPr>
            </w:r>
            <w:r w:rsidR="00A13127">
              <w:rPr>
                <w:noProof/>
                <w:webHidden/>
              </w:rPr>
              <w:fldChar w:fldCharType="separate"/>
            </w:r>
            <w:r w:rsidR="00A13127">
              <w:rPr>
                <w:noProof/>
                <w:webHidden/>
              </w:rPr>
              <w:t>9</w:t>
            </w:r>
            <w:r w:rsidR="00A13127">
              <w:rPr>
                <w:noProof/>
                <w:webHidden/>
              </w:rPr>
              <w:fldChar w:fldCharType="end"/>
            </w:r>
          </w:hyperlink>
        </w:p>
        <w:p w14:paraId="2986353F" w14:textId="0BEB5C2A" w:rsidR="00A13127" w:rsidRDefault="00E20A07">
          <w:pPr>
            <w:pStyle w:val="TDC3"/>
            <w:tabs>
              <w:tab w:val="left" w:pos="1134"/>
              <w:tab w:val="right" w:leader="dot" w:pos="10064"/>
            </w:tabs>
            <w:rPr>
              <w:rFonts w:asciiTheme="minorHAnsi" w:eastAsiaTheme="minorEastAsia" w:hAnsiTheme="minorHAnsi" w:cstheme="minorBidi"/>
              <w:noProof/>
              <w:kern w:val="2"/>
              <w:lang w:val="es-CL" w:eastAsia="es-CL"/>
              <w14:ligatures w14:val="standardContextual"/>
            </w:rPr>
          </w:pPr>
          <w:hyperlink w:anchor="_Toc157529077" w:history="1">
            <w:r w:rsidR="00A13127" w:rsidRPr="00B173DC">
              <w:rPr>
                <w:rStyle w:val="Hipervnculo"/>
                <w:noProof/>
              </w:rPr>
              <w:t>b.</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La subasta de cuotas pesqueras</w:t>
            </w:r>
            <w:r w:rsidR="00A13127">
              <w:rPr>
                <w:noProof/>
                <w:webHidden/>
              </w:rPr>
              <w:tab/>
            </w:r>
            <w:r w:rsidR="00A13127">
              <w:rPr>
                <w:noProof/>
                <w:webHidden/>
              </w:rPr>
              <w:fldChar w:fldCharType="begin"/>
            </w:r>
            <w:r w:rsidR="00A13127">
              <w:rPr>
                <w:noProof/>
                <w:webHidden/>
              </w:rPr>
              <w:instrText xml:space="preserve"> PAGEREF _Toc157529077 \h </w:instrText>
            </w:r>
            <w:r w:rsidR="00A13127">
              <w:rPr>
                <w:noProof/>
                <w:webHidden/>
              </w:rPr>
            </w:r>
            <w:r w:rsidR="00A13127">
              <w:rPr>
                <w:noProof/>
                <w:webHidden/>
              </w:rPr>
              <w:fldChar w:fldCharType="separate"/>
            </w:r>
            <w:r w:rsidR="00A13127">
              <w:rPr>
                <w:noProof/>
                <w:webHidden/>
              </w:rPr>
              <w:t>11</w:t>
            </w:r>
            <w:r w:rsidR="00A13127">
              <w:rPr>
                <w:noProof/>
                <w:webHidden/>
              </w:rPr>
              <w:fldChar w:fldCharType="end"/>
            </w:r>
          </w:hyperlink>
        </w:p>
        <w:p w14:paraId="1CB57300" w14:textId="034CD910" w:rsidR="00A13127" w:rsidRDefault="00E20A07">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hyperlink w:anchor="_Toc157529078" w:history="1">
            <w:r w:rsidR="00A13127" w:rsidRPr="00B173DC">
              <w:rPr>
                <w:rStyle w:val="Hipervnculo"/>
                <w:noProof/>
              </w:rPr>
              <w:t>3.</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Islandia</w:t>
            </w:r>
            <w:r w:rsidR="00A13127">
              <w:rPr>
                <w:noProof/>
                <w:webHidden/>
              </w:rPr>
              <w:tab/>
            </w:r>
            <w:r w:rsidR="00A13127">
              <w:rPr>
                <w:noProof/>
                <w:webHidden/>
              </w:rPr>
              <w:fldChar w:fldCharType="begin"/>
            </w:r>
            <w:r w:rsidR="00A13127">
              <w:rPr>
                <w:noProof/>
                <w:webHidden/>
              </w:rPr>
              <w:instrText xml:space="preserve"> PAGEREF _Toc157529078 \h </w:instrText>
            </w:r>
            <w:r w:rsidR="00A13127">
              <w:rPr>
                <w:noProof/>
                <w:webHidden/>
              </w:rPr>
            </w:r>
            <w:r w:rsidR="00A13127">
              <w:rPr>
                <w:noProof/>
                <w:webHidden/>
              </w:rPr>
              <w:fldChar w:fldCharType="separate"/>
            </w:r>
            <w:r w:rsidR="00A13127">
              <w:rPr>
                <w:noProof/>
                <w:webHidden/>
              </w:rPr>
              <w:t>12</w:t>
            </w:r>
            <w:r w:rsidR="00A13127">
              <w:rPr>
                <w:noProof/>
                <w:webHidden/>
              </w:rPr>
              <w:fldChar w:fldCharType="end"/>
            </w:r>
          </w:hyperlink>
        </w:p>
        <w:p w14:paraId="78099AEB" w14:textId="66D869F0" w:rsidR="00A13127" w:rsidRDefault="00E20A07">
          <w:pPr>
            <w:pStyle w:val="TDC3"/>
            <w:tabs>
              <w:tab w:val="left" w:pos="1134"/>
              <w:tab w:val="right" w:leader="dot" w:pos="10064"/>
            </w:tabs>
            <w:rPr>
              <w:rFonts w:asciiTheme="minorHAnsi" w:eastAsiaTheme="minorEastAsia" w:hAnsiTheme="minorHAnsi" w:cstheme="minorBidi"/>
              <w:noProof/>
              <w:kern w:val="2"/>
              <w:lang w:val="es-CL" w:eastAsia="es-CL"/>
              <w14:ligatures w14:val="standardContextual"/>
            </w:rPr>
          </w:pPr>
          <w:hyperlink w:anchor="_Toc157529079" w:history="1">
            <w:r w:rsidR="00A13127" w:rsidRPr="00B173DC">
              <w:rPr>
                <w:rStyle w:val="Hipervnculo"/>
                <w:noProof/>
              </w:rPr>
              <w:t>a.</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Sistemas de manejo de pesquerías</w:t>
            </w:r>
            <w:r w:rsidR="00A13127">
              <w:rPr>
                <w:noProof/>
                <w:webHidden/>
              </w:rPr>
              <w:tab/>
            </w:r>
            <w:r w:rsidR="00A13127">
              <w:rPr>
                <w:noProof/>
                <w:webHidden/>
              </w:rPr>
              <w:fldChar w:fldCharType="begin"/>
            </w:r>
            <w:r w:rsidR="00A13127">
              <w:rPr>
                <w:noProof/>
                <w:webHidden/>
              </w:rPr>
              <w:instrText xml:space="preserve"> PAGEREF _Toc157529079 \h </w:instrText>
            </w:r>
            <w:r w:rsidR="00A13127">
              <w:rPr>
                <w:noProof/>
                <w:webHidden/>
              </w:rPr>
            </w:r>
            <w:r w:rsidR="00A13127">
              <w:rPr>
                <w:noProof/>
                <w:webHidden/>
              </w:rPr>
              <w:fldChar w:fldCharType="separate"/>
            </w:r>
            <w:r w:rsidR="00A13127">
              <w:rPr>
                <w:noProof/>
                <w:webHidden/>
              </w:rPr>
              <w:t>12</w:t>
            </w:r>
            <w:r w:rsidR="00A13127">
              <w:rPr>
                <w:noProof/>
                <w:webHidden/>
              </w:rPr>
              <w:fldChar w:fldCharType="end"/>
            </w:r>
          </w:hyperlink>
        </w:p>
        <w:p w14:paraId="238913FF" w14:textId="177B9980" w:rsidR="00A13127" w:rsidRDefault="00E20A07">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hyperlink w:anchor="_Toc157529080" w:history="1">
            <w:r w:rsidR="00A13127" w:rsidRPr="00B173DC">
              <w:rPr>
                <w:rStyle w:val="Hipervnculo"/>
                <w:noProof/>
              </w:rPr>
              <w:t>4.</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Noruega</w:t>
            </w:r>
            <w:r w:rsidR="00A13127">
              <w:rPr>
                <w:noProof/>
                <w:webHidden/>
              </w:rPr>
              <w:tab/>
            </w:r>
            <w:r w:rsidR="00A13127">
              <w:rPr>
                <w:noProof/>
                <w:webHidden/>
              </w:rPr>
              <w:fldChar w:fldCharType="begin"/>
            </w:r>
            <w:r w:rsidR="00A13127">
              <w:rPr>
                <w:noProof/>
                <w:webHidden/>
              </w:rPr>
              <w:instrText xml:space="preserve"> PAGEREF _Toc157529080 \h </w:instrText>
            </w:r>
            <w:r w:rsidR="00A13127">
              <w:rPr>
                <w:noProof/>
                <w:webHidden/>
              </w:rPr>
            </w:r>
            <w:r w:rsidR="00A13127">
              <w:rPr>
                <w:noProof/>
                <w:webHidden/>
              </w:rPr>
              <w:fldChar w:fldCharType="separate"/>
            </w:r>
            <w:r w:rsidR="00A13127">
              <w:rPr>
                <w:noProof/>
                <w:webHidden/>
              </w:rPr>
              <w:t>14</w:t>
            </w:r>
            <w:r w:rsidR="00A13127">
              <w:rPr>
                <w:noProof/>
                <w:webHidden/>
              </w:rPr>
              <w:fldChar w:fldCharType="end"/>
            </w:r>
          </w:hyperlink>
        </w:p>
        <w:p w14:paraId="5CD0E365" w14:textId="0C631600" w:rsidR="00A13127" w:rsidRDefault="00E20A07">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hyperlink w:anchor="_Toc157529081" w:history="1">
            <w:r w:rsidR="00A13127" w:rsidRPr="00B173DC">
              <w:rPr>
                <w:rStyle w:val="Hipervnculo"/>
                <w:noProof/>
              </w:rPr>
              <w:t>a.</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Sistemas de manejo de pesquerías</w:t>
            </w:r>
            <w:r w:rsidR="00A13127">
              <w:rPr>
                <w:noProof/>
                <w:webHidden/>
              </w:rPr>
              <w:tab/>
            </w:r>
            <w:r w:rsidR="00A13127">
              <w:rPr>
                <w:noProof/>
                <w:webHidden/>
              </w:rPr>
              <w:fldChar w:fldCharType="begin"/>
            </w:r>
            <w:r w:rsidR="00A13127">
              <w:rPr>
                <w:noProof/>
                <w:webHidden/>
              </w:rPr>
              <w:instrText xml:space="preserve"> PAGEREF _Toc157529081 \h </w:instrText>
            </w:r>
            <w:r w:rsidR="00A13127">
              <w:rPr>
                <w:noProof/>
                <w:webHidden/>
              </w:rPr>
            </w:r>
            <w:r w:rsidR="00A13127">
              <w:rPr>
                <w:noProof/>
                <w:webHidden/>
              </w:rPr>
              <w:fldChar w:fldCharType="separate"/>
            </w:r>
            <w:r w:rsidR="00A13127">
              <w:rPr>
                <w:noProof/>
                <w:webHidden/>
              </w:rPr>
              <w:t>14</w:t>
            </w:r>
            <w:r w:rsidR="00A13127">
              <w:rPr>
                <w:noProof/>
                <w:webHidden/>
              </w:rPr>
              <w:fldChar w:fldCharType="end"/>
            </w:r>
          </w:hyperlink>
        </w:p>
        <w:p w14:paraId="54B077A7" w14:textId="1AA93A65" w:rsidR="00A13127" w:rsidRDefault="00E20A07">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hyperlink w:anchor="_Toc157529082" w:history="1">
            <w:r w:rsidR="00A13127" w:rsidRPr="00B173DC">
              <w:rPr>
                <w:rStyle w:val="Hipervnculo"/>
                <w:noProof/>
              </w:rPr>
              <w:t>5.</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España</w:t>
            </w:r>
            <w:r w:rsidR="00A13127">
              <w:rPr>
                <w:noProof/>
                <w:webHidden/>
              </w:rPr>
              <w:tab/>
            </w:r>
            <w:r w:rsidR="00A13127">
              <w:rPr>
                <w:noProof/>
                <w:webHidden/>
              </w:rPr>
              <w:fldChar w:fldCharType="begin"/>
            </w:r>
            <w:r w:rsidR="00A13127">
              <w:rPr>
                <w:noProof/>
                <w:webHidden/>
              </w:rPr>
              <w:instrText xml:space="preserve"> PAGEREF _Toc157529082 \h </w:instrText>
            </w:r>
            <w:r w:rsidR="00A13127">
              <w:rPr>
                <w:noProof/>
                <w:webHidden/>
              </w:rPr>
            </w:r>
            <w:r w:rsidR="00A13127">
              <w:rPr>
                <w:noProof/>
                <w:webHidden/>
              </w:rPr>
              <w:fldChar w:fldCharType="separate"/>
            </w:r>
            <w:r w:rsidR="00A13127">
              <w:rPr>
                <w:noProof/>
                <w:webHidden/>
              </w:rPr>
              <w:t>15</w:t>
            </w:r>
            <w:r w:rsidR="00A13127">
              <w:rPr>
                <w:noProof/>
                <w:webHidden/>
              </w:rPr>
              <w:fldChar w:fldCharType="end"/>
            </w:r>
          </w:hyperlink>
        </w:p>
        <w:p w14:paraId="10EB12F8" w14:textId="3B3A0492" w:rsidR="00A13127" w:rsidRDefault="00E20A07">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hyperlink w:anchor="_Toc157529083" w:history="1">
            <w:r w:rsidR="00A13127" w:rsidRPr="00B173DC">
              <w:rPr>
                <w:rStyle w:val="Hipervnculo"/>
                <w:noProof/>
              </w:rPr>
              <w:t>a.</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Sistemas de manejo de pesquerías</w:t>
            </w:r>
            <w:r w:rsidR="00A13127">
              <w:rPr>
                <w:noProof/>
                <w:webHidden/>
              </w:rPr>
              <w:tab/>
            </w:r>
            <w:r w:rsidR="00A13127">
              <w:rPr>
                <w:noProof/>
                <w:webHidden/>
              </w:rPr>
              <w:fldChar w:fldCharType="begin"/>
            </w:r>
            <w:r w:rsidR="00A13127">
              <w:rPr>
                <w:noProof/>
                <w:webHidden/>
              </w:rPr>
              <w:instrText xml:space="preserve"> PAGEREF _Toc157529083 \h </w:instrText>
            </w:r>
            <w:r w:rsidR="00A13127">
              <w:rPr>
                <w:noProof/>
                <w:webHidden/>
              </w:rPr>
            </w:r>
            <w:r w:rsidR="00A13127">
              <w:rPr>
                <w:noProof/>
                <w:webHidden/>
              </w:rPr>
              <w:fldChar w:fldCharType="separate"/>
            </w:r>
            <w:r w:rsidR="00A13127">
              <w:rPr>
                <w:noProof/>
                <w:webHidden/>
              </w:rPr>
              <w:t>15</w:t>
            </w:r>
            <w:r w:rsidR="00A13127">
              <w:rPr>
                <w:noProof/>
                <w:webHidden/>
              </w:rPr>
              <w:fldChar w:fldCharType="end"/>
            </w:r>
          </w:hyperlink>
        </w:p>
        <w:p w14:paraId="25436AA5" w14:textId="6C79A6FB" w:rsidR="00A13127" w:rsidRDefault="00E20A07">
          <w:pPr>
            <w:pStyle w:val="TDC1"/>
            <w:tabs>
              <w:tab w:val="right" w:leader="dot" w:pos="10064"/>
            </w:tabs>
            <w:rPr>
              <w:rFonts w:asciiTheme="minorHAnsi" w:eastAsiaTheme="minorEastAsia" w:hAnsiTheme="minorHAnsi" w:cstheme="minorBidi"/>
              <w:noProof/>
              <w:kern w:val="2"/>
              <w:lang w:val="es-CL" w:eastAsia="es-CL"/>
              <w14:ligatures w14:val="standardContextual"/>
            </w:rPr>
          </w:pPr>
          <w:hyperlink w:anchor="_Toc157529084" w:history="1">
            <w:r w:rsidR="00A13127" w:rsidRPr="00B173DC">
              <w:rPr>
                <w:rStyle w:val="Hipervnculo"/>
                <w:noProof/>
              </w:rPr>
              <w:t>b. La subasta de cuotas pesqueras</w:t>
            </w:r>
            <w:r w:rsidR="00A13127">
              <w:rPr>
                <w:noProof/>
                <w:webHidden/>
              </w:rPr>
              <w:tab/>
            </w:r>
            <w:r w:rsidR="00A13127">
              <w:rPr>
                <w:noProof/>
                <w:webHidden/>
              </w:rPr>
              <w:fldChar w:fldCharType="begin"/>
            </w:r>
            <w:r w:rsidR="00A13127">
              <w:rPr>
                <w:noProof/>
                <w:webHidden/>
              </w:rPr>
              <w:instrText xml:space="preserve"> PAGEREF _Toc157529084 \h </w:instrText>
            </w:r>
            <w:r w:rsidR="00A13127">
              <w:rPr>
                <w:noProof/>
                <w:webHidden/>
              </w:rPr>
            </w:r>
            <w:r w:rsidR="00A13127">
              <w:rPr>
                <w:noProof/>
                <w:webHidden/>
              </w:rPr>
              <w:fldChar w:fldCharType="separate"/>
            </w:r>
            <w:r w:rsidR="00A13127">
              <w:rPr>
                <w:noProof/>
                <w:webHidden/>
              </w:rPr>
              <w:t>16</w:t>
            </w:r>
            <w:r w:rsidR="00A13127">
              <w:rPr>
                <w:noProof/>
                <w:webHidden/>
              </w:rPr>
              <w:fldChar w:fldCharType="end"/>
            </w:r>
          </w:hyperlink>
        </w:p>
        <w:p w14:paraId="265EF869" w14:textId="540F1006" w:rsidR="00A13127" w:rsidRDefault="00E20A07">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hyperlink w:anchor="_Toc157529085" w:history="1">
            <w:r w:rsidR="00A13127" w:rsidRPr="00B173DC">
              <w:rPr>
                <w:rStyle w:val="Hipervnculo"/>
                <w:noProof/>
              </w:rPr>
              <w:t>6.</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Perú</w:t>
            </w:r>
            <w:r w:rsidR="00A13127">
              <w:rPr>
                <w:noProof/>
                <w:webHidden/>
              </w:rPr>
              <w:tab/>
            </w:r>
            <w:r w:rsidR="00A13127">
              <w:rPr>
                <w:noProof/>
                <w:webHidden/>
              </w:rPr>
              <w:fldChar w:fldCharType="begin"/>
            </w:r>
            <w:r w:rsidR="00A13127">
              <w:rPr>
                <w:noProof/>
                <w:webHidden/>
              </w:rPr>
              <w:instrText xml:space="preserve"> PAGEREF _Toc157529085 \h </w:instrText>
            </w:r>
            <w:r w:rsidR="00A13127">
              <w:rPr>
                <w:noProof/>
                <w:webHidden/>
              </w:rPr>
            </w:r>
            <w:r w:rsidR="00A13127">
              <w:rPr>
                <w:noProof/>
                <w:webHidden/>
              </w:rPr>
              <w:fldChar w:fldCharType="separate"/>
            </w:r>
            <w:r w:rsidR="00A13127">
              <w:rPr>
                <w:noProof/>
                <w:webHidden/>
              </w:rPr>
              <w:t>17</w:t>
            </w:r>
            <w:r w:rsidR="00A13127">
              <w:rPr>
                <w:noProof/>
                <w:webHidden/>
              </w:rPr>
              <w:fldChar w:fldCharType="end"/>
            </w:r>
          </w:hyperlink>
        </w:p>
        <w:p w14:paraId="246C9E07" w14:textId="07A307D4" w:rsidR="00A13127" w:rsidRDefault="00E20A07">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hyperlink w:anchor="_Toc157529086" w:history="1">
            <w:r w:rsidR="00A13127" w:rsidRPr="00B173DC">
              <w:rPr>
                <w:rStyle w:val="Hipervnculo"/>
                <w:noProof/>
              </w:rPr>
              <w:t>a.</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Sistemas de manejo de pesquerías</w:t>
            </w:r>
            <w:r w:rsidR="00A13127">
              <w:rPr>
                <w:noProof/>
                <w:webHidden/>
              </w:rPr>
              <w:tab/>
            </w:r>
            <w:r w:rsidR="00A13127">
              <w:rPr>
                <w:noProof/>
                <w:webHidden/>
              </w:rPr>
              <w:fldChar w:fldCharType="begin"/>
            </w:r>
            <w:r w:rsidR="00A13127">
              <w:rPr>
                <w:noProof/>
                <w:webHidden/>
              </w:rPr>
              <w:instrText xml:space="preserve"> PAGEREF _Toc157529086 \h </w:instrText>
            </w:r>
            <w:r w:rsidR="00A13127">
              <w:rPr>
                <w:noProof/>
                <w:webHidden/>
              </w:rPr>
            </w:r>
            <w:r w:rsidR="00A13127">
              <w:rPr>
                <w:noProof/>
                <w:webHidden/>
              </w:rPr>
              <w:fldChar w:fldCharType="separate"/>
            </w:r>
            <w:r w:rsidR="00A13127">
              <w:rPr>
                <w:noProof/>
                <w:webHidden/>
              </w:rPr>
              <w:t>17</w:t>
            </w:r>
            <w:r w:rsidR="00A13127">
              <w:rPr>
                <w:noProof/>
                <w:webHidden/>
              </w:rPr>
              <w:fldChar w:fldCharType="end"/>
            </w:r>
          </w:hyperlink>
        </w:p>
        <w:p w14:paraId="75F729C3" w14:textId="29B599C4" w:rsidR="00A13127" w:rsidRDefault="00E20A07">
          <w:pPr>
            <w:pStyle w:val="TDC1"/>
            <w:tabs>
              <w:tab w:val="left" w:pos="567"/>
              <w:tab w:val="right" w:leader="dot" w:pos="10064"/>
            </w:tabs>
            <w:rPr>
              <w:rFonts w:asciiTheme="minorHAnsi" w:eastAsiaTheme="minorEastAsia" w:hAnsiTheme="minorHAnsi" w:cstheme="minorBidi"/>
              <w:noProof/>
              <w:kern w:val="2"/>
              <w:lang w:val="es-CL" w:eastAsia="es-CL"/>
              <w14:ligatures w14:val="standardContextual"/>
            </w:rPr>
          </w:pPr>
          <w:hyperlink w:anchor="_Toc157529087" w:history="1">
            <w:r w:rsidR="00A13127" w:rsidRPr="00B173DC">
              <w:rPr>
                <w:rStyle w:val="Hipervnculo"/>
                <w:noProof/>
              </w:rPr>
              <w:t>b.</w:t>
            </w:r>
            <w:r w:rsidR="00A13127">
              <w:rPr>
                <w:rFonts w:asciiTheme="minorHAnsi" w:eastAsiaTheme="minorEastAsia" w:hAnsiTheme="minorHAnsi" w:cstheme="minorBidi"/>
                <w:noProof/>
                <w:kern w:val="2"/>
                <w:lang w:val="es-CL" w:eastAsia="es-CL"/>
                <w14:ligatures w14:val="standardContextual"/>
              </w:rPr>
              <w:tab/>
            </w:r>
            <w:r w:rsidR="00A13127" w:rsidRPr="00B173DC">
              <w:rPr>
                <w:rStyle w:val="Hipervnculo"/>
                <w:noProof/>
              </w:rPr>
              <w:t>La subasta de cuotas pesqueras</w:t>
            </w:r>
            <w:r w:rsidR="00A13127">
              <w:rPr>
                <w:noProof/>
                <w:webHidden/>
              </w:rPr>
              <w:tab/>
            </w:r>
            <w:r w:rsidR="00A13127">
              <w:rPr>
                <w:noProof/>
                <w:webHidden/>
              </w:rPr>
              <w:fldChar w:fldCharType="begin"/>
            </w:r>
            <w:r w:rsidR="00A13127">
              <w:rPr>
                <w:noProof/>
                <w:webHidden/>
              </w:rPr>
              <w:instrText xml:space="preserve"> PAGEREF _Toc157529087 \h </w:instrText>
            </w:r>
            <w:r w:rsidR="00A13127">
              <w:rPr>
                <w:noProof/>
                <w:webHidden/>
              </w:rPr>
            </w:r>
            <w:r w:rsidR="00A13127">
              <w:rPr>
                <w:noProof/>
                <w:webHidden/>
              </w:rPr>
              <w:fldChar w:fldCharType="separate"/>
            </w:r>
            <w:r w:rsidR="00A13127">
              <w:rPr>
                <w:noProof/>
                <w:webHidden/>
              </w:rPr>
              <w:t>18</w:t>
            </w:r>
            <w:r w:rsidR="00A13127">
              <w:rPr>
                <w:noProof/>
                <w:webHidden/>
              </w:rPr>
              <w:fldChar w:fldCharType="end"/>
            </w:r>
          </w:hyperlink>
        </w:p>
        <w:p w14:paraId="6816A527" w14:textId="260A1906" w:rsidR="00F33671" w:rsidRDefault="00F33671">
          <w:r>
            <w:rPr>
              <w:b/>
              <w:bCs/>
            </w:rPr>
            <w:fldChar w:fldCharType="end"/>
          </w:r>
        </w:p>
      </w:sdtContent>
    </w:sdt>
    <w:p w14:paraId="5078C781" w14:textId="77777777" w:rsidR="00F33671" w:rsidRPr="00FF5026" w:rsidRDefault="00F33671" w:rsidP="00694065">
      <w:pPr>
        <w:spacing w:after="0"/>
      </w:pPr>
    </w:p>
    <w:p w14:paraId="30EE1525" w14:textId="77777777" w:rsidR="00EF7361" w:rsidRDefault="00EF7361" w:rsidP="00C42FA9">
      <w:pPr>
        <w:pStyle w:val="Seccindocumento"/>
        <w:numPr>
          <w:ilvl w:val="0"/>
          <w:numId w:val="1"/>
        </w:numPr>
        <w:ind w:left="284" w:hanging="284"/>
      </w:pPr>
      <w:bookmarkStart w:id="0" w:name="_Toc431896932"/>
      <w:r>
        <w:t>Las pesquerías y los derechos de asignación</w:t>
      </w:r>
      <w:bookmarkEnd w:id="0"/>
    </w:p>
    <w:p w14:paraId="38ADF5B9" w14:textId="77777777" w:rsidR="00694065" w:rsidRDefault="00694065" w:rsidP="002C73A2">
      <w:pPr>
        <w:spacing w:after="0"/>
        <w:rPr>
          <w:lang w:val="es-CL"/>
        </w:rPr>
      </w:pPr>
    </w:p>
    <w:p w14:paraId="04B8866A" w14:textId="77777777" w:rsidR="00EF7361" w:rsidRDefault="00EF7361" w:rsidP="00EF7361">
      <w:pPr>
        <w:rPr>
          <w:lang w:val="es-CL"/>
        </w:rPr>
      </w:pPr>
      <w:r w:rsidRPr="005F266C">
        <w:rPr>
          <w:lang w:val="es-CL"/>
        </w:rPr>
        <w:t>Los problemas asociados a las pesquerías que se basan en libertad de pesca o en cuota</w:t>
      </w:r>
      <w:r>
        <w:rPr>
          <w:lang w:val="es-CL"/>
        </w:rPr>
        <w:t>s globales tienen, de acuerdo al CEMARE (</w:t>
      </w:r>
      <w:r w:rsidRPr="008D6604">
        <w:rPr>
          <w:i/>
        </w:rPr>
        <w:t xml:space="preserve">Centre </w:t>
      </w:r>
      <w:proofErr w:type="spellStart"/>
      <w:r w:rsidRPr="008D6604">
        <w:rPr>
          <w:i/>
        </w:rPr>
        <w:t>for</w:t>
      </w:r>
      <w:proofErr w:type="spellEnd"/>
      <w:r w:rsidRPr="008D6604">
        <w:rPr>
          <w:i/>
        </w:rPr>
        <w:t xml:space="preserve"> </w:t>
      </w:r>
      <w:proofErr w:type="spellStart"/>
      <w:r w:rsidRPr="008D6604">
        <w:rPr>
          <w:i/>
        </w:rPr>
        <w:t>the</w:t>
      </w:r>
      <w:proofErr w:type="spellEnd"/>
      <w:r w:rsidRPr="008D6604">
        <w:rPr>
          <w:i/>
        </w:rPr>
        <w:t xml:space="preserve"> </w:t>
      </w:r>
      <w:proofErr w:type="spellStart"/>
      <w:r w:rsidRPr="008D6604">
        <w:rPr>
          <w:i/>
        </w:rPr>
        <w:t>Economics</w:t>
      </w:r>
      <w:proofErr w:type="spellEnd"/>
      <w:r w:rsidRPr="008D6604">
        <w:rPr>
          <w:i/>
        </w:rPr>
        <w:t xml:space="preserve"> and Management </w:t>
      </w:r>
      <w:proofErr w:type="spellStart"/>
      <w:r w:rsidRPr="008D6604">
        <w:rPr>
          <w:i/>
        </w:rPr>
        <w:t>of</w:t>
      </w:r>
      <w:proofErr w:type="spellEnd"/>
      <w:r w:rsidRPr="008D6604">
        <w:rPr>
          <w:i/>
        </w:rPr>
        <w:t xml:space="preserve"> </w:t>
      </w:r>
      <w:proofErr w:type="spellStart"/>
      <w:r w:rsidRPr="008D6604">
        <w:rPr>
          <w:i/>
        </w:rPr>
        <w:t>Aquatic</w:t>
      </w:r>
      <w:proofErr w:type="spellEnd"/>
      <w:r w:rsidRPr="008D6604">
        <w:rPr>
          <w:i/>
        </w:rPr>
        <w:t xml:space="preserve"> </w:t>
      </w:r>
      <w:proofErr w:type="spellStart"/>
      <w:r w:rsidRPr="008D6604">
        <w:rPr>
          <w:i/>
        </w:rPr>
        <w:t>Resources</w:t>
      </w:r>
      <w:proofErr w:type="spellEnd"/>
      <w:r>
        <w:t>)</w:t>
      </w:r>
      <w:r>
        <w:rPr>
          <w:lang w:val="es-CL"/>
        </w:rPr>
        <w:t xml:space="preserve">, de la Universidad de </w:t>
      </w:r>
      <w:r w:rsidRPr="008D6604">
        <w:rPr>
          <w:lang w:val="es-CL"/>
        </w:rPr>
        <w:t>Portsmouth</w:t>
      </w:r>
      <w:r>
        <w:rPr>
          <w:lang w:val="es-CL"/>
        </w:rPr>
        <w:t xml:space="preserve"> (Reino Unido),</w:t>
      </w:r>
      <w:r w:rsidRPr="008D6604">
        <w:rPr>
          <w:lang w:val="es-CL"/>
        </w:rPr>
        <w:t xml:space="preserve"> </w:t>
      </w:r>
      <w:r>
        <w:rPr>
          <w:lang w:val="es-CL"/>
        </w:rPr>
        <w:t xml:space="preserve">la problemática de sobreexplotación y pérdidas de recursos. Lo anterior, debido a la operación de </w:t>
      </w:r>
      <w:r w:rsidRPr="005F266C">
        <w:rPr>
          <w:lang w:val="es-CL"/>
        </w:rPr>
        <w:t xml:space="preserve">flotas de pesca </w:t>
      </w:r>
      <w:r>
        <w:rPr>
          <w:lang w:val="es-CL"/>
        </w:rPr>
        <w:t>mayores a la disponibilidad de recursos y por las implicancias en</w:t>
      </w:r>
      <w:r w:rsidRPr="005F266C">
        <w:rPr>
          <w:lang w:val="es-CL"/>
        </w:rPr>
        <w:t xml:space="preserve"> las poblaciones de peces </w:t>
      </w:r>
      <w:r>
        <w:rPr>
          <w:lang w:val="es-CL"/>
        </w:rPr>
        <w:t>(cuya mayoría se encuentra en estado de declinación), lo que ha traído como consecuencia impactos negativos en la</w:t>
      </w:r>
      <w:r w:rsidRPr="005F266C">
        <w:rPr>
          <w:lang w:val="es-CL"/>
        </w:rPr>
        <w:t xml:space="preserve"> sostenibilidad de la</w:t>
      </w:r>
      <w:r>
        <w:rPr>
          <w:lang w:val="es-CL"/>
        </w:rPr>
        <w:t>s</w:t>
      </w:r>
      <w:r w:rsidRPr="005F266C">
        <w:rPr>
          <w:lang w:val="es-CL"/>
        </w:rPr>
        <w:t xml:space="preserve"> pesquería</w:t>
      </w:r>
      <w:r>
        <w:rPr>
          <w:lang w:val="es-CL"/>
        </w:rPr>
        <w:t>s y del sector</w:t>
      </w:r>
      <w:r>
        <w:rPr>
          <w:rStyle w:val="Refdenotaalpie"/>
          <w:lang w:val="es-CL"/>
        </w:rPr>
        <w:footnoteReference w:id="1"/>
      </w:r>
      <w:r>
        <w:rPr>
          <w:lang w:val="es-CL"/>
        </w:rPr>
        <w:t xml:space="preserve">. </w:t>
      </w:r>
    </w:p>
    <w:p w14:paraId="36093992" w14:textId="5DE03D1C" w:rsidR="00EF7361" w:rsidRPr="005F266C" w:rsidRDefault="00EF7361" w:rsidP="00EF7361">
      <w:pPr>
        <w:rPr>
          <w:lang w:val="es-CL"/>
        </w:rPr>
      </w:pPr>
      <w:r>
        <w:rPr>
          <w:lang w:val="es-CL"/>
        </w:rPr>
        <w:t>Al respecto, y como una medida de ordenamiento, los principales países pesqueros han optado por un régimen de asignación de derechos de captura que les permita ordenar las capacidades extractivas y con ello evitar la llamada “carrera olímpica</w:t>
      </w:r>
      <w:r w:rsidR="0011098D">
        <w:rPr>
          <w:lang w:val="es-CL"/>
        </w:rPr>
        <w:t xml:space="preserve"> en Pesca</w:t>
      </w:r>
      <w:r>
        <w:rPr>
          <w:lang w:val="es-CL"/>
        </w:rPr>
        <w:t>”</w:t>
      </w:r>
      <w:r w:rsidR="0011098D">
        <w:rPr>
          <w:rStyle w:val="Refdenotaalpie"/>
          <w:lang w:val="es-CL"/>
        </w:rPr>
        <w:footnoteReference w:id="2"/>
      </w:r>
      <w:r>
        <w:rPr>
          <w:lang w:val="es-CL"/>
        </w:rPr>
        <w:t xml:space="preserve"> y mejorar, así las rentas de las flotas pesqueras.</w:t>
      </w:r>
    </w:p>
    <w:p w14:paraId="1AF25E33" w14:textId="53FBBD5C" w:rsidR="00EF7361" w:rsidRDefault="00EF7361" w:rsidP="00EF7361">
      <w:r>
        <w:lastRenderedPageBreak/>
        <w:t>La</w:t>
      </w:r>
      <w:r w:rsidR="00875E77">
        <w:t>s</w:t>
      </w:r>
      <w:r>
        <w:t xml:space="preserve"> </w:t>
      </w:r>
      <w:r w:rsidRPr="00C4625F">
        <w:t xml:space="preserve">cuotas individuales transferibles </w:t>
      </w:r>
      <w:r>
        <w:t xml:space="preserve">o </w:t>
      </w:r>
      <w:proofErr w:type="spellStart"/>
      <w:r>
        <w:t>CITs</w:t>
      </w:r>
      <w:proofErr w:type="spellEnd"/>
      <w:r>
        <w:t xml:space="preserve"> </w:t>
      </w:r>
      <w:r w:rsidRPr="00C4625F">
        <w:t>(</w:t>
      </w:r>
      <w:r w:rsidR="00910E6D" w:rsidRPr="00910E6D">
        <w:rPr>
          <w:i/>
        </w:rPr>
        <w:t>I</w:t>
      </w:r>
      <w:r w:rsidRPr="00C4625F">
        <w:rPr>
          <w:i/>
        </w:rPr>
        <w:t xml:space="preserve">ndividual </w:t>
      </w:r>
      <w:proofErr w:type="spellStart"/>
      <w:r w:rsidRPr="00C4625F">
        <w:rPr>
          <w:i/>
        </w:rPr>
        <w:t>transferable</w:t>
      </w:r>
      <w:proofErr w:type="spellEnd"/>
      <w:r w:rsidRPr="00C4625F">
        <w:rPr>
          <w:i/>
        </w:rPr>
        <w:t xml:space="preserve"> </w:t>
      </w:r>
      <w:proofErr w:type="spellStart"/>
      <w:r w:rsidRPr="00C4625F">
        <w:rPr>
          <w:i/>
        </w:rPr>
        <w:t>quota</w:t>
      </w:r>
      <w:proofErr w:type="spellEnd"/>
      <w:r w:rsidRPr="00C4625F">
        <w:t xml:space="preserve"> </w:t>
      </w:r>
      <w:r w:rsidRPr="00F83C8E">
        <w:t>– ITQ</w:t>
      </w:r>
      <w:r>
        <w:rPr>
          <w:i/>
        </w:rPr>
        <w:t xml:space="preserve"> </w:t>
      </w:r>
      <w:r w:rsidRPr="00F83C8E">
        <w:t>en inglés</w:t>
      </w:r>
      <w:r>
        <w:t>) constituyen un p</w:t>
      </w:r>
      <w:r w:rsidRPr="00C4625F">
        <w:t>rivilegio</w:t>
      </w:r>
      <w:r>
        <w:t xml:space="preserve"> que se asigna, en forma de una alícuota de pesca, para capturar </w:t>
      </w:r>
      <w:r w:rsidRPr="00C4625F">
        <w:t>una porción específica de la</w:t>
      </w:r>
      <w:r>
        <w:t xml:space="preserve"> Cuota de pesca total anual (denominado “Captura Total Permitida”, </w:t>
      </w:r>
      <w:r>
        <w:rPr>
          <w:i/>
        </w:rPr>
        <w:t xml:space="preserve">Total </w:t>
      </w:r>
      <w:proofErr w:type="spellStart"/>
      <w:r>
        <w:rPr>
          <w:i/>
        </w:rPr>
        <w:t>Allowable</w:t>
      </w:r>
      <w:proofErr w:type="spellEnd"/>
      <w:r>
        <w:rPr>
          <w:i/>
        </w:rPr>
        <w:t xml:space="preserve"> C</w:t>
      </w:r>
      <w:r w:rsidRPr="00F0201A">
        <w:rPr>
          <w:i/>
        </w:rPr>
        <w:t>atch</w:t>
      </w:r>
      <w:r>
        <w:t xml:space="preserve"> o TAC en inglés)</w:t>
      </w:r>
      <w:r>
        <w:rPr>
          <w:rStyle w:val="Refdenotaalpie"/>
        </w:rPr>
        <w:footnoteReference w:id="3"/>
      </w:r>
      <w:r w:rsidRPr="00C4625F">
        <w:t xml:space="preserve">. </w:t>
      </w:r>
    </w:p>
    <w:p w14:paraId="5F147AEE" w14:textId="77777777" w:rsidR="00EF7361" w:rsidRDefault="00EF7361" w:rsidP="002C73A2">
      <w:pPr>
        <w:spacing w:after="0"/>
        <w:rPr>
          <w:lang w:val="es-CL"/>
        </w:rPr>
      </w:pPr>
      <w:r>
        <w:rPr>
          <w:lang w:val="es-CL"/>
        </w:rPr>
        <w:t xml:space="preserve">Las </w:t>
      </w:r>
      <w:proofErr w:type="spellStart"/>
      <w:r w:rsidRPr="00102E56">
        <w:rPr>
          <w:lang w:val="es-CL"/>
        </w:rPr>
        <w:t>CIT</w:t>
      </w:r>
      <w:r>
        <w:rPr>
          <w:lang w:val="es-CL"/>
        </w:rPr>
        <w:t>s</w:t>
      </w:r>
      <w:proofErr w:type="spellEnd"/>
      <w:r w:rsidRPr="00102E56">
        <w:rPr>
          <w:lang w:val="es-CL"/>
        </w:rPr>
        <w:t xml:space="preserve"> </w:t>
      </w:r>
      <w:r>
        <w:rPr>
          <w:lang w:val="es-CL"/>
        </w:rPr>
        <w:t>(sean cuotas o porciones de cuota) son</w:t>
      </w:r>
      <w:r w:rsidRPr="00102E56">
        <w:rPr>
          <w:lang w:val="es-CL"/>
        </w:rPr>
        <w:t xml:space="preserve"> asignadas a los pescadores o </w:t>
      </w:r>
      <w:r>
        <w:rPr>
          <w:lang w:val="es-CL"/>
        </w:rPr>
        <w:t xml:space="preserve">a los </w:t>
      </w:r>
      <w:r w:rsidRPr="00102E56">
        <w:rPr>
          <w:lang w:val="es-CL"/>
        </w:rPr>
        <w:t xml:space="preserve">buques pesqueros, </w:t>
      </w:r>
      <w:r>
        <w:rPr>
          <w:lang w:val="es-CL"/>
        </w:rPr>
        <w:t>y</w:t>
      </w:r>
      <w:r w:rsidRPr="00102E56">
        <w:rPr>
          <w:lang w:val="es-CL"/>
        </w:rPr>
        <w:t xml:space="preserve"> los derechos pueden ser utilizados, vendidos o alquilados por el titular del derecho</w:t>
      </w:r>
      <w:r>
        <w:rPr>
          <w:rStyle w:val="Refdenotaalpie"/>
          <w:lang w:val="es-CL"/>
        </w:rPr>
        <w:footnoteReference w:id="4"/>
      </w:r>
      <w:r w:rsidRPr="00102E56">
        <w:rPr>
          <w:lang w:val="es-CL"/>
        </w:rPr>
        <w:t>.</w:t>
      </w:r>
    </w:p>
    <w:p w14:paraId="2C7769F9" w14:textId="77777777" w:rsidR="00B84D58" w:rsidRDefault="00B84D58" w:rsidP="002C73A2">
      <w:pPr>
        <w:spacing w:after="0"/>
        <w:rPr>
          <w:lang w:val="es-CL"/>
        </w:rPr>
      </w:pPr>
    </w:p>
    <w:p w14:paraId="2FBCE357" w14:textId="77777777" w:rsidR="00EF7361" w:rsidRDefault="00EF7361" w:rsidP="002C73A2">
      <w:pPr>
        <w:spacing w:after="0"/>
      </w:pPr>
      <w:r>
        <w:t xml:space="preserve">Este sistema </w:t>
      </w:r>
      <w:r w:rsidRPr="00C4625F">
        <w:t>difiere del enfoque tradicional de acceso libre a la pesca comercial</w:t>
      </w:r>
      <w:r>
        <w:t xml:space="preserve">, pues el sistema de </w:t>
      </w:r>
      <w:proofErr w:type="spellStart"/>
      <w:r>
        <w:t>CITs</w:t>
      </w:r>
      <w:proofErr w:type="spellEnd"/>
      <w:r>
        <w:t xml:space="preserve"> divide </w:t>
      </w:r>
      <w:r w:rsidRPr="00C4625F">
        <w:t>la cuota de captura total anual en pequeñas porciones individuales</w:t>
      </w:r>
      <w:r>
        <w:rPr>
          <w:rStyle w:val="Refdenotaalpie"/>
        </w:rPr>
        <w:footnoteReference w:id="5"/>
      </w:r>
      <w:r w:rsidRPr="00C4625F">
        <w:t xml:space="preserve">. </w:t>
      </w:r>
    </w:p>
    <w:p w14:paraId="7C293E82" w14:textId="77777777" w:rsidR="00B84D58" w:rsidRDefault="00B84D58" w:rsidP="002C73A2">
      <w:pPr>
        <w:spacing w:after="0"/>
      </w:pPr>
    </w:p>
    <w:p w14:paraId="7C6A4323" w14:textId="77777777" w:rsidR="00EF7361" w:rsidRDefault="00EF7361" w:rsidP="002C73A2">
      <w:pPr>
        <w:spacing w:after="0"/>
      </w:pPr>
      <w:r>
        <w:t xml:space="preserve">Las </w:t>
      </w:r>
      <w:proofErr w:type="spellStart"/>
      <w:r w:rsidRPr="00C4625F">
        <w:t>CIT</w:t>
      </w:r>
      <w:r>
        <w:t>s</w:t>
      </w:r>
      <w:proofErr w:type="spellEnd"/>
      <w:r w:rsidRPr="00C4625F">
        <w:t xml:space="preserve"> generalmente son transferibles, lo que significa </w:t>
      </w:r>
      <w:r>
        <w:t xml:space="preserve">que los </w:t>
      </w:r>
      <w:r w:rsidRPr="00C4625F">
        <w:t xml:space="preserve">propietarios de buques pesqueros pueden vender sus certificados de </w:t>
      </w:r>
      <w:proofErr w:type="spellStart"/>
      <w:r>
        <w:t>CITs</w:t>
      </w:r>
      <w:proofErr w:type="spellEnd"/>
      <w:r>
        <w:t xml:space="preserve">, </w:t>
      </w:r>
      <w:r w:rsidRPr="00C4625F">
        <w:t xml:space="preserve">comprar certificados </w:t>
      </w:r>
      <w:r>
        <w:t xml:space="preserve">a </w:t>
      </w:r>
      <w:r w:rsidRPr="00C4625F">
        <w:t>los demás o, en alg</w:t>
      </w:r>
      <w:r>
        <w:t xml:space="preserve">unos casos, arrendar sus cuotas, </w:t>
      </w:r>
      <w:r w:rsidRPr="00C4625F">
        <w:t xml:space="preserve">dependiendo de la cantidad </w:t>
      </w:r>
      <w:r>
        <w:t>de la pesca en la que quiera</w:t>
      </w:r>
      <w:r w:rsidRPr="00C4625F">
        <w:t xml:space="preserve">n participar. </w:t>
      </w:r>
      <w:r>
        <w:t>Según Buck</w:t>
      </w:r>
      <w:r w:rsidR="007424C1">
        <w:t xml:space="preserve"> (1995)</w:t>
      </w:r>
      <w:r>
        <w:t xml:space="preserve">, sobre las </w:t>
      </w:r>
      <w:proofErr w:type="spellStart"/>
      <w:r w:rsidRPr="00C4625F">
        <w:t>CIT</w:t>
      </w:r>
      <w:r>
        <w:t>s</w:t>
      </w:r>
      <w:proofErr w:type="spellEnd"/>
      <w:r>
        <w:t xml:space="preserve"> no existe</w:t>
      </w:r>
      <w:r w:rsidRPr="00C4625F">
        <w:t xml:space="preserve"> </w:t>
      </w:r>
      <w:r>
        <w:t>una “</w:t>
      </w:r>
      <w:r w:rsidRPr="00C4625F">
        <w:t>propiedad</w:t>
      </w:r>
      <w:r>
        <w:t>”</w:t>
      </w:r>
      <w:r w:rsidRPr="00C4625F">
        <w:t>, sino un privilegio para capturar una parte del t</w:t>
      </w:r>
      <w:r>
        <w:t xml:space="preserve">otal de capturas de peces o </w:t>
      </w:r>
      <w:r w:rsidRPr="00C4625F">
        <w:t xml:space="preserve">mariscos </w:t>
      </w:r>
      <w:r>
        <w:t xml:space="preserve">permitidas </w:t>
      </w:r>
      <w:r w:rsidRPr="00C4625F">
        <w:t>en un año determinado</w:t>
      </w:r>
      <w:r>
        <w:rPr>
          <w:rStyle w:val="Refdenotaalpie"/>
        </w:rPr>
        <w:footnoteReference w:id="6"/>
      </w:r>
      <w:r w:rsidRPr="00C4625F">
        <w:t xml:space="preserve">. </w:t>
      </w:r>
    </w:p>
    <w:p w14:paraId="55500540" w14:textId="77777777" w:rsidR="00B84D58" w:rsidRDefault="00B84D58" w:rsidP="002C73A2">
      <w:pPr>
        <w:spacing w:after="0"/>
      </w:pPr>
    </w:p>
    <w:p w14:paraId="139EA14F" w14:textId="77777777" w:rsidR="00EF7361" w:rsidRDefault="00EF7361" w:rsidP="002C73A2">
      <w:pPr>
        <w:autoSpaceDE w:val="0"/>
        <w:autoSpaceDN w:val="0"/>
        <w:adjustRightInd w:val="0"/>
        <w:spacing w:after="0"/>
        <w:rPr>
          <w:rStyle w:val="longtext"/>
        </w:rPr>
      </w:pPr>
      <w:r>
        <w:rPr>
          <w:rStyle w:val="longtext"/>
        </w:rPr>
        <w:t xml:space="preserve">Las </w:t>
      </w:r>
      <w:proofErr w:type="spellStart"/>
      <w:r>
        <w:rPr>
          <w:rStyle w:val="longtext"/>
        </w:rPr>
        <w:t>CITs</w:t>
      </w:r>
      <w:proofErr w:type="spellEnd"/>
      <w:r>
        <w:rPr>
          <w:rStyle w:val="longtext"/>
        </w:rPr>
        <w:t xml:space="preserve"> pueden ser asignadas de diversas maneras</w:t>
      </w:r>
      <w:r>
        <w:rPr>
          <w:rStyle w:val="Refdenotaalpie"/>
          <w:lang w:val="es-CL"/>
        </w:rPr>
        <w:footnoteReference w:id="7"/>
      </w:r>
      <w:r>
        <w:rPr>
          <w:rStyle w:val="longtext"/>
        </w:rPr>
        <w:t xml:space="preserve">: </w:t>
      </w:r>
    </w:p>
    <w:p w14:paraId="79E6442F" w14:textId="77777777" w:rsidR="00B84D58" w:rsidRDefault="00B84D58" w:rsidP="002C73A2">
      <w:pPr>
        <w:autoSpaceDE w:val="0"/>
        <w:autoSpaceDN w:val="0"/>
        <w:adjustRightInd w:val="0"/>
        <w:spacing w:after="0"/>
        <w:rPr>
          <w:rStyle w:val="longtext"/>
        </w:rPr>
      </w:pPr>
    </w:p>
    <w:p w14:paraId="479F1676" w14:textId="77777777" w:rsidR="00EF7361" w:rsidRPr="00DD7612" w:rsidRDefault="00EF7361" w:rsidP="002C73A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1"/>
        <w:rPr>
          <w:rStyle w:val="longtext"/>
        </w:rPr>
      </w:pPr>
      <w:r>
        <w:rPr>
          <w:rStyle w:val="longtext"/>
          <w:shd w:val="clear" w:color="auto" w:fill="FFFFFF"/>
        </w:rPr>
        <w:t>Por subasta. Se considera como un método pertinente para la asignación de nuevas pesquerías (ej. Dinamarca).</w:t>
      </w:r>
    </w:p>
    <w:p w14:paraId="3D2D80A3" w14:textId="77777777" w:rsidR="00EF7361" w:rsidRPr="00DD7612" w:rsidRDefault="00EF7361" w:rsidP="002C73A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1"/>
        <w:rPr>
          <w:rStyle w:val="longtext"/>
        </w:rPr>
      </w:pPr>
      <w:r>
        <w:rPr>
          <w:rStyle w:val="longtext"/>
          <w:shd w:val="clear" w:color="auto" w:fill="FFFFFF"/>
        </w:rPr>
        <w:t>Por asignación a cada buque, de acuerdo a características físicas o económicas.</w:t>
      </w:r>
    </w:p>
    <w:p w14:paraId="15ACC9E7" w14:textId="77777777" w:rsidR="00EF7361" w:rsidRDefault="00EF7361" w:rsidP="002C73A2">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1"/>
        <w:rPr>
          <w:rStyle w:val="longtext"/>
          <w:shd w:val="clear" w:color="auto" w:fill="FFFFFF"/>
        </w:rPr>
      </w:pPr>
      <w:r>
        <w:rPr>
          <w:rStyle w:val="longtext"/>
          <w:shd w:val="clear" w:color="auto" w:fill="FFFFFF"/>
        </w:rPr>
        <w:t>Por a</w:t>
      </w:r>
      <w:r w:rsidRPr="00D5554B">
        <w:rPr>
          <w:rStyle w:val="longtext"/>
          <w:shd w:val="clear" w:color="auto" w:fill="FFFFFF"/>
        </w:rPr>
        <w:t xml:space="preserve">signación de acuerdo a las capturas históricas de cada buque. </w:t>
      </w:r>
    </w:p>
    <w:p w14:paraId="7E9544BE" w14:textId="77777777" w:rsidR="0011098D" w:rsidRDefault="0011098D" w:rsidP="000073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rPr>
          <w:rStyle w:val="longtext"/>
          <w:shd w:val="clear" w:color="auto" w:fill="FFFFFF"/>
        </w:rPr>
      </w:pPr>
    </w:p>
    <w:p w14:paraId="1157E4B7" w14:textId="77777777" w:rsidR="00EF7361" w:rsidRDefault="00EF7361" w:rsidP="002C73A2">
      <w:pPr>
        <w:pStyle w:val="Seccindocumento"/>
        <w:numPr>
          <w:ilvl w:val="0"/>
          <w:numId w:val="1"/>
        </w:numPr>
        <w:spacing w:after="0"/>
        <w:ind w:left="284" w:hanging="284"/>
      </w:pPr>
      <w:bookmarkStart w:id="1" w:name="_Toc431896934"/>
      <w:r>
        <w:t>La experiencia internacional</w:t>
      </w:r>
      <w:bookmarkEnd w:id="1"/>
    </w:p>
    <w:p w14:paraId="73EDF693" w14:textId="77777777" w:rsidR="00EF7361" w:rsidRDefault="00EF7361" w:rsidP="002C73A2">
      <w:pPr>
        <w:spacing w:after="0"/>
      </w:pPr>
    </w:p>
    <w:p w14:paraId="0B196B27" w14:textId="77777777" w:rsidR="00EF7361" w:rsidRDefault="00EF7361" w:rsidP="0011098D">
      <w:pPr>
        <w:pStyle w:val="Ttulo1"/>
        <w:keepLines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6"/>
        </w:tabs>
        <w:spacing w:before="0"/>
        <w:ind w:left="426" w:hanging="426"/>
        <w:rPr>
          <w:bCs w:val="0"/>
          <w:color w:val="auto"/>
          <w:sz w:val="24"/>
          <w:szCs w:val="22"/>
        </w:rPr>
      </w:pPr>
      <w:bookmarkStart w:id="2" w:name="_Toc428460686"/>
      <w:bookmarkStart w:id="3" w:name="_Toc431896935"/>
      <w:bookmarkStart w:id="4" w:name="_Toc157529071"/>
      <w:r w:rsidRPr="00EF7361">
        <w:rPr>
          <w:bCs w:val="0"/>
          <w:color w:val="auto"/>
          <w:sz w:val="24"/>
          <w:szCs w:val="22"/>
        </w:rPr>
        <w:t>Nueva Zelandia</w:t>
      </w:r>
      <w:bookmarkEnd w:id="2"/>
      <w:bookmarkEnd w:id="3"/>
      <w:bookmarkEnd w:id="4"/>
      <w:r w:rsidRPr="00EF7361">
        <w:rPr>
          <w:bCs w:val="0"/>
          <w:color w:val="auto"/>
          <w:sz w:val="24"/>
          <w:szCs w:val="22"/>
        </w:rPr>
        <w:tab/>
      </w:r>
    </w:p>
    <w:p w14:paraId="1C45DC30" w14:textId="77777777" w:rsidR="0067496F" w:rsidRPr="002C73A2" w:rsidRDefault="0067496F" w:rsidP="002C73A2">
      <w:pPr>
        <w:spacing w:after="0"/>
        <w:rPr>
          <w:bCs/>
        </w:rPr>
      </w:pPr>
    </w:p>
    <w:p w14:paraId="6930737C" w14:textId="5CE4D952" w:rsidR="00EF7361" w:rsidRPr="002C73A2" w:rsidRDefault="00EF7361" w:rsidP="000073B3">
      <w:pPr>
        <w:pStyle w:val="Ttulo3"/>
        <w:keepLines w:val="0"/>
        <w:numPr>
          <w:ilvl w:val="0"/>
          <w:numId w:val="25"/>
        </w:numPr>
        <w:pBdr>
          <w:top w:val="none" w:sz="0" w:space="0" w:color="auto"/>
          <w:left w:val="none" w:sz="0" w:space="0" w:color="auto"/>
          <w:bottom w:val="none" w:sz="0" w:space="0" w:color="auto"/>
          <w:right w:val="none" w:sz="0" w:space="0" w:color="auto"/>
          <w:between w:val="none" w:sz="0" w:space="0" w:color="auto"/>
        </w:pBdr>
        <w:spacing w:before="0"/>
        <w:rPr>
          <w:i w:val="0"/>
          <w:sz w:val="22"/>
          <w:szCs w:val="22"/>
        </w:rPr>
      </w:pPr>
      <w:bookmarkStart w:id="5" w:name="_Toc428460688"/>
      <w:bookmarkStart w:id="6" w:name="_Toc431896936"/>
      <w:bookmarkStart w:id="7" w:name="_Toc157529072"/>
      <w:r w:rsidRPr="002C73A2">
        <w:rPr>
          <w:i w:val="0"/>
          <w:sz w:val="22"/>
          <w:szCs w:val="22"/>
        </w:rPr>
        <w:t>Sistemas de manejo de pesquerías</w:t>
      </w:r>
      <w:bookmarkEnd w:id="5"/>
      <w:bookmarkEnd w:id="6"/>
      <w:bookmarkEnd w:id="7"/>
      <w:r w:rsidRPr="002C73A2">
        <w:rPr>
          <w:i w:val="0"/>
          <w:sz w:val="22"/>
          <w:szCs w:val="22"/>
        </w:rPr>
        <w:t xml:space="preserve">  </w:t>
      </w:r>
    </w:p>
    <w:p w14:paraId="3F1CE36C" w14:textId="77777777" w:rsidR="0067496F" w:rsidRDefault="0067496F" w:rsidP="002C73A2">
      <w:pPr>
        <w:spacing w:after="0"/>
      </w:pPr>
    </w:p>
    <w:p w14:paraId="02CB3E5B" w14:textId="7B9C5D7E" w:rsidR="00EF7361" w:rsidRDefault="00EF7361" w:rsidP="002C73A2">
      <w:pPr>
        <w:spacing w:after="0"/>
      </w:pPr>
      <w:r>
        <w:t>La</w:t>
      </w:r>
      <w:r w:rsidRPr="00934395">
        <w:t xml:space="preserve"> Ley de Pesca de 1996 </w:t>
      </w:r>
      <w:r>
        <w:t>(</w:t>
      </w:r>
      <w:proofErr w:type="spellStart"/>
      <w:r w:rsidRPr="00934395">
        <w:rPr>
          <w:i/>
        </w:rPr>
        <w:t>Fisheries</w:t>
      </w:r>
      <w:proofErr w:type="spellEnd"/>
      <w:r w:rsidRPr="00934395">
        <w:rPr>
          <w:i/>
        </w:rPr>
        <w:t xml:space="preserve"> </w:t>
      </w:r>
      <w:proofErr w:type="spellStart"/>
      <w:r w:rsidRPr="00934395">
        <w:rPr>
          <w:i/>
        </w:rPr>
        <w:t>Act</w:t>
      </w:r>
      <w:proofErr w:type="spellEnd"/>
      <w:r w:rsidRPr="00934395">
        <w:rPr>
          <w:i/>
        </w:rPr>
        <w:t xml:space="preserve"> 1996</w:t>
      </w:r>
      <w:r>
        <w:t>)</w:t>
      </w:r>
      <w:r>
        <w:rPr>
          <w:rStyle w:val="Refdenotaalpie"/>
        </w:rPr>
        <w:footnoteReference w:id="8"/>
      </w:r>
      <w:r>
        <w:t xml:space="preserve"> establece que las autoridades del ramo tiene</w:t>
      </w:r>
      <w:r w:rsidR="00875E77">
        <w:t>n</w:t>
      </w:r>
      <w:r>
        <w:t xml:space="preserve"> el deber de velar por</w:t>
      </w:r>
      <w:r w:rsidRPr="00934395">
        <w:t xml:space="preserve"> la</w:t>
      </w:r>
      <w:r>
        <w:t xml:space="preserve"> sustentabilidad y</w:t>
      </w:r>
      <w:r w:rsidRPr="00934395">
        <w:t xml:space="preserve"> utilización de los recursos pesqueros.</w:t>
      </w:r>
      <w:r>
        <w:t xml:space="preserve"> </w:t>
      </w:r>
    </w:p>
    <w:p w14:paraId="7430F910" w14:textId="77777777" w:rsidR="00B84D58" w:rsidRDefault="00B84D58" w:rsidP="002C73A2">
      <w:pPr>
        <w:spacing w:after="0"/>
      </w:pPr>
    </w:p>
    <w:p w14:paraId="4A23E886" w14:textId="77777777" w:rsidR="00EF7361" w:rsidRDefault="00EF7361" w:rsidP="002C73A2">
      <w:pPr>
        <w:spacing w:after="0"/>
      </w:pPr>
      <w:r>
        <w:t xml:space="preserve">Nueva Zelandia estima que, para cumplir con sus </w:t>
      </w:r>
      <w:r w:rsidRPr="00934395">
        <w:t>propósitos y principios</w:t>
      </w:r>
      <w:r>
        <w:t xml:space="preserve">, el </w:t>
      </w:r>
      <w:r w:rsidRPr="00ED1917">
        <w:t xml:space="preserve">sistema de cuotas individuales transferibles </w:t>
      </w:r>
      <w:r>
        <w:t>que</w:t>
      </w:r>
      <w:r w:rsidRPr="00ED1917">
        <w:t xml:space="preserve"> se denomina Sistema de Gestión de Cuota (</w:t>
      </w:r>
      <w:proofErr w:type="spellStart"/>
      <w:r w:rsidRPr="00ED1917">
        <w:rPr>
          <w:i/>
        </w:rPr>
        <w:t>Quota</w:t>
      </w:r>
      <w:proofErr w:type="spellEnd"/>
      <w:r w:rsidRPr="00ED1917">
        <w:rPr>
          <w:i/>
        </w:rPr>
        <w:t xml:space="preserve"> Management </w:t>
      </w:r>
      <w:proofErr w:type="spellStart"/>
      <w:r w:rsidRPr="00ED1917">
        <w:rPr>
          <w:i/>
        </w:rPr>
        <w:t>System</w:t>
      </w:r>
      <w:proofErr w:type="spellEnd"/>
      <w:r w:rsidRPr="00ED1917">
        <w:rPr>
          <w:i/>
        </w:rPr>
        <w:t xml:space="preserve"> - QMS</w:t>
      </w:r>
      <w:r w:rsidRPr="00ED1917">
        <w:t>)</w:t>
      </w:r>
      <w:r>
        <w:rPr>
          <w:rStyle w:val="Refdenotaalpie"/>
        </w:rPr>
        <w:footnoteReference w:id="9"/>
      </w:r>
      <w:r>
        <w:t xml:space="preserve">, es el adecuado. </w:t>
      </w:r>
    </w:p>
    <w:p w14:paraId="42EF5F8A" w14:textId="77777777" w:rsidR="00B84D58" w:rsidRDefault="00B84D58" w:rsidP="002C73A2">
      <w:pPr>
        <w:spacing w:after="0"/>
      </w:pPr>
    </w:p>
    <w:p w14:paraId="5E9C30C0" w14:textId="77777777" w:rsidR="00EF7361" w:rsidRPr="00934395" w:rsidRDefault="00EF7361" w:rsidP="00EF7361">
      <w:pPr>
        <w:rPr>
          <w:rFonts w:ascii="Times New Roman" w:hAnsi="Times New Roman"/>
        </w:rPr>
      </w:pPr>
      <w:r>
        <w:t>I</w:t>
      </w:r>
      <w:r w:rsidRPr="00ED1917">
        <w:t>ntroducido por primera vez en el año 1986, inicialmente para 2</w:t>
      </w:r>
      <w:r>
        <w:t>7</w:t>
      </w:r>
      <w:r w:rsidRPr="00ED1917">
        <w:t xml:space="preserve"> especies o grupos de especies</w:t>
      </w:r>
      <w:r>
        <w:t xml:space="preserve">, ha sufrido múltiples modificaciones y hoy </w:t>
      </w:r>
      <w:r w:rsidRPr="00ED1917">
        <w:t>maneja más del 90% de la captura pesquera comercial</w:t>
      </w:r>
      <w:r>
        <w:rPr>
          <w:rStyle w:val="Refdenotaalpie"/>
        </w:rPr>
        <w:footnoteReference w:id="10"/>
      </w:r>
      <w:r w:rsidRPr="00ED1917">
        <w:t>.</w:t>
      </w:r>
    </w:p>
    <w:p w14:paraId="29071EF3" w14:textId="77777777" w:rsidR="00EF7361" w:rsidRDefault="00EF7361" w:rsidP="00E93D5C">
      <w:r>
        <w:t>Para su operación, el territorio destinado a la pesca fue dividido en sectores respecto de los cuales hay límites de captura, denominados “</w:t>
      </w:r>
      <w:r w:rsidRPr="00137B1A">
        <w:t>Áreas de Manejo de Pesca</w:t>
      </w:r>
      <w:r>
        <w:t>”</w:t>
      </w:r>
      <w:r w:rsidRPr="00137B1A">
        <w:t xml:space="preserve"> (</w:t>
      </w:r>
      <w:proofErr w:type="spellStart"/>
      <w:r w:rsidRPr="00F65DDF">
        <w:rPr>
          <w:i/>
        </w:rPr>
        <w:t>Fisheries</w:t>
      </w:r>
      <w:proofErr w:type="spellEnd"/>
      <w:r w:rsidRPr="00F65DDF">
        <w:rPr>
          <w:i/>
        </w:rPr>
        <w:t xml:space="preserve"> Management </w:t>
      </w:r>
      <w:proofErr w:type="spellStart"/>
      <w:r w:rsidRPr="00F65DDF">
        <w:rPr>
          <w:i/>
        </w:rPr>
        <w:t>Areas</w:t>
      </w:r>
      <w:proofErr w:type="spellEnd"/>
      <w:r w:rsidRPr="00F65DDF">
        <w:rPr>
          <w:i/>
        </w:rPr>
        <w:t xml:space="preserve"> </w:t>
      </w:r>
      <w:r>
        <w:rPr>
          <w:i/>
        </w:rPr>
        <w:t xml:space="preserve">- </w:t>
      </w:r>
      <w:r w:rsidRPr="00F65DDF">
        <w:rPr>
          <w:i/>
        </w:rPr>
        <w:t>FMA</w:t>
      </w:r>
      <w:r w:rsidRPr="00137B1A">
        <w:t>)</w:t>
      </w:r>
      <w:r>
        <w:t xml:space="preserve">, </w:t>
      </w:r>
    </w:p>
    <w:p w14:paraId="113B2B05" w14:textId="77777777" w:rsidR="00EF7361" w:rsidRPr="00E90691" w:rsidRDefault="00EF7361" w:rsidP="00EF7361">
      <w:r>
        <w:t xml:space="preserve">El sistema de manejo de las pesquerías neozelandesas se produce a nivel de </w:t>
      </w:r>
      <w:r w:rsidRPr="00137B1A">
        <w:t>existencias</w:t>
      </w:r>
      <w:r>
        <w:t xml:space="preserve"> o </w:t>
      </w:r>
      <w:r w:rsidRPr="00F64E0A">
        <w:rPr>
          <w:i/>
        </w:rPr>
        <w:t>stocks</w:t>
      </w:r>
      <w:r w:rsidRPr="00137B1A">
        <w:t xml:space="preserve">. </w:t>
      </w:r>
      <w:r>
        <w:t xml:space="preserve">El </w:t>
      </w:r>
      <w:r w:rsidRPr="0023174F">
        <w:rPr>
          <w:i/>
        </w:rPr>
        <w:t>stock</w:t>
      </w:r>
      <w:r w:rsidRPr="00E90691">
        <w:t xml:space="preserve"> e</w:t>
      </w:r>
      <w:r w:rsidRPr="00137B1A">
        <w:t xml:space="preserve">s la unidad básica de </w:t>
      </w:r>
      <w:r>
        <w:t xml:space="preserve">gestión pesquera, y podrá existir en varias </w:t>
      </w:r>
      <w:proofErr w:type="spellStart"/>
      <w:r>
        <w:t>FMAs</w:t>
      </w:r>
      <w:proofErr w:type="spellEnd"/>
      <w:r>
        <w:t xml:space="preserve"> a la vez (por ejemplo, el </w:t>
      </w:r>
      <w:r w:rsidRPr="002F7B73">
        <w:rPr>
          <w:i/>
        </w:rPr>
        <w:t>stock</w:t>
      </w:r>
      <w:r>
        <w:t xml:space="preserve"> de </w:t>
      </w:r>
      <w:r w:rsidRPr="00137B1A">
        <w:t>merluza</w:t>
      </w:r>
      <w:r>
        <w:t xml:space="preserve"> de cola o </w:t>
      </w:r>
      <w:r w:rsidRPr="00E90691">
        <w:t xml:space="preserve">pez </w:t>
      </w:r>
      <w:proofErr w:type="spellStart"/>
      <w:r w:rsidRPr="00E90691">
        <w:t>hoki</w:t>
      </w:r>
      <w:proofErr w:type="spellEnd"/>
      <w:r w:rsidRPr="00E90691">
        <w:t xml:space="preserve">, que incluye desde el FMA 1 al 9) o bien, formar parte de un FMA (como los </w:t>
      </w:r>
      <w:r w:rsidRPr="0023174F">
        <w:rPr>
          <w:i/>
        </w:rPr>
        <w:t>stocks</w:t>
      </w:r>
      <w:r>
        <w:t xml:space="preserve"> del </w:t>
      </w:r>
      <w:r w:rsidRPr="0023174F">
        <w:rPr>
          <w:i/>
        </w:rPr>
        <w:t xml:space="preserve">Orange </w:t>
      </w:r>
      <w:proofErr w:type="spellStart"/>
      <w:r w:rsidRPr="0023174F">
        <w:rPr>
          <w:i/>
        </w:rPr>
        <w:t>roughy</w:t>
      </w:r>
      <w:proofErr w:type="spellEnd"/>
      <w:r>
        <w:t>, que</w:t>
      </w:r>
      <w:r w:rsidRPr="00E90691">
        <w:t xml:space="preserve"> se individualiza como </w:t>
      </w:r>
      <w:r w:rsidRPr="00AD3D0E">
        <w:t xml:space="preserve">Orange </w:t>
      </w:r>
      <w:proofErr w:type="spellStart"/>
      <w:r w:rsidRPr="00AD3D0E">
        <w:t>roughy</w:t>
      </w:r>
      <w:proofErr w:type="spellEnd"/>
      <w:r w:rsidRPr="00AD3D0E">
        <w:t xml:space="preserve"> </w:t>
      </w:r>
      <w:r>
        <w:t>2B (</w:t>
      </w:r>
      <w:r w:rsidRPr="00E90691">
        <w:t>ORH2B</w:t>
      </w:r>
      <w:r>
        <w:t>)</w:t>
      </w:r>
      <w:r w:rsidRPr="00E90691">
        <w:t xml:space="preserve">, </w:t>
      </w:r>
      <w:r>
        <w:t>que</w:t>
      </w:r>
      <w:r w:rsidRPr="00E90691">
        <w:t xml:space="preserve"> forma parte del FMA 2</w:t>
      </w:r>
      <w:r>
        <w:t xml:space="preserve"> que incluye las zonas de </w:t>
      </w:r>
      <w:proofErr w:type="spellStart"/>
      <w:r>
        <w:t>Gisborne</w:t>
      </w:r>
      <w:proofErr w:type="spellEnd"/>
      <w:r>
        <w:t>, Napier y Wellington</w:t>
      </w:r>
      <w:r w:rsidRPr="00E90691">
        <w:t>)</w:t>
      </w:r>
      <w:r w:rsidRPr="00E90691">
        <w:rPr>
          <w:rStyle w:val="Refdenotaalpie"/>
        </w:rPr>
        <w:footnoteReference w:id="11"/>
      </w:r>
      <w:r w:rsidRPr="00E90691">
        <w:t>.</w:t>
      </w:r>
    </w:p>
    <w:p w14:paraId="25EE1105" w14:textId="77777777" w:rsidR="00EF7361" w:rsidRDefault="00EF7361" w:rsidP="00EF7361">
      <w:pPr>
        <w:rPr>
          <w:rStyle w:val="longtext"/>
        </w:rPr>
      </w:pPr>
      <w:r w:rsidRPr="00E90691">
        <w:rPr>
          <w:rStyle w:val="longtext"/>
          <w:shd w:val="clear" w:color="auto" w:fill="FFFFFF"/>
        </w:rPr>
        <w:t xml:space="preserve">Cada </w:t>
      </w:r>
      <w:r w:rsidRPr="0023174F">
        <w:rPr>
          <w:rStyle w:val="longtext"/>
          <w:i/>
          <w:shd w:val="clear" w:color="auto" w:fill="FFFFFF"/>
        </w:rPr>
        <w:t>stock</w:t>
      </w:r>
      <w:r w:rsidRPr="00D26624">
        <w:rPr>
          <w:rStyle w:val="longtext"/>
          <w:i/>
          <w:shd w:val="clear" w:color="auto" w:fill="FFFFFF"/>
        </w:rPr>
        <w:t xml:space="preserve"> </w:t>
      </w:r>
      <w:r>
        <w:rPr>
          <w:rStyle w:val="longtext"/>
          <w:shd w:val="clear" w:color="auto" w:fill="FFFFFF"/>
        </w:rPr>
        <w:t xml:space="preserve">tiene asignado una </w:t>
      </w:r>
      <w:r w:rsidRPr="00D26624">
        <w:rPr>
          <w:rStyle w:val="longtext"/>
          <w:i/>
          <w:shd w:val="clear" w:color="auto" w:fill="FFFFFF"/>
        </w:rPr>
        <w:t>TAC</w:t>
      </w:r>
      <w:r>
        <w:rPr>
          <w:rStyle w:val="longtext"/>
          <w:i/>
          <w:shd w:val="clear" w:color="auto" w:fill="FFFFFF"/>
        </w:rPr>
        <w:t xml:space="preserve">. </w:t>
      </w:r>
      <w:r w:rsidRPr="00F83C8E">
        <w:rPr>
          <w:rStyle w:val="longtext"/>
          <w:shd w:val="clear" w:color="auto" w:fill="FFFFFF"/>
        </w:rPr>
        <w:t>E</w:t>
      </w:r>
      <w:r w:rsidRPr="003E2D12">
        <w:rPr>
          <w:rStyle w:val="longtext"/>
        </w:rPr>
        <w:t xml:space="preserve">l </w:t>
      </w:r>
      <w:proofErr w:type="gramStart"/>
      <w:r>
        <w:rPr>
          <w:rStyle w:val="longtext"/>
        </w:rPr>
        <w:t>Ministro</w:t>
      </w:r>
      <w:proofErr w:type="gramEnd"/>
      <w:r>
        <w:rPr>
          <w:rStyle w:val="longtext"/>
        </w:rPr>
        <w:t xml:space="preserve"> de Pesca lo establece con referencia al rendimiento máximo sostenible (</w:t>
      </w:r>
      <w:proofErr w:type="spellStart"/>
      <w:r w:rsidRPr="002D73A0">
        <w:rPr>
          <w:rStyle w:val="longtext"/>
          <w:i/>
        </w:rPr>
        <w:t>Maximum</w:t>
      </w:r>
      <w:proofErr w:type="spellEnd"/>
      <w:r w:rsidRPr="002D73A0">
        <w:rPr>
          <w:rStyle w:val="longtext"/>
          <w:i/>
        </w:rPr>
        <w:t xml:space="preserve"> </w:t>
      </w:r>
      <w:proofErr w:type="spellStart"/>
      <w:r w:rsidRPr="002D73A0">
        <w:rPr>
          <w:rStyle w:val="longtext"/>
          <w:i/>
        </w:rPr>
        <w:t>Sustainable</w:t>
      </w:r>
      <w:proofErr w:type="spellEnd"/>
      <w:r w:rsidRPr="002D73A0">
        <w:rPr>
          <w:rStyle w:val="longtext"/>
          <w:i/>
        </w:rPr>
        <w:t xml:space="preserve"> </w:t>
      </w:r>
      <w:proofErr w:type="spellStart"/>
      <w:r w:rsidRPr="002D73A0">
        <w:rPr>
          <w:rStyle w:val="longtext"/>
          <w:i/>
        </w:rPr>
        <w:t>Yield</w:t>
      </w:r>
      <w:proofErr w:type="spellEnd"/>
      <w:r w:rsidRPr="002D73A0">
        <w:rPr>
          <w:rStyle w:val="longtext"/>
          <w:i/>
        </w:rPr>
        <w:t xml:space="preserve"> </w:t>
      </w:r>
      <w:r>
        <w:rPr>
          <w:rStyle w:val="longtext"/>
          <w:i/>
        </w:rPr>
        <w:t xml:space="preserve">- </w:t>
      </w:r>
      <w:r w:rsidRPr="002D73A0">
        <w:rPr>
          <w:rStyle w:val="longtext"/>
          <w:i/>
        </w:rPr>
        <w:t>MSY</w:t>
      </w:r>
      <w:r>
        <w:rPr>
          <w:rStyle w:val="longtext"/>
        </w:rPr>
        <w:t xml:space="preserve">) del </w:t>
      </w:r>
      <w:r w:rsidRPr="0023174F">
        <w:rPr>
          <w:rStyle w:val="longtext"/>
          <w:i/>
        </w:rPr>
        <w:t>stock</w:t>
      </w:r>
      <w:r>
        <w:rPr>
          <w:rStyle w:val="longtext"/>
        </w:rPr>
        <w:t xml:space="preserve"> de que se trate, aunque existen excepciones a este sistema, previstas en la legislación</w:t>
      </w:r>
      <w:r>
        <w:rPr>
          <w:rStyle w:val="Refdenotaalpie"/>
        </w:rPr>
        <w:footnoteReference w:id="12"/>
      </w:r>
      <w:r>
        <w:rPr>
          <w:rStyle w:val="longtext"/>
        </w:rPr>
        <w:t>:</w:t>
      </w:r>
    </w:p>
    <w:p w14:paraId="390FBB1E" w14:textId="77777777" w:rsidR="00EF7361" w:rsidRDefault="00EF7361" w:rsidP="00C42FA9">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Style w:val="longtext"/>
          <w:shd w:val="clear" w:color="auto" w:fill="FFFFFF"/>
        </w:rPr>
      </w:pPr>
      <w:r w:rsidRPr="0023174F">
        <w:rPr>
          <w:rStyle w:val="longtext"/>
          <w:i/>
          <w:shd w:val="clear" w:color="auto" w:fill="FFFFFF"/>
        </w:rPr>
        <w:t xml:space="preserve">Stocks </w:t>
      </w:r>
      <w:r>
        <w:rPr>
          <w:rStyle w:val="longtext"/>
          <w:shd w:val="clear" w:color="auto" w:fill="FFFFFF"/>
        </w:rPr>
        <w:t>respecto de los cuales, debido a sus características biológicas, no es posible estimar el Rendimiento Máximo Sostenible.</w:t>
      </w:r>
    </w:p>
    <w:p w14:paraId="2B8A409F" w14:textId="77777777" w:rsidR="00EF7361" w:rsidRDefault="00EF7361" w:rsidP="00C42FA9">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Style w:val="longtext"/>
          <w:shd w:val="clear" w:color="auto" w:fill="FFFFFF"/>
        </w:rPr>
      </w:pPr>
      <w:r w:rsidRPr="0023174F">
        <w:rPr>
          <w:rStyle w:val="longtext"/>
          <w:i/>
          <w:shd w:val="clear" w:color="auto" w:fill="FFFFFF"/>
        </w:rPr>
        <w:t>Stocks</w:t>
      </w:r>
      <w:r>
        <w:rPr>
          <w:rStyle w:val="longtext"/>
          <w:shd w:val="clear" w:color="auto" w:fill="FFFFFF"/>
        </w:rPr>
        <w:t xml:space="preserve"> cuya asignación nacional se ha realizado en virtud de un convenio internacional.</w:t>
      </w:r>
    </w:p>
    <w:p w14:paraId="71DDDB9E" w14:textId="77777777" w:rsidR="00EF7361" w:rsidRPr="002D73A0" w:rsidRDefault="00EF7361" w:rsidP="00C42FA9">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Style w:val="longtext"/>
          <w:rFonts w:ascii="Times New Roman" w:hAnsi="Times New Roman"/>
        </w:rPr>
      </w:pPr>
      <w:r w:rsidRPr="0023174F">
        <w:rPr>
          <w:rStyle w:val="longtext"/>
          <w:i/>
          <w:shd w:val="clear" w:color="auto" w:fill="FFFFFF"/>
        </w:rPr>
        <w:t xml:space="preserve">Stocks </w:t>
      </w:r>
      <w:r>
        <w:rPr>
          <w:rStyle w:val="longtext"/>
          <w:shd w:val="clear" w:color="auto" w:fill="FFFFFF"/>
        </w:rPr>
        <w:t>administrados en forma rotativa o mejorada.</w:t>
      </w:r>
    </w:p>
    <w:p w14:paraId="673F1DA7" w14:textId="77777777" w:rsidR="00EF7361" w:rsidRPr="002D73A0" w:rsidRDefault="00EF7361" w:rsidP="00C42FA9">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lang w:val="en-US"/>
        </w:rPr>
      </w:pPr>
      <w:r w:rsidRPr="0023174F">
        <w:rPr>
          <w:rStyle w:val="longtext"/>
          <w:i/>
          <w:lang w:val="en-US"/>
        </w:rPr>
        <w:t>Stocks</w:t>
      </w:r>
      <w:r w:rsidRPr="002D73A0">
        <w:rPr>
          <w:rStyle w:val="longtext"/>
          <w:lang w:val="en-US"/>
        </w:rPr>
        <w:t xml:space="preserve"> </w:t>
      </w:r>
      <w:r w:rsidRPr="002D73A0">
        <w:rPr>
          <w:rStyle w:val="longtext"/>
          <w:shd w:val="clear" w:color="auto" w:fill="FFFFFF"/>
        </w:rPr>
        <w:t>altamente</w:t>
      </w:r>
      <w:r w:rsidRPr="002D73A0">
        <w:rPr>
          <w:rStyle w:val="longtext"/>
          <w:lang w:val="en-US"/>
        </w:rPr>
        <w:t xml:space="preserve"> </w:t>
      </w:r>
      <w:proofErr w:type="spellStart"/>
      <w:r w:rsidRPr="002D73A0">
        <w:rPr>
          <w:rStyle w:val="longtext"/>
          <w:lang w:val="en-US"/>
        </w:rPr>
        <w:t>migratorios</w:t>
      </w:r>
      <w:proofErr w:type="spellEnd"/>
      <w:r w:rsidRPr="002D73A0">
        <w:rPr>
          <w:rStyle w:val="longtext"/>
          <w:lang w:val="en-US"/>
        </w:rPr>
        <w:t>.</w:t>
      </w:r>
      <w:r w:rsidRPr="002D73A0">
        <w:rPr>
          <w:rFonts w:ascii="Times New Roman" w:hAnsi="Times New Roman"/>
          <w:lang w:val="en-US"/>
        </w:rPr>
        <w:t xml:space="preserve"> </w:t>
      </w:r>
    </w:p>
    <w:p w14:paraId="7B61872D" w14:textId="77777777" w:rsidR="00EF7361" w:rsidRDefault="00EF7361" w:rsidP="002C73A2">
      <w:pPr>
        <w:spacing w:after="0"/>
      </w:pPr>
    </w:p>
    <w:p w14:paraId="678BBEAF" w14:textId="77777777" w:rsidR="00EF7361" w:rsidRDefault="00EF7361" w:rsidP="002C73A2">
      <w:pPr>
        <w:spacing w:after="0"/>
      </w:pPr>
      <w:r>
        <w:t xml:space="preserve">El </w:t>
      </w:r>
      <w:proofErr w:type="gramStart"/>
      <w:r>
        <w:t>Ministro</w:t>
      </w:r>
      <w:proofErr w:type="gramEnd"/>
      <w:r>
        <w:t xml:space="preserve"> también puede considerar alternativas al </w:t>
      </w:r>
      <w:r>
        <w:rPr>
          <w:rStyle w:val="longtext"/>
          <w:shd w:val="clear" w:color="auto" w:fill="FFFFFF"/>
        </w:rPr>
        <w:t>Rendimiento Máximo Sostenible</w:t>
      </w:r>
      <w:r>
        <w:t xml:space="preserve"> a través de propuestas entregadas por los propietarios de cuotas en relación al </w:t>
      </w:r>
      <w:r w:rsidRPr="0023174F">
        <w:rPr>
          <w:i/>
        </w:rPr>
        <w:t xml:space="preserve">stock </w:t>
      </w:r>
      <w:r>
        <w:t xml:space="preserve">respectivo. Esas propuestas están sujetas a condiciones estrictas, incluyendo, entre otras cosas, representación, investigación e información. Las propuestas deberán referirse a </w:t>
      </w:r>
      <w:r w:rsidRPr="0023174F">
        <w:rPr>
          <w:i/>
        </w:rPr>
        <w:t>stocks</w:t>
      </w:r>
      <w:r>
        <w:t xml:space="preserve"> que constituyen captura incidental respecto de la captura de otra especie, y a la mantención de la población de que se trate por encima del nivel, de manera de garantizar su viabilidad a largo plazo</w:t>
      </w:r>
      <w:r>
        <w:rPr>
          <w:rStyle w:val="Refdenotaalpie"/>
        </w:rPr>
        <w:footnoteReference w:id="13"/>
      </w:r>
      <w:r>
        <w:t xml:space="preserve">. </w:t>
      </w:r>
    </w:p>
    <w:p w14:paraId="0CE3D317" w14:textId="77777777" w:rsidR="00B84D58" w:rsidRDefault="00B84D58" w:rsidP="002C73A2">
      <w:pPr>
        <w:spacing w:after="0"/>
      </w:pPr>
    </w:p>
    <w:p w14:paraId="771F2ACB" w14:textId="77777777" w:rsidR="00EF7361" w:rsidRDefault="00EF7361" w:rsidP="002C73A2">
      <w:pPr>
        <w:spacing w:after="0"/>
        <w:rPr>
          <w:szCs w:val="20"/>
        </w:rPr>
      </w:pPr>
      <w:r>
        <w:t xml:space="preserve">Otras medidas de sustentabilidad incluyen controles para evitar o mitigar la captura incidental de especies </w:t>
      </w:r>
      <w:proofErr w:type="gramStart"/>
      <w:r>
        <w:t>protegidas</w:t>
      </w:r>
      <w:proofErr w:type="gramEnd"/>
      <w:r>
        <w:t xml:space="preserve"> así como medidas técnicas, tales como cierres de </w:t>
      </w:r>
      <w:r w:rsidRPr="009C07D4">
        <w:rPr>
          <w:szCs w:val="20"/>
        </w:rPr>
        <w:t>áreas y restricciones de equipos</w:t>
      </w:r>
      <w:r w:rsidRPr="009C07D4">
        <w:rPr>
          <w:rStyle w:val="Refdenotaalpie"/>
          <w:szCs w:val="20"/>
        </w:rPr>
        <w:footnoteReference w:id="14"/>
      </w:r>
      <w:r w:rsidRPr="009C07D4">
        <w:rPr>
          <w:szCs w:val="20"/>
        </w:rPr>
        <w:t>.</w:t>
      </w:r>
    </w:p>
    <w:p w14:paraId="1B25DD05" w14:textId="77777777" w:rsidR="00B84D58" w:rsidRPr="009C07D4" w:rsidRDefault="00B84D58" w:rsidP="002C73A2">
      <w:pPr>
        <w:spacing w:after="0"/>
        <w:rPr>
          <w:szCs w:val="20"/>
        </w:rPr>
      </w:pPr>
    </w:p>
    <w:p w14:paraId="01B9AB2E" w14:textId="77777777" w:rsidR="00EF7361" w:rsidRDefault="00EF7361" w:rsidP="002C73A2">
      <w:pPr>
        <w:autoSpaceDE w:val="0"/>
        <w:autoSpaceDN w:val="0"/>
        <w:adjustRightInd w:val="0"/>
        <w:spacing w:after="0"/>
        <w:rPr>
          <w:rFonts w:cs="TimesNewRoman"/>
          <w:color w:val="000000"/>
          <w:szCs w:val="20"/>
        </w:rPr>
      </w:pPr>
      <w:r w:rsidRPr="009C07D4">
        <w:rPr>
          <w:rStyle w:val="longtext"/>
          <w:szCs w:val="20"/>
          <w:shd w:val="clear" w:color="auto" w:fill="FFFFFF"/>
        </w:rPr>
        <w:t xml:space="preserve">Cuando el </w:t>
      </w:r>
      <w:r w:rsidRPr="009C07D4">
        <w:rPr>
          <w:rFonts w:cs="TimesNewRoman"/>
          <w:color w:val="000000"/>
          <w:szCs w:val="20"/>
          <w:lang w:val="es-CL"/>
        </w:rPr>
        <w:t>QMS</w:t>
      </w:r>
      <w:r w:rsidRPr="009C07D4">
        <w:rPr>
          <w:rStyle w:val="longtext"/>
          <w:szCs w:val="20"/>
          <w:shd w:val="clear" w:color="auto" w:fill="FFFFFF"/>
        </w:rPr>
        <w:t xml:space="preserve"> fue introducido en el año 1986, la cuota se definía como el derecho a obtener un tonelaje fijo de una determinada especie en el sistema de gestión de cuota (QMS) de un año determinado. Pero, ante el riesgo de colapso de ciertas especies, este sistema fue modificado. </w:t>
      </w:r>
      <w:r w:rsidRPr="009C07D4">
        <w:rPr>
          <w:rFonts w:cs="TimesNewRoman"/>
          <w:color w:val="000000"/>
          <w:szCs w:val="20"/>
        </w:rPr>
        <w:t xml:space="preserve">Bajo la </w:t>
      </w:r>
      <w:r>
        <w:rPr>
          <w:rFonts w:cs="TimesNewRoman"/>
          <w:color w:val="000000"/>
          <w:szCs w:val="20"/>
        </w:rPr>
        <w:t>e</w:t>
      </w:r>
      <w:r w:rsidRPr="009C07D4">
        <w:rPr>
          <w:rFonts w:cs="TimesNewRoman"/>
          <w:color w:val="000000"/>
          <w:szCs w:val="20"/>
        </w:rPr>
        <w:t xml:space="preserve">nmienda a </w:t>
      </w:r>
      <w:smartTag w:uri="urn:schemas-microsoft-com:office:smarttags" w:element="PersonName">
        <w:smartTagPr>
          <w:attr w:name="ProductID" w:val="La Ley"/>
        </w:smartTagPr>
        <w:r w:rsidRPr="009C07D4">
          <w:rPr>
            <w:rFonts w:cs="TimesNewRoman"/>
            <w:color w:val="000000"/>
            <w:szCs w:val="20"/>
          </w:rPr>
          <w:t>la Ley</w:t>
        </w:r>
      </w:smartTag>
      <w:r w:rsidRPr="009C07D4">
        <w:rPr>
          <w:rFonts w:cs="TimesNewRoman"/>
          <w:color w:val="000000"/>
          <w:szCs w:val="20"/>
        </w:rPr>
        <w:t xml:space="preserve"> de Pesca del año 1990</w:t>
      </w:r>
      <w:r w:rsidRPr="009C07D4">
        <w:rPr>
          <w:szCs w:val="20"/>
        </w:rPr>
        <w:t xml:space="preserve"> (</w:t>
      </w:r>
      <w:proofErr w:type="spellStart"/>
      <w:r w:rsidRPr="009C07D4">
        <w:rPr>
          <w:rFonts w:cs="TimesNewRoman"/>
          <w:i/>
          <w:color w:val="000000"/>
          <w:szCs w:val="20"/>
        </w:rPr>
        <w:t>Fisheries</w:t>
      </w:r>
      <w:proofErr w:type="spellEnd"/>
      <w:r w:rsidRPr="009C07D4">
        <w:rPr>
          <w:rFonts w:cs="TimesNewRoman"/>
          <w:i/>
          <w:color w:val="000000"/>
          <w:szCs w:val="20"/>
        </w:rPr>
        <w:t xml:space="preserve"> </w:t>
      </w:r>
      <w:proofErr w:type="spellStart"/>
      <w:r w:rsidRPr="009C07D4">
        <w:rPr>
          <w:rFonts w:cs="TimesNewRoman"/>
          <w:i/>
          <w:color w:val="000000"/>
          <w:szCs w:val="20"/>
        </w:rPr>
        <w:t>Amendment</w:t>
      </w:r>
      <w:proofErr w:type="spellEnd"/>
      <w:r w:rsidRPr="009C07D4">
        <w:rPr>
          <w:rFonts w:cs="TimesNewRoman"/>
          <w:i/>
          <w:color w:val="000000"/>
          <w:szCs w:val="20"/>
        </w:rPr>
        <w:t xml:space="preserve"> </w:t>
      </w:r>
      <w:proofErr w:type="spellStart"/>
      <w:r w:rsidRPr="009C07D4">
        <w:rPr>
          <w:rFonts w:cs="TimesNewRoman"/>
          <w:i/>
          <w:color w:val="000000"/>
          <w:szCs w:val="20"/>
        </w:rPr>
        <w:t>Act</w:t>
      </w:r>
      <w:proofErr w:type="spellEnd"/>
      <w:r w:rsidRPr="009C07D4">
        <w:rPr>
          <w:rFonts w:cs="TimesNewRoman"/>
          <w:i/>
          <w:color w:val="000000"/>
          <w:szCs w:val="20"/>
        </w:rPr>
        <w:t xml:space="preserve"> 1990</w:t>
      </w:r>
      <w:r w:rsidRPr="009C07D4">
        <w:rPr>
          <w:rFonts w:cs="TimesNewRoman"/>
          <w:color w:val="000000"/>
          <w:szCs w:val="20"/>
        </w:rPr>
        <w:t xml:space="preserve">), los propietarios de una cuota pasaron a tener derecho, no a capturar un tonelaje fijo de pescado, sino a una parte de </w:t>
      </w:r>
      <w:smartTag w:uri="urn:schemas-microsoft-com:office:smarttags" w:element="PersonName">
        <w:smartTagPr>
          <w:attr w:name="ProductID" w:val="la Captura Total"/>
        </w:smartTagPr>
        <w:smartTag w:uri="urn:schemas-microsoft-com:office:smarttags" w:element="PersonName">
          <w:smartTagPr>
            <w:attr w:name="ProductID" w:val="la Captura"/>
          </w:smartTagPr>
          <w:r w:rsidRPr="009C07D4">
            <w:rPr>
              <w:rFonts w:cs="TimesNewRoman"/>
              <w:color w:val="000000"/>
              <w:szCs w:val="20"/>
            </w:rPr>
            <w:t>l</w:t>
          </w:r>
          <w:r>
            <w:rPr>
              <w:rFonts w:cs="TimesNewRoman"/>
              <w:color w:val="000000"/>
              <w:szCs w:val="20"/>
            </w:rPr>
            <w:t>a Captura</w:t>
          </w:r>
        </w:smartTag>
        <w:r>
          <w:rPr>
            <w:rFonts w:cs="TimesNewRoman"/>
            <w:color w:val="000000"/>
            <w:szCs w:val="20"/>
          </w:rPr>
          <w:t xml:space="preserve"> Total</w:t>
        </w:r>
      </w:smartTag>
      <w:r>
        <w:rPr>
          <w:rFonts w:cs="TimesNewRoman"/>
          <w:color w:val="000000"/>
          <w:szCs w:val="20"/>
        </w:rPr>
        <w:t xml:space="preserve"> Permisible</w:t>
      </w:r>
      <w:r>
        <w:rPr>
          <w:rStyle w:val="Refdenotaalpie"/>
          <w:rFonts w:cs="TimesNewRoman"/>
          <w:color w:val="000000"/>
          <w:szCs w:val="20"/>
        </w:rPr>
        <w:footnoteReference w:id="15"/>
      </w:r>
      <w:r w:rsidRPr="00946582">
        <w:rPr>
          <w:rFonts w:cs="TimesNewRoman"/>
          <w:color w:val="000000"/>
          <w:szCs w:val="20"/>
        </w:rPr>
        <w:t xml:space="preserve">. </w:t>
      </w:r>
    </w:p>
    <w:p w14:paraId="059919C2" w14:textId="77777777" w:rsidR="0011098D" w:rsidRDefault="0011098D" w:rsidP="002C73A2">
      <w:pPr>
        <w:autoSpaceDE w:val="0"/>
        <w:autoSpaceDN w:val="0"/>
        <w:adjustRightInd w:val="0"/>
        <w:spacing w:after="0"/>
        <w:rPr>
          <w:rFonts w:cs="TimesNewRoman"/>
          <w:color w:val="000000"/>
          <w:szCs w:val="20"/>
        </w:rPr>
      </w:pPr>
    </w:p>
    <w:p w14:paraId="4AE8B9E2" w14:textId="77777777" w:rsidR="00EF7361" w:rsidRDefault="00EF7361" w:rsidP="00EF7361">
      <w:pPr>
        <w:autoSpaceDE w:val="0"/>
        <w:autoSpaceDN w:val="0"/>
        <w:adjustRightInd w:val="0"/>
        <w:rPr>
          <w:rStyle w:val="longtext"/>
          <w:szCs w:val="20"/>
          <w:shd w:val="clear" w:color="auto" w:fill="FFFFFF"/>
        </w:rPr>
      </w:pPr>
      <w:r w:rsidRPr="00946582">
        <w:rPr>
          <w:rStyle w:val="longtext"/>
          <w:szCs w:val="20"/>
          <w:shd w:val="clear" w:color="auto" w:fill="FFFFFF"/>
          <w:lang w:val="es-CL"/>
        </w:rPr>
        <w:t xml:space="preserve">En </w:t>
      </w:r>
      <w:r>
        <w:rPr>
          <w:rStyle w:val="longtext"/>
          <w:szCs w:val="20"/>
          <w:shd w:val="clear" w:color="auto" w:fill="FFFFFF"/>
        </w:rPr>
        <w:t>el 2001 sufrió una nueva modificación al introducirse los</w:t>
      </w:r>
      <w:r w:rsidRPr="00946582">
        <w:rPr>
          <w:rStyle w:val="longtext"/>
          <w:szCs w:val="20"/>
          <w:shd w:val="clear" w:color="auto" w:fill="FFFFFF"/>
          <w:lang w:val="es-CL"/>
        </w:rPr>
        <w:t xml:space="preserve"> derechos de captura anual </w:t>
      </w:r>
      <w:r w:rsidRPr="00AF49B5">
        <w:rPr>
          <w:rStyle w:val="longtext"/>
          <w:szCs w:val="20"/>
          <w:shd w:val="clear" w:color="auto" w:fill="FFFFFF"/>
          <w:lang w:val="es-CL"/>
        </w:rPr>
        <w:t>(</w:t>
      </w:r>
      <w:proofErr w:type="spellStart"/>
      <w:r w:rsidRPr="00AF49B5">
        <w:rPr>
          <w:rFonts w:cs="TimesNewRoman"/>
          <w:i/>
          <w:color w:val="000000"/>
          <w:szCs w:val="20"/>
          <w:lang w:val="es-CL"/>
        </w:rPr>
        <w:t>Annual</w:t>
      </w:r>
      <w:proofErr w:type="spellEnd"/>
      <w:r w:rsidRPr="00AF49B5">
        <w:rPr>
          <w:rFonts w:cs="TimesNewRoman"/>
          <w:i/>
          <w:color w:val="000000"/>
          <w:szCs w:val="20"/>
          <w:lang w:val="es-CL"/>
        </w:rPr>
        <w:t xml:space="preserve"> Catch </w:t>
      </w:r>
      <w:proofErr w:type="spellStart"/>
      <w:r w:rsidRPr="00AF49B5">
        <w:rPr>
          <w:rFonts w:cs="TimesNewRoman"/>
          <w:i/>
          <w:color w:val="000000"/>
          <w:szCs w:val="20"/>
          <w:lang w:val="es-CL"/>
        </w:rPr>
        <w:t>Entitlements</w:t>
      </w:r>
      <w:proofErr w:type="spellEnd"/>
      <w:r w:rsidRPr="00AF49B5">
        <w:rPr>
          <w:rFonts w:cs="TimesNewRoman"/>
          <w:i/>
          <w:color w:val="000000"/>
          <w:szCs w:val="20"/>
          <w:lang w:val="es-CL"/>
        </w:rPr>
        <w:t xml:space="preserve"> - </w:t>
      </w:r>
      <w:r w:rsidRPr="00AF49B5">
        <w:rPr>
          <w:rStyle w:val="longtext"/>
          <w:i/>
          <w:szCs w:val="20"/>
          <w:shd w:val="clear" w:color="auto" w:fill="FFFFFF"/>
          <w:lang w:val="es-CL"/>
        </w:rPr>
        <w:t>ACE</w:t>
      </w:r>
      <w:r w:rsidRPr="00AF49B5">
        <w:rPr>
          <w:rStyle w:val="longtext"/>
          <w:szCs w:val="20"/>
          <w:shd w:val="clear" w:color="auto" w:fill="FFFFFF"/>
          <w:lang w:val="es-CL"/>
        </w:rPr>
        <w:t>), que se asignan a los titulares de cuotas basado en la</w:t>
      </w:r>
      <w:r w:rsidRPr="00946582">
        <w:rPr>
          <w:rStyle w:val="longtext"/>
          <w:szCs w:val="20"/>
          <w:shd w:val="clear" w:color="auto" w:fill="FFFFFF"/>
          <w:lang w:val="es-CL"/>
        </w:rPr>
        <w:t xml:space="preserve"> proporción de la cuota total que poseen (expresado en</w:t>
      </w:r>
      <w:r>
        <w:rPr>
          <w:rStyle w:val="longtext"/>
          <w:szCs w:val="20"/>
          <w:shd w:val="clear" w:color="auto" w:fill="FFFFFF"/>
        </w:rPr>
        <w:t xml:space="preserve"> porciones de cuota</w:t>
      </w:r>
      <w:r w:rsidRPr="00946582">
        <w:rPr>
          <w:rStyle w:val="longtext"/>
          <w:szCs w:val="20"/>
          <w:shd w:val="clear" w:color="auto" w:fill="FFFFFF"/>
          <w:lang w:val="es-CL"/>
        </w:rPr>
        <w:t xml:space="preserve">) y </w:t>
      </w:r>
      <w:r>
        <w:rPr>
          <w:rStyle w:val="longtext"/>
          <w:szCs w:val="20"/>
          <w:shd w:val="clear" w:color="auto" w:fill="FFFFFF"/>
        </w:rPr>
        <w:t xml:space="preserve">en el </w:t>
      </w:r>
      <w:r>
        <w:rPr>
          <w:rFonts w:cs="TimesNewRoman"/>
          <w:color w:val="000000"/>
          <w:szCs w:val="20"/>
        </w:rPr>
        <w:t>Captura Total Permisible</w:t>
      </w:r>
      <w:r w:rsidRPr="00946582">
        <w:rPr>
          <w:rStyle w:val="longtext"/>
          <w:szCs w:val="20"/>
          <w:shd w:val="clear" w:color="auto" w:fill="FFFFFF"/>
          <w:lang w:val="es-CL"/>
        </w:rPr>
        <w:t xml:space="preserve">. Una vez que </w:t>
      </w:r>
      <w:r>
        <w:rPr>
          <w:rStyle w:val="longtext"/>
          <w:szCs w:val="20"/>
          <w:shd w:val="clear" w:color="auto" w:fill="FFFFFF"/>
        </w:rPr>
        <w:t xml:space="preserve">se establece </w:t>
      </w:r>
      <w:r w:rsidRPr="00946582">
        <w:rPr>
          <w:rStyle w:val="longtext"/>
          <w:szCs w:val="20"/>
          <w:shd w:val="clear" w:color="auto" w:fill="FFFFFF"/>
          <w:lang w:val="es-CL"/>
        </w:rPr>
        <w:t>el TAC para un año determinado</w:t>
      </w:r>
      <w:r>
        <w:rPr>
          <w:rStyle w:val="longtext"/>
          <w:szCs w:val="20"/>
          <w:shd w:val="clear" w:color="auto" w:fill="FFFFFF"/>
        </w:rPr>
        <w:t>,</w:t>
      </w:r>
      <w:r w:rsidRPr="00946582">
        <w:rPr>
          <w:rStyle w:val="longtext"/>
          <w:szCs w:val="20"/>
          <w:shd w:val="clear" w:color="auto" w:fill="FFFFFF"/>
          <w:lang w:val="es-CL"/>
        </w:rPr>
        <w:t xml:space="preserve"> </w:t>
      </w:r>
      <w:r>
        <w:rPr>
          <w:rStyle w:val="longtext"/>
          <w:szCs w:val="20"/>
          <w:shd w:val="clear" w:color="auto" w:fill="FFFFFF"/>
        </w:rPr>
        <w:t xml:space="preserve">se </w:t>
      </w:r>
      <w:r w:rsidRPr="00946582">
        <w:rPr>
          <w:rStyle w:val="longtext"/>
          <w:szCs w:val="20"/>
          <w:shd w:val="clear" w:color="auto" w:fill="FFFFFF"/>
          <w:lang w:val="es-CL"/>
        </w:rPr>
        <w:t xml:space="preserve">calcula el </w:t>
      </w:r>
      <w:proofErr w:type="spellStart"/>
      <w:r w:rsidRPr="00946582">
        <w:rPr>
          <w:rStyle w:val="longtext"/>
          <w:szCs w:val="20"/>
          <w:shd w:val="clear" w:color="auto" w:fill="FFFFFF"/>
          <w:lang w:val="es-CL"/>
        </w:rPr>
        <w:t>equ</w:t>
      </w:r>
      <w:r>
        <w:rPr>
          <w:rStyle w:val="longtext"/>
          <w:szCs w:val="20"/>
          <w:shd w:val="clear" w:color="auto" w:fill="FFFFFF"/>
        </w:rPr>
        <w:t>ivalente</w:t>
      </w:r>
      <w:proofErr w:type="spellEnd"/>
      <w:r>
        <w:rPr>
          <w:rStyle w:val="longtext"/>
          <w:szCs w:val="20"/>
          <w:shd w:val="clear" w:color="auto" w:fill="FFFFFF"/>
        </w:rPr>
        <w:t xml:space="preserve"> en kilogramos de cada porción de cuota </w:t>
      </w:r>
      <w:r w:rsidRPr="00946582">
        <w:rPr>
          <w:rStyle w:val="longtext"/>
          <w:szCs w:val="20"/>
          <w:shd w:val="clear" w:color="auto" w:fill="FFFFFF"/>
          <w:lang w:val="es-CL"/>
        </w:rPr>
        <w:t xml:space="preserve">y </w:t>
      </w:r>
      <w:r>
        <w:rPr>
          <w:rStyle w:val="longtext"/>
          <w:szCs w:val="20"/>
          <w:shd w:val="clear" w:color="auto" w:fill="FFFFFF"/>
        </w:rPr>
        <w:t xml:space="preserve">se </w:t>
      </w:r>
      <w:proofErr w:type="spellStart"/>
      <w:r w:rsidRPr="00946582">
        <w:rPr>
          <w:rStyle w:val="longtext"/>
          <w:szCs w:val="20"/>
          <w:shd w:val="clear" w:color="auto" w:fill="FFFFFF"/>
          <w:lang w:val="es-CL"/>
        </w:rPr>
        <w:t>transf</w:t>
      </w:r>
      <w:r>
        <w:rPr>
          <w:rStyle w:val="longtext"/>
          <w:szCs w:val="20"/>
          <w:shd w:val="clear" w:color="auto" w:fill="FFFFFF"/>
        </w:rPr>
        <w:t>iere</w:t>
      </w:r>
      <w:proofErr w:type="spellEnd"/>
      <w:r>
        <w:rPr>
          <w:rStyle w:val="longtext"/>
          <w:szCs w:val="20"/>
          <w:shd w:val="clear" w:color="auto" w:fill="FFFFFF"/>
        </w:rPr>
        <w:t xml:space="preserve"> </w:t>
      </w:r>
      <w:r w:rsidRPr="00946582">
        <w:rPr>
          <w:rStyle w:val="longtext"/>
          <w:szCs w:val="20"/>
          <w:shd w:val="clear" w:color="auto" w:fill="FFFFFF"/>
          <w:lang w:val="es-CL"/>
        </w:rPr>
        <w:t>al propietario</w:t>
      </w:r>
      <w:r>
        <w:rPr>
          <w:rStyle w:val="longtext"/>
          <w:szCs w:val="20"/>
          <w:shd w:val="clear" w:color="auto" w:fill="FFFFFF"/>
        </w:rPr>
        <w:t xml:space="preserve">, el primer día del año pesquero, como “Derechos Anuales de Captura”. </w:t>
      </w:r>
      <w:r w:rsidRPr="00946582">
        <w:rPr>
          <w:rStyle w:val="longtext"/>
          <w:szCs w:val="20"/>
          <w:shd w:val="clear" w:color="auto" w:fill="FFFFFF"/>
          <w:lang w:val="es-CL"/>
        </w:rPr>
        <w:t xml:space="preserve">Esto determina el tonelaje de pescado que el propietario de cuotas </w:t>
      </w:r>
      <w:r>
        <w:rPr>
          <w:rStyle w:val="longtext"/>
          <w:szCs w:val="20"/>
          <w:shd w:val="clear" w:color="auto" w:fill="FFFFFF"/>
        </w:rPr>
        <w:t xml:space="preserve">puede </w:t>
      </w:r>
      <w:r w:rsidRPr="00946582">
        <w:rPr>
          <w:rStyle w:val="longtext"/>
          <w:szCs w:val="20"/>
          <w:shd w:val="clear" w:color="auto" w:fill="FFFFFF"/>
          <w:lang w:val="es-CL"/>
        </w:rPr>
        <w:t>captura</w:t>
      </w:r>
      <w:r>
        <w:rPr>
          <w:rStyle w:val="longtext"/>
          <w:szCs w:val="20"/>
          <w:shd w:val="clear" w:color="auto" w:fill="FFFFFF"/>
        </w:rPr>
        <w:t>r ese año</w:t>
      </w:r>
      <w:r>
        <w:rPr>
          <w:rStyle w:val="Refdenotaalpie"/>
          <w:rFonts w:cs="TimesNewRoman"/>
          <w:color w:val="000000"/>
          <w:szCs w:val="20"/>
        </w:rPr>
        <w:footnoteReference w:id="16"/>
      </w:r>
      <w:r>
        <w:rPr>
          <w:rStyle w:val="longtext"/>
          <w:szCs w:val="20"/>
          <w:shd w:val="clear" w:color="auto" w:fill="FFFFFF"/>
        </w:rPr>
        <w:t xml:space="preserve">. </w:t>
      </w:r>
    </w:p>
    <w:p w14:paraId="5D2FF974" w14:textId="77777777" w:rsidR="00EF7361" w:rsidRPr="00471D96" w:rsidRDefault="00EF7361" w:rsidP="00EF7361">
      <w:pPr>
        <w:autoSpaceDE w:val="0"/>
        <w:autoSpaceDN w:val="0"/>
        <w:adjustRightInd w:val="0"/>
        <w:rPr>
          <w:rStyle w:val="longtext"/>
          <w:szCs w:val="20"/>
          <w:shd w:val="clear" w:color="auto" w:fill="FFFFFF"/>
        </w:rPr>
      </w:pPr>
      <w:r>
        <w:rPr>
          <w:rStyle w:val="longtext"/>
          <w:szCs w:val="20"/>
          <w:shd w:val="clear" w:color="auto" w:fill="FFFFFF"/>
        </w:rPr>
        <w:t>Sin embargo, debido a que los Derechos Anuales de Captura fueron introducidos en l</w:t>
      </w:r>
      <w:r w:rsidRPr="00946582">
        <w:rPr>
          <w:rStyle w:val="longtext"/>
          <w:szCs w:val="20"/>
          <w:shd w:val="clear" w:color="auto" w:fill="FFFFFF"/>
          <w:lang w:val="es-CL"/>
        </w:rPr>
        <w:t>a Ley de Pesca</w:t>
      </w:r>
      <w:r>
        <w:rPr>
          <w:rStyle w:val="longtext"/>
          <w:szCs w:val="20"/>
          <w:shd w:val="clear" w:color="auto" w:fill="FFFFFF"/>
        </w:rPr>
        <w:t xml:space="preserve"> del año </w:t>
      </w:r>
      <w:r w:rsidRPr="00946582">
        <w:rPr>
          <w:rStyle w:val="longtext"/>
          <w:szCs w:val="20"/>
          <w:shd w:val="clear" w:color="auto" w:fill="FFFFFF"/>
          <w:lang w:val="es-CL"/>
        </w:rPr>
        <w:t>1996</w:t>
      </w:r>
      <w:r>
        <w:rPr>
          <w:rStyle w:val="longtext"/>
          <w:szCs w:val="20"/>
          <w:shd w:val="clear" w:color="auto" w:fill="FFFFFF"/>
        </w:rPr>
        <w:t>,</w:t>
      </w:r>
      <w:r w:rsidRPr="00946582">
        <w:rPr>
          <w:rStyle w:val="longtext"/>
          <w:szCs w:val="20"/>
          <w:shd w:val="clear" w:color="auto" w:fill="FFFFFF"/>
          <w:lang w:val="es-CL"/>
        </w:rPr>
        <w:t xml:space="preserve"> limitaciones técnicas imp</w:t>
      </w:r>
      <w:proofErr w:type="spellStart"/>
      <w:r>
        <w:rPr>
          <w:rStyle w:val="longtext"/>
          <w:szCs w:val="20"/>
          <w:shd w:val="clear" w:color="auto" w:fill="FFFFFF"/>
        </w:rPr>
        <w:t>idieron</w:t>
      </w:r>
      <w:proofErr w:type="spellEnd"/>
      <w:r>
        <w:rPr>
          <w:rStyle w:val="longtext"/>
          <w:szCs w:val="20"/>
          <w:shd w:val="clear" w:color="auto" w:fill="FFFFFF"/>
        </w:rPr>
        <w:t xml:space="preserve"> </w:t>
      </w:r>
      <w:r w:rsidRPr="00946582">
        <w:rPr>
          <w:rStyle w:val="longtext"/>
          <w:szCs w:val="20"/>
          <w:shd w:val="clear" w:color="auto" w:fill="FFFFFF"/>
          <w:lang w:val="es-CL"/>
        </w:rPr>
        <w:t xml:space="preserve">su aplicación por cinco años. En 2001, se creó </w:t>
      </w:r>
      <w:r>
        <w:rPr>
          <w:rStyle w:val="longtext"/>
          <w:szCs w:val="20"/>
          <w:shd w:val="clear" w:color="auto" w:fill="FFFFFF"/>
          <w:lang w:val="es-CL"/>
        </w:rPr>
        <w:t xml:space="preserve">el </w:t>
      </w:r>
      <w:proofErr w:type="spellStart"/>
      <w:r w:rsidRPr="00AF49B5">
        <w:rPr>
          <w:rStyle w:val="longtext"/>
          <w:i/>
          <w:szCs w:val="20"/>
          <w:shd w:val="clear" w:color="auto" w:fill="FFFFFF"/>
          <w:lang w:val="es-CL"/>
        </w:rPr>
        <w:t>FishServe</w:t>
      </w:r>
      <w:proofErr w:type="spellEnd"/>
      <w:r w:rsidRPr="00BA51F7">
        <w:rPr>
          <w:rStyle w:val="Refdenotaalpie"/>
          <w:szCs w:val="20"/>
          <w:shd w:val="clear" w:color="auto" w:fill="FFFFFF"/>
        </w:rPr>
        <w:footnoteReference w:id="17"/>
      </w:r>
      <w:r>
        <w:rPr>
          <w:rStyle w:val="longtext"/>
          <w:szCs w:val="20"/>
          <w:shd w:val="clear" w:color="auto" w:fill="FFFFFF"/>
        </w:rPr>
        <w:t xml:space="preserve"> para </w:t>
      </w:r>
      <w:r w:rsidRPr="00946582">
        <w:rPr>
          <w:rStyle w:val="longtext"/>
          <w:szCs w:val="20"/>
          <w:shd w:val="clear" w:color="auto" w:fill="FFFFFF"/>
          <w:lang w:val="es-CL"/>
        </w:rPr>
        <w:t>administra</w:t>
      </w:r>
      <w:r>
        <w:rPr>
          <w:rStyle w:val="longtext"/>
          <w:szCs w:val="20"/>
          <w:shd w:val="clear" w:color="auto" w:fill="FFFFFF"/>
        </w:rPr>
        <w:t>r</w:t>
      </w:r>
      <w:r w:rsidRPr="00946582">
        <w:rPr>
          <w:rStyle w:val="longtext"/>
          <w:szCs w:val="20"/>
          <w:shd w:val="clear" w:color="auto" w:fill="FFFFFF"/>
          <w:lang w:val="es-CL"/>
        </w:rPr>
        <w:t xml:space="preserve"> y proporciona</w:t>
      </w:r>
      <w:r>
        <w:rPr>
          <w:rStyle w:val="longtext"/>
          <w:szCs w:val="20"/>
          <w:shd w:val="clear" w:color="auto" w:fill="FFFFFF"/>
        </w:rPr>
        <w:t>r</w:t>
      </w:r>
      <w:r w:rsidRPr="00946582">
        <w:rPr>
          <w:rStyle w:val="longtext"/>
          <w:szCs w:val="20"/>
          <w:shd w:val="clear" w:color="auto" w:fill="FFFFFF"/>
          <w:lang w:val="es-CL"/>
        </w:rPr>
        <w:t xml:space="preserve"> una gran variedad de servicios </w:t>
      </w:r>
      <w:r>
        <w:rPr>
          <w:rStyle w:val="longtext"/>
          <w:szCs w:val="20"/>
          <w:shd w:val="clear" w:color="auto" w:fill="FFFFFF"/>
        </w:rPr>
        <w:t xml:space="preserve">establecidos en la ley en relación al Sistema de Gestión de Cuotas (librando de estas funciones al Ministerio de Pesca). Aunque </w:t>
      </w:r>
      <w:proofErr w:type="spellStart"/>
      <w:r w:rsidRPr="00BA51F7">
        <w:rPr>
          <w:rStyle w:val="longtext"/>
          <w:i/>
          <w:szCs w:val="20"/>
          <w:shd w:val="clear" w:color="auto" w:fill="FFFFFF"/>
          <w:lang w:val="es-CL"/>
        </w:rPr>
        <w:t>FishServe</w:t>
      </w:r>
      <w:proofErr w:type="spellEnd"/>
      <w:r w:rsidRPr="00946582">
        <w:rPr>
          <w:rStyle w:val="longtext"/>
          <w:szCs w:val="20"/>
          <w:shd w:val="clear" w:color="auto" w:fill="FFFFFF"/>
          <w:lang w:val="es-CL"/>
        </w:rPr>
        <w:t xml:space="preserve"> se creó i</w:t>
      </w:r>
      <w:proofErr w:type="spellStart"/>
      <w:r w:rsidR="000627F2">
        <w:rPr>
          <w:rStyle w:val="longtext"/>
          <w:szCs w:val="20"/>
          <w:shd w:val="clear" w:color="auto" w:fill="FFFFFF"/>
        </w:rPr>
        <w:t>nicialmente</w:t>
      </w:r>
      <w:proofErr w:type="spellEnd"/>
      <w:r>
        <w:rPr>
          <w:rStyle w:val="longtext"/>
          <w:szCs w:val="20"/>
          <w:shd w:val="clear" w:color="auto" w:fill="FFFFFF"/>
        </w:rPr>
        <w:t xml:space="preserve"> para seis años,</w:t>
      </w:r>
      <w:r w:rsidRPr="00946582">
        <w:rPr>
          <w:rStyle w:val="longtext"/>
          <w:szCs w:val="20"/>
          <w:shd w:val="clear" w:color="auto" w:fill="FFFFFF"/>
          <w:lang w:val="es-CL"/>
        </w:rPr>
        <w:t xml:space="preserve"> posteriormente se extendió su </w:t>
      </w:r>
      <w:r>
        <w:rPr>
          <w:rStyle w:val="longtext"/>
          <w:szCs w:val="20"/>
          <w:shd w:val="clear" w:color="auto" w:fill="FFFFFF"/>
          <w:lang w:val="es-CL"/>
        </w:rPr>
        <w:t>servicio</w:t>
      </w:r>
      <w:r>
        <w:rPr>
          <w:rStyle w:val="longtext"/>
          <w:szCs w:val="20"/>
          <w:shd w:val="clear" w:color="auto" w:fill="FFFFFF"/>
        </w:rPr>
        <w:t xml:space="preserve">, lo que refleja </w:t>
      </w:r>
      <w:r w:rsidRPr="00946582">
        <w:rPr>
          <w:rStyle w:val="longtext"/>
          <w:szCs w:val="20"/>
          <w:shd w:val="clear" w:color="auto" w:fill="FFFFFF"/>
          <w:lang w:val="es-CL"/>
        </w:rPr>
        <w:t xml:space="preserve">el beneficio que la externalización de este trabajo ha tenido para la </w:t>
      </w:r>
      <w:r w:rsidR="000627F2" w:rsidRPr="00946582">
        <w:rPr>
          <w:rStyle w:val="longtext"/>
          <w:szCs w:val="20"/>
          <w:shd w:val="clear" w:color="auto" w:fill="FFFFFF"/>
          <w:lang w:val="es-CL"/>
        </w:rPr>
        <w:t>industria</w:t>
      </w:r>
      <w:r>
        <w:rPr>
          <w:rStyle w:val="longtext"/>
          <w:szCs w:val="20"/>
          <w:shd w:val="clear" w:color="auto" w:fill="FFFFFF"/>
        </w:rPr>
        <w:t xml:space="preserve"> y el Ministerio de Pesca</w:t>
      </w:r>
      <w:r>
        <w:rPr>
          <w:rStyle w:val="Refdenotaalpie"/>
          <w:rFonts w:cs="TimesNewRoman"/>
          <w:color w:val="000000"/>
          <w:szCs w:val="20"/>
        </w:rPr>
        <w:footnoteReference w:id="18"/>
      </w:r>
      <w:r>
        <w:rPr>
          <w:rStyle w:val="longtext"/>
          <w:szCs w:val="20"/>
          <w:shd w:val="clear" w:color="auto" w:fill="FFFFFF"/>
        </w:rPr>
        <w:t>.</w:t>
      </w:r>
    </w:p>
    <w:p w14:paraId="1481CCA2" w14:textId="77777777" w:rsidR="00EF7361" w:rsidRDefault="00EF7361" w:rsidP="006B09DE">
      <w:pPr>
        <w:autoSpaceDE w:val="0"/>
        <w:autoSpaceDN w:val="0"/>
        <w:adjustRightInd w:val="0"/>
      </w:pPr>
      <w:r w:rsidRPr="00473C5D">
        <w:rPr>
          <w:bCs/>
          <w:color w:val="000000"/>
          <w:szCs w:val="20"/>
          <w:lang w:val="es-CL"/>
        </w:rPr>
        <w:t>En relación a la asignación de cuota</w:t>
      </w:r>
      <w:r w:rsidRPr="00473C5D">
        <w:rPr>
          <w:bCs/>
          <w:color w:val="000000"/>
          <w:szCs w:val="20"/>
        </w:rPr>
        <w:t xml:space="preserve"> a la población indígena</w:t>
      </w:r>
      <w:r>
        <w:rPr>
          <w:rStyle w:val="Refdenotaalpie"/>
          <w:bCs/>
          <w:color w:val="000000"/>
          <w:szCs w:val="20"/>
        </w:rPr>
        <w:footnoteReference w:id="19"/>
      </w:r>
      <w:r w:rsidRPr="00473C5D">
        <w:rPr>
          <w:bCs/>
          <w:color w:val="000000"/>
          <w:szCs w:val="20"/>
          <w:lang w:val="es-CL"/>
        </w:rPr>
        <w:t xml:space="preserve">, bajo la </w:t>
      </w:r>
      <w:r w:rsidRPr="00473C5D">
        <w:rPr>
          <w:bCs/>
          <w:color w:val="000000"/>
          <w:szCs w:val="20"/>
        </w:rPr>
        <w:t xml:space="preserve">Ley de Pesca de 1996 se estableció </w:t>
      </w:r>
      <w:r w:rsidRPr="00473C5D">
        <w:rPr>
          <w:rFonts w:cs="TimesNewRoman"/>
          <w:color w:val="000000"/>
          <w:szCs w:val="20"/>
        </w:rPr>
        <w:t xml:space="preserve">que el 20% de </w:t>
      </w:r>
      <w:r w:rsidRPr="00473C5D">
        <w:rPr>
          <w:rStyle w:val="longtext"/>
          <w:szCs w:val="20"/>
        </w:rPr>
        <w:t xml:space="preserve">cualquier nueva especie introducida al </w:t>
      </w:r>
      <w:r>
        <w:rPr>
          <w:rStyle w:val="longtext"/>
          <w:szCs w:val="20"/>
          <w:shd w:val="clear" w:color="auto" w:fill="FFFFFF"/>
        </w:rPr>
        <w:t xml:space="preserve">Sistema de Gestión de Cuotas </w:t>
      </w:r>
      <w:r w:rsidRPr="00473C5D">
        <w:rPr>
          <w:rStyle w:val="longtext"/>
          <w:szCs w:val="20"/>
        </w:rPr>
        <w:t xml:space="preserve">debe distribuirse a los maoríes, mientras que el restante será asignado a </w:t>
      </w:r>
      <w:r w:rsidRPr="00473C5D">
        <w:rPr>
          <w:rStyle w:val="shorttext"/>
          <w:szCs w:val="20"/>
        </w:rPr>
        <w:t>los titulares de permiso de pesca en proporción a su captura histórica. Si hubiera algún remanente se asignan por medio de licitaciones públicas</w:t>
      </w:r>
      <w:r>
        <w:rPr>
          <w:rStyle w:val="Refdenotaalpie"/>
          <w:rFonts w:cs="TimesNewRoman"/>
          <w:color w:val="000000"/>
          <w:szCs w:val="20"/>
        </w:rPr>
        <w:footnoteReference w:id="20"/>
      </w:r>
      <w:r w:rsidRPr="00473C5D">
        <w:rPr>
          <w:rStyle w:val="shorttext"/>
          <w:szCs w:val="20"/>
        </w:rPr>
        <w:t xml:space="preserve">. </w:t>
      </w:r>
    </w:p>
    <w:p w14:paraId="52940F22" w14:textId="0EC57185" w:rsidR="00EF7361" w:rsidRPr="002C73A2" w:rsidRDefault="00EF7361" w:rsidP="000073B3">
      <w:pPr>
        <w:pStyle w:val="Ttulo3"/>
        <w:keepLines w:val="0"/>
        <w:numPr>
          <w:ilvl w:val="0"/>
          <w:numId w:val="25"/>
        </w:numPr>
        <w:pBdr>
          <w:top w:val="none" w:sz="0" w:space="0" w:color="auto"/>
          <w:left w:val="none" w:sz="0" w:space="0" w:color="auto"/>
          <w:bottom w:val="none" w:sz="0" w:space="0" w:color="auto"/>
          <w:right w:val="none" w:sz="0" w:space="0" w:color="auto"/>
          <w:between w:val="none" w:sz="0" w:space="0" w:color="auto"/>
        </w:pBdr>
        <w:spacing w:before="120" w:after="120" w:line="360" w:lineRule="auto"/>
        <w:rPr>
          <w:i w:val="0"/>
          <w:sz w:val="22"/>
          <w:szCs w:val="22"/>
        </w:rPr>
      </w:pPr>
      <w:bookmarkStart w:id="8" w:name="_Toc428460689"/>
      <w:bookmarkStart w:id="9" w:name="_Toc431896937"/>
      <w:bookmarkStart w:id="10" w:name="_Toc157529073"/>
      <w:r w:rsidRPr="002C73A2">
        <w:rPr>
          <w:i w:val="0"/>
          <w:sz w:val="22"/>
          <w:szCs w:val="22"/>
        </w:rPr>
        <w:t>La subasta de cuotas</w:t>
      </w:r>
      <w:bookmarkEnd w:id="8"/>
      <w:bookmarkEnd w:id="9"/>
      <w:bookmarkEnd w:id="10"/>
    </w:p>
    <w:p w14:paraId="1515729B" w14:textId="694012EE" w:rsidR="00EF7361" w:rsidRDefault="00EF7361" w:rsidP="00EF7361">
      <w:pPr>
        <w:autoSpaceDE w:val="0"/>
        <w:autoSpaceDN w:val="0"/>
        <w:adjustRightInd w:val="0"/>
        <w:rPr>
          <w:rStyle w:val="longtext"/>
          <w:szCs w:val="20"/>
        </w:rPr>
      </w:pPr>
      <w:r w:rsidRPr="005343CD">
        <w:rPr>
          <w:rStyle w:val="longtext"/>
          <w:szCs w:val="20"/>
        </w:rPr>
        <w:t>Antes de 1996, la mayoría de las cuotas de captura en Nueva Zelanda</w:t>
      </w:r>
      <w:r>
        <w:rPr>
          <w:rStyle w:val="longtext"/>
          <w:szCs w:val="20"/>
        </w:rPr>
        <w:t xml:space="preserve"> </w:t>
      </w:r>
      <w:r w:rsidRPr="005343CD">
        <w:rPr>
          <w:rStyle w:val="longtext"/>
          <w:szCs w:val="20"/>
        </w:rPr>
        <w:t xml:space="preserve">fueron asignadas exclusivamente sobre la base de las capturas históricas. Sin embargo, a partir de </w:t>
      </w:r>
      <w:r w:rsidR="008110A4">
        <w:rPr>
          <w:rStyle w:val="longtext"/>
          <w:szCs w:val="20"/>
        </w:rPr>
        <w:t>1996</w:t>
      </w:r>
      <w:r w:rsidRPr="005343CD">
        <w:rPr>
          <w:rStyle w:val="longtext"/>
          <w:szCs w:val="20"/>
        </w:rPr>
        <w:t>, la opción de</w:t>
      </w:r>
      <w:r>
        <w:rPr>
          <w:rStyle w:val="longtext"/>
          <w:szCs w:val="20"/>
        </w:rPr>
        <w:t xml:space="preserve"> </w:t>
      </w:r>
      <w:r w:rsidRPr="005343CD">
        <w:rPr>
          <w:rStyle w:val="longtext"/>
          <w:szCs w:val="20"/>
        </w:rPr>
        <w:t xml:space="preserve">cuota de subasta para nuevas especies </w:t>
      </w:r>
      <w:r w:rsidR="008110A4">
        <w:rPr>
          <w:rStyle w:val="longtext"/>
          <w:szCs w:val="20"/>
        </w:rPr>
        <w:t xml:space="preserve">que </w:t>
      </w:r>
      <w:r w:rsidRPr="005343CD">
        <w:rPr>
          <w:rStyle w:val="longtext"/>
          <w:szCs w:val="20"/>
        </w:rPr>
        <w:t>comparten captura ha estado disponible y, a veces ha sido ejecutado.</w:t>
      </w:r>
      <w:r>
        <w:rPr>
          <w:rStyle w:val="longtext"/>
          <w:szCs w:val="20"/>
        </w:rPr>
        <w:t xml:space="preserve"> La cuota establecida (descontado el porcentaje a los </w:t>
      </w:r>
      <w:proofErr w:type="spellStart"/>
      <w:r>
        <w:rPr>
          <w:rStyle w:val="longtext"/>
          <w:szCs w:val="20"/>
        </w:rPr>
        <w:t>Maories</w:t>
      </w:r>
      <w:proofErr w:type="spellEnd"/>
      <w:r>
        <w:rPr>
          <w:rStyle w:val="longtext"/>
          <w:szCs w:val="20"/>
        </w:rPr>
        <w:t xml:space="preserve">) </w:t>
      </w:r>
      <w:r w:rsidRPr="005343CD">
        <w:rPr>
          <w:rStyle w:val="longtext"/>
          <w:szCs w:val="20"/>
        </w:rPr>
        <w:t>se asigna sobre la base de la captura histórica media. Si hay alguna cuota restante después de esta</w:t>
      </w:r>
      <w:r>
        <w:rPr>
          <w:rStyle w:val="longtext"/>
          <w:szCs w:val="20"/>
        </w:rPr>
        <w:t xml:space="preserve"> </w:t>
      </w:r>
      <w:r w:rsidRPr="005343CD">
        <w:rPr>
          <w:rStyle w:val="longtext"/>
          <w:szCs w:val="20"/>
        </w:rPr>
        <w:t>asignación, el gobierno de Nueva Zelanda tiene la opción de subastar esta captura no asignado. Como resultado, una pequeña pero no insignificante cantidad de cuota para algunas especies ha sido</w:t>
      </w:r>
      <w:r>
        <w:rPr>
          <w:rStyle w:val="longtext"/>
          <w:szCs w:val="20"/>
        </w:rPr>
        <w:t xml:space="preserve"> </w:t>
      </w:r>
      <w:r w:rsidRPr="005343CD">
        <w:rPr>
          <w:rStyle w:val="longtext"/>
          <w:szCs w:val="20"/>
        </w:rPr>
        <w:t>subastado</w:t>
      </w:r>
      <w:r w:rsidR="004D3563">
        <w:rPr>
          <w:rStyle w:val="longtext"/>
          <w:szCs w:val="20"/>
        </w:rPr>
        <w:t xml:space="preserve"> (</w:t>
      </w:r>
      <w:proofErr w:type="spellStart"/>
      <w:r w:rsidR="004D3563" w:rsidRPr="004D3563">
        <w:rPr>
          <w:rStyle w:val="longtext"/>
          <w:szCs w:val="20"/>
        </w:rPr>
        <w:t>Lynham</w:t>
      </w:r>
      <w:proofErr w:type="spellEnd"/>
      <w:r w:rsidR="004D3563" w:rsidRPr="004D3563">
        <w:rPr>
          <w:rStyle w:val="longtext"/>
          <w:szCs w:val="20"/>
        </w:rPr>
        <w:t xml:space="preserve"> </w:t>
      </w:r>
      <w:r w:rsidR="004D3563">
        <w:rPr>
          <w:rStyle w:val="longtext"/>
          <w:szCs w:val="20"/>
        </w:rPr>
        <w:t>, 2014)</w:t>
      </w:r>
      <w:r>
        <w:rPr>
          <w:rStyle w:val="Refdenotaalpie"/>
          <w:szCs w:val="20"/>
        </w:rPr>
        <w:footnoteReference w:id="21"/>
      </w:r>
      <w:r w:rsidRPr="005343CD">
        <w:rPr>
          <w:rStyle w:val="longtext"/>
          <w:szCs w:val="20"/>
        </w:rPr>
        <w:t>.</w:t>
      </w:r>
    </w:p>
    <w:p w14:paraId="72DA6352" w14:textId="77777777" w:rsidR="00EF7361" w:rsidRPr="00F0384C" w:rsidRDefault="00EF7361" w:rsidP="00EF7361">
      <w:pPr>
        <w:autoSpaceDE w:val="0"/>
        <w:autoSpaceDN w:val="0"/>
        <w:adjustRightInd w:val="0"/>
        <w:rPr>
          <w:rFonts w:cs="TimesNewRoman"/>
          <w:color w:val="000000"/>
          <w:szCs w:val="20"/>
          <w:lang w:val="es-CL"/>
        </w:rPr>
      </w:pPr>
      <w:r w:rsidRPr="00473C5D">
        <w:rPr>
          <w:rStyle w:val="longtext"/>
          <w:szCs w:val="20"/>
        </w:rPr>
        <w:t xml:space="preserve">En el marco del </w:t>
      </w:r>
      <w:r>
        <w:rPr>
          <w:rStyle w:val="longtext"/>
          <w:szCs w:val="20"/>
          <w:shd w:val="clear" w:color="auto" w:fill="FFFFFF"/>
        </w:rPr>
        <w:t>Sistema de Gestión de Cuotas</w:t>
      </w:r>
      <w:r w:rsidRPr="00473C5D">
        <w:rPr>
          <w:rStyle w:val="longtext"/>
          <w:szCs w:val="20"/>
        </w:rPr>
        <w:t xml:space="preserve">, los titulares de cuotas tienen libertad para vender. </w:t>
      </w:r>
      <w:r w:rsidRPr="00473C5D">
        <w:rPr>
          <w:rStyle w:val="longtext"/>
          <w:szCs w:val="20"/>
          <w:shd w:val="clear" w:color="auto" w:fill="FFFFFF"/>
        </w:rPr>
        <w:t>La cuota es divisible para que los propietarios de cuotas puedan negociar partes o porciones de ella</w:t>
      </w:r>
      <w:r>
        <w:rPr>
          <w:rStyle w:val="Refdenotaalpie"/>
          <w:rFonts w:cs="TimesNewRoman"/>
          <w:color w:val="000000"/>
          <w:szCs w:val="20"/>
        </w:rPr>
        <w:footnoteReference w:id="22"/>
      </w:r>
      <w:r>
        <w:rPr>
          <w:rFonts w:cs="TimesNewRoman"/>
          <w:color w:val="000000"/>
          <w:szCs w:val="20"/>
          <w:lang w:val="es-CL"/>
        </w:rPr>
        <w:t>. Asimismo, d</w:t>
      </w:r>
      <w:proofErr w:type="spellStart"/>
      <w:r w:rsidRPr="00F0384C">
        <w:rPr>
          <w:rFonts w:cs="TimesNewRoman"/>
          <w:color w:val="000000"/>
          <w:szCs w:val="20"/>
        </w:rPr>
        <w:t>esde</w:t>
      </w:r>
      <w:proofErr w:type="spellEnd"/>
      <w:r w:rsidRPr="00F0384C">
        <w:rPr>
          <w:rFonts w:cs="TimesNewRoman"/>
          <w:color w:val="000000"/>
          <w:szCs w:val="20"/>
        </w:rPr>
        <w:t xml:space="preserve"> la introducción de</w:t>
      </w:r>
      <w:r>
        <w:rPr>
          <w:rFonts w:cs="TimesNewRoman"/>
          <w:color w:val="000000"/>
          <w:szCs w:val="20"/>
        </w:rPr>
        <w:t xml:space="preserve"> </w:t>
      </w:r>
      <w:r w:rsidRPr="00F0384C">
        <w:rPr>
          <w:rFonts w:cs="TimesNewRoman"/>
          <w:color w:val="000000"/>
          <w:szCs w:val="20"/>
        </w:rPr>
        <w:t>l</w:t>
      </w:r>
      <w:r>
        <w:rPr>
          <w:rFonts w:cs="TimesNewRoman"/>
          <w:color w:val="000000"/>
          <w:szCs w:val="20"/>
        </w:rPr>
        <w:t>os</w:t>
      </w:r>
      <w:r w:rsidRPr="00F0384C">
        <w:rPr>
          <w:rFonts w:cs="TimesNewRoman"/>
          <w:color w:val="000000"/>
          <w:szCs w:val="20"/>
        </w:rPr>
        <w:t xml:space="preserve"> </w:t>
      </w:r>
      <w:r>
        <w:rPr>
          <w:rStyle w:val="longtext"/>
          <w:szCs w:val="20"/>
          <w:shd w:val="clear" w:color="auto" w:fill="FFFFFF"/>
        </w:rPr>
        <w:t>Derechos Anuales de Captura</w:t>
      </w:r>
      <w:r w:rsidRPr="00F0384C">
        <w:rPr>
          <w:rFonts w:cs="TimesNewRoman"/>
          <w:color w:val="000000"/>
          <w:szCs w:val="20"/>
        </w:rPr>
        <w:t xml:space="preserve"> </w:t>
      </w:r>
      <w:r w:rsidRPr="00F0384C">
        <w:rPr>
          <w:rFonts w:cs="TimesNewRoman"/>
          <w:color w:val="000000"/>
          <w:szCs w:val="20"/>
          <w:lang w:val="es-CL"/>
        </w:rPr>
        <w:t>en 2001</w:t>
      </w:r>
      <w:r w:rsidRPr="00F0384C">
        <w:rPr>
          <w:rFonts w:cs="TimesNewRoman"/>
          <w:color w:val="000000"/>
          <w:szCs w:val="20"/>
        </w:rPr>
        <w:t xml:space="preserve">, los titulares de cuotas pueden también arrendar </w:t>
      </w:r>
      <w:r w:rsidRPr="00F0384C">
        <w:rPr>
          <w:rFonts w:cs="TimesNewRoman"/>
          <w:color w:val="000000"/>
          <w:szCs w:val="20"/>
          <w:lang w:val="es-CL"/>
        </w:rPr>
        <w:t>sus derechos de pesca</w:t>
      </w:r>
      <w:r w:rsidRPr="00F0384C">
        <w:rPr>
          <w:rFonts w:cs="TimesNewRoman"/>
          <w:color w:val="000000"/>
          <w:szCs w:val="20"/>
        </w:rPr>
        <w:t>, manteniendo la titularidad, pero permit</w:t>
      </w:r>
      <w:r>
        <w:rPr>
          <w:rFonts w:cs="TimesNewRoman"/>
          <w:color w:val="000000"/>
          <w:szCs w:val="20"/>
        </w:rPr>
        <w:t xml:space="preserve">iendo </w:t>
      </w:r>
      <w:r w:rsidRPr="00F0384C">
        <w:rPr>
          <w:rFonts w:cs="TimesNewRoman"/>
          <w:color w:val="000000"/>
          <w:szCs w:val="20"/>
        </w:rPr>
        <w:t xml:space="preserve">a un tercero capturar la cuota asignada </w:t>
      </w:r>
      <w:r w:rsidRPr="00F0384C">
        <w:rPr>
          <w:rFonts w:cs="TimesNewRoman"/>
          <w:color w:val="000000"/>
          <w:szCs w:val="20"/>
          <w:lang w:val="es-CL"/>
        </w:rPr>
        <w:t xml:space="preserve">en </w:t>
      </w:r>
      <w:r w:rsidRPr="00F0384C">
        <w:rPr>
          <w:rFonts w:cs="TimesNewRoman"/>
          <w:color w:val="000000"/>
          <w:szCs w:val="20"/>
        </w:rPr>
        <w:t xml:space="preserve">la temporada de </w:t>
      </w:r>
      <w:r w:rsidRPr="00F0384C">
        <w:rPr>
          <w:rFonts w:cs="TimesNewRoman"/>
          <w:color w:val="000000"/>
          <w:szCs w:val="20"/>
          <w:lang w:val="es-CL"/>
        </w:rPr>
        <w:t xml:space="preserve">pesca </w:t>
      </w:r>
      <w:r>
        <w:rPr>
          <w:rFonts w:cs="TimesNewRoman"/>
          <w:color w:val="000000"/>
          <w:szCs w:val="20"/>
          <w:lang w:val="es-CL"/>
        </w:rPr>
        <w:t>correspondiente</w:t>
      </w:r>
      <w:r>
        <w:rPr>
          <w:rStyle w:val="Refdenotaalpie"/>
          <w:rFonts w:cs="TimesNewRoman"/>
          <w:color w:val="000000"/>
          <w:szCs w:val="20"/>
        </w:rPr>
        <w:footnoteReference w:id="23"/>
      </w:r>
      <w:r w:rsidRPr="00F0384C">
        <w:rPr>
          <w:rFonts w:cs="TimesNewRoman"/>
          <w:color w:val="000000"/>
          <w:szCs w:val="20"/>
          <w:lang w:val="es-CL"/>
        </w:rPr>
        <w:t>.</w:t>
      </w:r>
    </w:p>
    <w:p w14:paraId="3F2137C7" w14:textId="77777777" w:rsidR="00EF7361" w:rsidRDefault="00EF7361" w:rsidP="00EF7361">
      <w:pPr>
        <w:autoSpaceDE w:val="0"/>
        <w:autoSpaceDN w:val="0"/>
        <w:adjustRightInd w:val="0"/>
        <w:rPr>
          <w:rStyle w:val="longtext"/>
          <w:szCs w:val="20"/>
        </w:rPr>
      </w:pPr>
      <w:r>
        <w:rPr>
          <w:rFonts w:cs="TimesNewRoman"/>
          <w:color w:val="000000"/>
          <w:szCs w:val="20"/>
          <w:lang w:val="es-CL"/>
        </w:rPr>
        <w:lastRenderedPageBreak/>
        <w:t>Actualmente</w:t>
      </w:r>
      <w:r w:rsidRPr="00473C5D">
        <w:rPr>
          <w:rFonts w:cs="TimesNewRoman"/>
          <w:color w:val="000000"/>
          <w:szCs w:val="20"/>
          <w:lang w:val="es-CL"/>
        </w:rPr>
        <w:t xml:space="preserve"> las </w:t>
      </w:r>
      <w:r w:rsidRPr="00473C5D">
        <w:rPr>
          <w:rStyle w:val="longtext"/>
          <w:szCs w:val="20"/>
        </w:rPr>
        <w:t>transferencias de cuotas se realizan con relativa facilidad entre compradores y vendedores, sea por medio de negociaciones bilaterales o por medio de agentes</w:t>
      </w:r>
      <w:r>
        <w:rPr>
          <w:rStyle w:val="Refdenotaalpie"/>
          <w:rFonts w:cs="TimesNewRoman"/>
          <w:color w:val="000000"/>
          <w:szCs w:val="20"/>
        </w:rPr>
        <w:footnoteReference w:id="24"/>
      </w:r>
      <w:r>
        <w:rPr>
          <w:rStyle w:val="longtext"/>
          <w:szCs w:val="20"/>
        </w:rPr>
        <w:t>.</w:t>
      </w:r>
    </w:p>
    <w:p w14:paraId="786591D9" w14:textId="77777777" w:rsidR="00EF7361" w:rsidRPr="00F0384C" w:rsidRDefault="00EF7361" w:rsidP="00EF7361">
      <w:pPr>
        <w:autoSpaceDE w:val="0"/>
        <w:autoSpaceDN w:val="0"/>
        <w:adjustRightInd w:val="0"/>
        <w:rPr>
          <w:szCs w:val="20"/>
        </w:rPr>
      </w:pPr>
      <w:r>
        <w:rPr>
          <w:rFonts w:cs="TimesNewRoman"/>
          <w:color w:val="000000"/>
          <w:szCs w:val="20"/>
          <w:lang w:val="es-CL"/>
        </w:rPr>
        <w:t xml:space="preserve">En </w:t>
      </w:r>
      <w:r w:rsidRPr="00473C5D">
        <w:rPr>
          <w:rFonts w:cs="TimesNewRoman"/>
          <w:color w:val="000000"/>
          <w:szCs w:val="20"/>
          <w:lang w:val="es-CL"/>
        </w:rPr>
        <w:t>1987</w:t>
      </w:r>
      <w:r>
        <w:rPr>
          <w:rFonts w:cs="TimesNewRoman"/>
          <w:color w:val="000000"/>
          <w:szCs w:val="20"/>
          <w:lang w:val="es-CL"/>
        </w:rPr>
        <w:t xml:space="preserve">, la </w:t>
      </w:r>
      <w:r w:rsidRPr="00473C5D">
        <w:rPr>
          <w:rFonts w:cs="TimesNewRoman"/>
          <w:color w:val="000000"/>
          <w:szCs w:val="20"/>
          <w:lang w:val="es-CL"/>
        </w:rPr>
        <w:t xml:space="preserve">industria pesquera </w:t>
      </w:r>
      <w:r>
        <w:rPr>
          <w:rFonts w:cs="TimesNewRoman"/>
          <w:color w:val="000000"/>
          <w:szCs w:val="20"/>
          <w:lang w:val="es-CL"/>
        </w:rPr>
        <w:t>instauró un</w:t>
      </w:r>
      <w:r w:rsidRPr="00473C5D">
        <w:rPr>
          <w:rFonts w:cs="TimesNewRoman"/>
          <w:color w:val="000000"/>
          <w:szCs w:val="20"/>
          <w:lang w:val="es-CL"/>
        </w:rPr>
        <w:t xml:space="preserve"> </w:t>
      </w:r>
      <w:r w:rsidRPr="00473C5D">
        <w:rPr>
          <w:rStyle w:val="longtext"/>
          <w:szCs w:val="20"/>
          <w:lang w:val="es-CL"/>
        </w:rPr>
        <w:t>sistema centralizado de negociación de cuotas (</w:t>
      </w:r>
      <w:r w:rsidRPr="0026527C">
        <w:rPr>
          <w:rFonts w:cs="TimesNewRoman"/>
          <w:i/>
          <w:color w:val="000000"/>
          <w:szCs w:val="20"/>
          <w:lang w:val="es-CL"/>
        </w:rPr>
        <w:t xml:space="preserve">New </w:t>
      </w:r>
      <w:proofErr w:type="spellStart"/>
      <w:r w:rsidRPr="0026527C">
        <w:rPr>
          <w:rFonts w:cs="TimesNewRoman"/>
          <w:i/>
          <w:color w:val="000000"/>
          <w:szCs w:val="20"/>
          <w:lang w:val="es-CL"/>
        </w:rPr>
        <w:t>Zealand</w:t>
      </w:r>
      <w:proofErr w:type="spellEnd"/>
      <w:r w:rsidRPr="0026527C">
        <w:rPr>
          <w:rFonts w:cs="TimesNewRoman"/>
          <w:i/>
          <w:color w:val="000000"/>
          <w:szCs w:val="20"/>
          <w:lang w:val="es-CL"/>
        </w:rPr>
        <w:t xml:space="preserve"> Fish </w:t>
      </w:r>
      <w:proofErr w:type="spellStart"/>
      <w:r w:rsidRPr="0026527C">
        <w:rPr>
          <w:rFonts w:cs="TimesNewRoman"/>
          <w:i/>
          <w:color w:val="000000"/>
          <w:szCs w:val="20"/>
          <w:lang w:val="es-CL"/>
        </w:rPr>
        <w:t>Quota</w:t>
      </w:r>
      <w:proofErr w:type="spellEnd"/>
      <w:r w:rsidRPr="0026527C">
        <w:rPr>
          <w:rFonts w:cs="TimesNewRoman"/>
          <w:i/>
          <w:color w:val="000000"/>
          <w:szCs w:val="20"/>
          <w:lang w:val="es-CL"/>
        </w:rPr>
        <w:t xml:space="preserve"> Exchange Ltd.</w:t>
      </w:r>
      <w:r w:rsidRPr="00473C5D">
        <w:rPr>
          <w:rFonts w:cs="TimesNewRoman"/>
          <w:color w:val="000000"/>
          <w:szCs w:val="20"/>
          <w:lang w:val="es-CL"/>
        </w:rPr>
        <w:t>)</w:t>
      </w:r>
      <w:r>
        <w:rPr>
          <w:rFonts w:cs="TimesNewRoman"/>
          <w:color w:val="000000"/>
          <w:szCs w:val="20"/>
          <w:lang w:val="es-CL"/>
        </w:rPr>
        <w:t>, el que fracasó. Pero, e</w:t>
      </w:r>
      <w:r w:rsidRPr="00F0384C">
        <w:rPr>
          <w:rFonts w:cs="TimesNewRoman"/>
          <w:color w:val="000000"/>
          <w:szCs w:val="20"/>
          <w:lang w:val="es-CL"/>
        </w:rPr>
        <w:t>l uso creciente de Internet ha proporcionado un medio conveniente para</w:t>
      </w:r>
      <w:r w:rsidRPr="00F0384C">
        <w:rPr>
          <w:rFonts w:cs="TimesNewRoman"/>
          <w:color w:val="000000"/>
          <w:szCs w:val="20"/>
        </w:rPr>
        <w:t xml:space="preserve"> la centralización de las negociaciones de las cuotas, apareciendo </w:t>
      </w:r>
      <w:r w:rsidRPr="00F0384C">
        <w:rPr>
          <w:rFonts w:cs="TimesNewRoman"/>
          <w:color w:val="000000"/>
          <w:szCs w:val="20"/>
          <w:lang w:val="es-CL"/>
        </w:rPr>
        <w:t>diferentes sistemas en línea para facilitar el comercio</w:t>
      </w:r>
      <w:r>
        <w:rPr>
          <w:rFonts w:cs="TimesNewRoman"/>
          <w:color w:val="000000"/>
          <w:szCs w:val="20"/>
        </w:rPr>
        <w:t xml:space="preserve">. </w:t>
      </w:r>
      <w:r w:rsidRPr="00F0384C">
        <w:rPr>
          <w:rStyle w:val="longtext"/>
          <w:szCs w:val="20"/>
        </w:rPr>
        <w:t>En el 2003, TOKM</w:t>
      </w:r>
      <w:r w:rsidRPr="00F0384C">
        <w:rPr>
          <w:rStyle w:val="Refdenotaalpie"/>
          <w:szCs w:val="20"/>
        </w:rPr>
        <w:footnoteReference w:id="25"/>
      </w:r>
      <w:r w:rsidRPr="00F0384C">
        <w:rPr>
          <w:rStyle w:val="longtext"/>
          <w:szCs w:val="20"/>
        </w:rPr>
        <w:t xml:space="preserve"> configuró el primer sistema de comercio en línea, disponible para todos los participantes actuales y potenciales en la industria pesquera. Sin embargo, este sitio no tuvo éxito y fue cerrado</w:t>
      </w:r>
      <w:r>
        <w:rPr>
          <w:rStyle w:val="Refdenotaalpie"/>
          <w:rFonts w:cs="TimesNewRoman"/>
          <w:color w:val="000000"/>
          <w:szCs w:val="20"/>
        </w:rPr>
        <w:footnoteReference w:id="26"/>
      </w:r>
      <w:r w:rsidRPr="00F0384C">
        <w:rPr>
          <w:rStyle w:val="longtext"/>
          <w:szCs w:val="20"/>
        </w:rPr>
        <w:t>.</w:t>
      </w:r>
    </w:p>
    <w:p w14:paraId="6B9939C0" w14:textId="3BD98068" w:rsidR="00EF7361" w:rsidRDefault="00EF7361" w:rsidP="00EF7361">
      <w:pPr>
        <w:autoSpaceDE w:val="0"/>
        <w:autoSpaceDN w:val="0"/>
        <w:adjustRightInd w:val="0"/>
        <w:rPr>
          <w:rFonts w:cs="TimesNewRoman"/>
          <w:color w:val="000000"/>
          <w:szCs w:val="20"/>
        </w:rPr>
      </w:pPr>
      <w:r>
        <w:rPr>
          <w:rFonts w:cs="TimesNewRoman"/>
          <w:color w:val="000000"/>
          <w:szCs w:val="20"/>
        </w:rPr>
        <w:t xml:space="preserve">Posteriormente, en el año </w:t>
      </w:r>
      <w:r w:rsidRPr="00F0384C">
        <w:rPr>
          <w:rFonts w:cs="TimesNewRoman"/>
          <w:color w:val="000000"/>
          <w:szCs w:val="20"/>
        </w:rPr>
        <w:t xml:space="preserve">2004 </w:t>
      </w:r>
      <w:r>
        <w:rPr>
          <w:rFonts w:cs="TimesNewRoman"/>
          <w:color w:val="000000"/>
          <w:szCs w:val="20"/>
        </w:rPr>
        <w:t xml:space="preserve">se creó un </w:t>
      </w:r>
      <w:r w:rsidRPr="00F0384C">
        <w:rPr>
          <w:rFonts w:cs="TimesNewRoman"/>
          <w:color w:val="000000"/>
          <w:szCs w:val="20"/>
        </w:rPr>
        <w:t xml:space="preserve">sitio de subastas en línea </w:t>
      </w:r>
      <w:r>
        <w:rPr>
          <w:rFonts w:cs="TimesNewRoman"/>
          <w:color w:val="000000"/>
          <w:szCs w:val="20"/>
        </w:rPr>
        <w:t xml:space="preserve">llamado </w:t>
      </w:r>
      <w:proofErr w:type="spellStart"/>
      <w:r w:rsidRPr="00F0384C">
        <w:rPr>
          <w:rFonts w:cs="TimesNewRoman"/>
          <w:i/>
          <w:color w:val="000000"/>
          <w:szCs w:val="20"/>
        </w:rPr>
        <w:t>FishStock</w:t>
      </w:r>
      <w:proofErr w:type="spellEnd"/>
      <w:r>
        <w:rPr>
          <w:rFonts w:cs="TimesNewRoman"/>
          <w:color w:val="000000"/>
          <w:szCs w:val="20"/>
        </w:rPr>
        <w:t xml:space="preserve">, actualmente </w:t>
      </w:r>
      <w:proofErr w:type="spellStart"/>
      <w:r w:rsidRPr="00F0384C">
        <w:rPr>
          <w:rFonts w:cs="TimesNewRoman"/>
          <w:i/>
          <w:color w:val="000000"/>
          <w:szCs w:val="20"/>
        </w:rPr>
        <w:t>FishServe</w:t>
      </w:r>
      <w:proofErr w:type="spellEnd"/>
      <w:r>
        <w:rPr>
          <w:rFonts w:cs="TimesNewRoman"/>
          <w:color w:val="000000"/>
          <w:szCs w:val="20"/>
        </w:rPr>
        <w:t>, el que</w:t>
      </w:r>
      <w:r w:rsidRPr="00F0384C">
        <w:rPr>
          <w:rFonts w:cs="TimesNewRoman"/>
          <w:color w:val="000000"/>
          <w:szCs w:val="20"/>
        </w:rPr>
        <w:t xml:space="preserve"> permite a los titulares de cuotas </w:t>
      </w:r>
      <w:r>
        <w:rPr>
          <w:rFonts w:cs="TimesNewRoman"/>
          <w:color w:val="000000"/>
          <w:szCs w:val="20"/>
        </w:rPr>
        <w:t xml:space="preserve">subastar con </w:t>
      </w:r>
      <w:r w:rsidRPr="00F0384C">
        <w:rPr>
          <w:rFonts w:cs="TimesNewRoman"/>
          <w:color w:val="000000"/>
          <w:szCs w:val="20"/>
        </w:rPr>
        <w:t xml:space="preserve">relativa facilidad </w:t>
      </w:r>
      <w:r>
        <w:rPr>
          <w:rFonts w:cs="TimesNewRoman"/>
          <w:color w:val="000000"/>
          <w:szCs w:val="20"/>
        </w:rPr>
        <w:t>su ACE</w:t>
      </w:r>
      <w:r>
        <w:rPr>
          <w:rStyle w:val="Refdenotaalpie"/>
          <w:rFonts w:cs="TimesNewRoman"/>
          <w:color w:val="000000"/>
          <w:szCs w:val="20"/>
        </w:rPr>
        <w:footnoteReference w:id="27"/>
      </w:r>
      <w:r>
        <w:rPr>
          <w:rFonts w:cs="TimesNewRoman"/>
          <w:color w:val="000000"/>
          <w:szCs w:val="20"/>
        </w:rPr>
        <w:t xml:space="preserve"> </w:t>
      </w:r>
      <w:r w:rsidRPr="00F0384C">
        <w:rPr>
          <w:rFonts w:cs="TimesNewRoman"/>
          <w:color w:val="000000"/>
          <w:szCs w:val="20"/>
        </w:rPr>
        <w:t>para una temporada de pesca en particular.</w:t>
      </w:r>
      <w:r>
        <w:rPr>
          <w:rFonts w:cs="TimesNewRoman"/>
          <w:color w:val="000000"/>
          <w:szCs w:val="20"/>
        </w:rPr>
        <w:t xml:space="preserve"> La</w:t>
      </w:r>
      <w:r w:rsidRPr="00F0384C">
        <w:rPr>
          <w:rFonts w:cs="TimesNewRoman"/>
          <w:color w:val="000000"/>
          <w:szCs w:val="20"/>
        </w:rPr>
        <w:t xml:space="preserve">s subastas pueden tomar uno de dos formatos. Los individuos pueden </w:t>
      </w:r>
      <w:r>
        <w:rPr>
          <w:rFonts w:cs="TimesNewRoman"/>
          <w:color w:val="000000"/>
          <w:szCs w:val="20"/>
        </w:rPr>
        <w:t xml:space="preserve">publicitar </w:t>
      </w:r>
      <w:r w:rsidRPr="00F0384C">
        <w:rPr>
          <w:rFonts w:cs="TimesNewRoman"/>
          <w:color w:val="000000"/>
          <w:szCs w:val="20"/>
        </w:rPr>
        <w:t xml:space="preserve">en el sitio </w:t>
      </w:r>
      <w:r>
        <w:rPr>
          <w:rFonts w:cs="TimesNewRoman"/>
          <w:color w:val="000000"/>
          <w:szCs w:val="20"/>
        </w:rPr>
        <w:t xml:space="preserve">de los </w:t>
      </w:r>
      <w:r>
        <w:rPr>
          <w:rStyle w:val="longtext"/>
          <w:szCs w:val="20"/>
          <w:shd w:val="clear" w:color="auto" w:fill="FFFFFF"/>
        </w:rPr>
        <w:t>Derechos Anuales de Captura</w:t>
      </w:r>
      <w:r>
        <w:rPr>
          <w:rFonts w:cs="TimesNewRoman"/>
          <w:color w:val="000000"/>
          <w:szCs w:val="20"/>
        </w:rPr>
        <w:t xml:space="preserve"> que desea</w:t>
      </w:r>
      <w:r w:rsidRPr="00F0384C">
        <w:rPr>
          <w:rFonts w:cs="TimesNewRoman"/>
          <w:color w:val="000000"/>
          <w:szCs w:val="20"/>
        </w:rPr>
        <w:t>n vender y la gente</w:t>
      </w:r>
      <w:r>
        <w:rPr>
          <w:rFonts w:cs="TimesNewRoman"/>
          <w:color w:val="000000"/>
          <w:szCs w:val="20"/>
        </w:rPr>
        <w:t xml:space="preserve"> puede competir para </w:t>
      </w:r>
      <w:r w:rsidRPr="00F0384C">
        <w:rPr>
          <w:rFonts w:cs="TimesNewRoman"/>
          <w:color w:val="000000"/>
          <w:szCs w:val="20"/>
        </w:rPr>
        <w:t xml:space="preserve">comprar </w:t>
      </w:r>
      <w:r>
        <w:rPr>
          <w:rFonts w:cs="TimesNewRoman"/>
          <w:color w:val="000000"/>
          <w:szCs w:val="20"/>
        </w:rPr>
        <w:t xml:space="preserve">o vender </w:t>
      </w:r>
      <w:r w:rsidRPr="00F0384C">
        <w:rPr>
          <w:rFonts w:cs="TimesNewRoman"/>
          <w:color w:val="000000"/>
          <w:szCs w:val="20"/>
        </w:rPr>
        <w:t xml:space="preserve">y </w:t>
      </w:r>
      <w:r>
        <w:rPr>
          <w:rFonts w:cs="TimesNewRoman"/>
          <w:color w:val="000000"/>
          <w:szCs w:val="20"/>
        </w:rPr>
        <w:t>las demás personas puede</w:t>
      </w:r>
      <w:r w:rsidRPr="00F0384C">
        <w:rPr>
          <w:rFonts w:cs="TimesNewRoman"/>
          <w:color w:val="000000"/>
          <w:szCs w:val="20"/>
        </w:rPr>
        <w:t>n competir para vender</w:t>
      </w:r>
      <w:r>
        <w:rPr>
          <w:rFonts w:cs="TimesNewRoman"/>
          <w:color w:val="000000"/>
          <w:szCs w:val="20"/>
        </w:rPr>
        <w:t xml:space="preserve"> o comprar</w:t>
      </w:r>
      <w:r w:rsidRPr="00F0384C">
        <w:rPr>
          <w:rFonts w:cs="TimesNewRoman"/>
          <w:color w:val="000000"/>
          <w:szCs w:val="20"/>
        </w:rPr>
        <w:t xml:space="preserve">, al igual que </w:t>
      </w:r>
      <w:r>
        <w:rPr>
          <w:rFonts w:cs="TimesNewRoman"/>
          <w:color w:val="000000"/>
          <w:szCs w:val="20"/>
        </w:rPr>
        <w:t xml:space="preserve">en </w:t>
      </w:r>
      <w:r w:rsidRPr="00F0384C">
        <w:rPr>
          <w:rFonts w:cs="TimesNewRoman"/>
          <w:color w:val="000000"/>
          <w:szCs w:val="20"/>
        </w:rPr>
        <w:t>un proceso de licitación</w:t>
      </w:r>
      <w:r>
        <w:rPr>
          <w:rStyle w:val="Refdenotaalpie"/>
          <w:rFonts w:cs="TimesNewRoman"/>
          <w:color w:val="000000"/>
          <w:szCs w:val="20"/>
        </w:rPr>
        <w:footnoteReference w:id="28"/>
      </w:r>
      <w:r w:rsidRPr="00F0384C">
        <w:rPr>
          <w:rFonts w:cs="TimesNewRoman"/>
          <w:color w:val="000000"/>
          <w:szCs w:val="20"/>
        </w:rPr>
        <w:t xml:space="preserve">. </w:t>
      </w:r>
    </w:p>
    <w:p w14:paraId="704967C5" w14:textId="77777777" w:rsidR="00EF7361" w:rsidRDefault="00EF7361" w:rsidP="00EF7361">
      <w:pPr>
        <w:autoSpaceDE w:val="0"/>
        <w:autoSpaceDN w:val="0"/>
        <w:adjustRightInd w:val="0"/>
        <w:rPr>
          <w:rFonts w:cs="TimesNewRoman"/>
          <w:color w:val="000000"/>
          <w:szCs w:val="20"/>
        </w:rPr>
      </w:pPr>
      <w:r w:rsidRPr="00F0384C">
        <w:rPr>
          <w:rFonts w:cs="TimesNewRoman"/>
          <w:color w:val="000000"/>
          <w:szCs w:val="20"/>
        </w:rPr>
        <w:t>Para participar en una subasta</w:t>
      </w:r>
      <w:r>
        <w:rPr>
          <w:rFonts w:cs="TimesNewRoman"/>
          <w:color w:val="000000"/>
          <w:szCs w:val="20"/>
        </w:rPr>
        <w:t xml:space="preserve">, </w:t>
      </w:r>
      <w:r w:rsidRPr="00F0384C">
        <w:rPr>
          <w:rFonts w:cs="TimesNewRoman"/>
          <w:color w:val="000000"/>
          <w:szCs w:val="20"/>
        </w:rPr>
        <w:t xml:space="preserve">los individuos deben </w:t>
      </w:r>
      <w:r>
        <w:rPr>
          <w:rFonts w:cs="TimesNewRoman"/>
          <w:color w:val="000000"/>
          <w:szCs w:val="20"/>
        </w:rPr>
        <w:t xml:space="preserve">estar </w:t>
      </w:r>
      <w:r w:rsidRPr="00F0384C">
        <w:rPr>
          <w:rFonts w:cs="TimesNewRoman"/>
          <w:color w:val="000000"/>
          <w:szCs w:val="20"/>
        </w:rPr>
        <w:t xml:space="preserve">registrados en </w:t>
      </w:r>
      <w:proofErr w:type="spellStart"/>
      <w:r w:rsidRPr="00C65002">
        <w:rPr>
          <w:rFonts w:cs="TimesNewRoman"/>
          <w:i/>
          <w:color w:val="000000"/>
          <w:szCs w:val="20"/>
        </w:rPr>
        <w:t>FishStock</w:t>
      </w:r>
      <w:proofErr w:type="spellEnd"/>
      <w:r>
        <w:rPr>
          <w:rFonts w:cs="TimesNewRoman"/>
          <w:color w:val="000000"/>
          <w:szCs w:val="20"/>
        </w:rPr>
        <w:t xml:space="preserve">, aunque </w:t>
      </w:r>
      <w:r w:rsidRPr="00F0384C">
        <w:rPr>
          <w:rFonts w:cs="TimesNewRoman"/>
          <w:color w:val="000000"/>
          <w:szCs w:val="20"/>
        </w:rPr>
        <w:t xml:space="preserve">la visualización de una subasta no requiere inscripción. </w:t>
      </w:r>
      <w:r>
        <w:rPr>
          <w:rFonts w:cs="TimesNewRoman"/>
          <w:color w:val="000000"/>
          <w:szCs w:val="20"/>
        </w:rPr>
        <w:t>Por su parte, m</w:t>
      </w:r>
      <w:r w:rsidRPr="00F0384C">
        <w:rPr>
          <w:rFonts w:cs="TimesNewRoman"/>
          <w:color w:val="000000"/>
          <w:szCs w:val="20"/>
        </w:rPr>
        <w:t xml:space="preserve">ientras que el registro es gratuito, </w:t>
      </w:r>
      <w:proofErr w:type="spellStart"/>
      <w:r w:rsidRPr="00C65002">
        <w:rPr>
          <w:rFonts w:cs="TimesNewRoman"/>
          <w:i/>
          <w:color w:val="000000"/>
          <w:szCs w:val="20"/>
        </w:rPr>
        <w:t>FishStock</w:t>
      </w:r>
      <w:proofErr w:type="spellEnd"/>
      <w:r w:rsidRPr="00F0384C">
        <w:rPr>
          <w:rFonts w:cs="TimesNewRoman"/>
          <w:color w:val="000000"/>
          <w:szCs w:val="20"/>
        </w:rPr>
        <w:t xml:space="preserve"> cobra una ta</w:t>
      </w:r>
      <w:r>
        <w:rPr>
          <w:rFonts w:cs="TimesNewRoman"/>
          <w:color w:val="000000"/>
          <w:szCs w:val="20"/>
        </w:rPr>
        <w:t>rifa de venta y una comisión por</w:t>
      </w:r>
      <w:r w:rsidRPr="00F0384C">
        <w:rPr>
          <w:rFonts w:cs="TimesNewRoman"/>
          <w:color w:val="000000"/>
          <w:szCs w:val="20"/>
        </w:rPr>
        <w:t xml:space="preserve"> toda la subasta</w:t>
      </w:r>
      <w:r>
        <w:rPr>
          <w:rStyle w:val="Refdenotaalpie"/>
          <w:rFonts w:cs="TimesNewRoman"/>
          <w:color w:val="000000"/>
          <w:szCs w:val="20"/>
        </w:rPr>
        <w:footnoteReference w:id="29"/>
      </w:r>
      <w:r w:rsidRPr="00F0384C">
        <w:rPr>
          <w:rFonts w:cs="TimesNewRoman"/>
          <w:color w:val="000000"/>
          <w:szCs w:val="20"/>
        </w:rPr>
        <w:t xml:space="preserve">. </w:t>
      </w:r>
    </w:p>
    <w:p w14:paraId="3CBBEFD5" w14:textId="2F25FD91" w:rsidR="00A9596A" w:rsidRPr="00A9596A" w:rsidRDefault="00A9596A" w:rsidP="00A9596A">
      <w:pPr>
        <w:autoSpaceDE w:val="0"/>
        <w:autoSpaceDN w:val="0"/>
        <w:adjustRightInd w:val="0"/>
        <w:rPr>
          <w:rFonts w:cs="TimesNewRoman"/>
          <w:color w:val="000000"/>
          <w:szCs w:val="20"/>
          <w:lang w:val="es-CL"/>
        </w:rPr>
      </w:pPr>
      <w:r w:rsidRPr="00A9596A">
        <w:rPr>
          <w:rFonts w:cs="TimesNewRoman"/>
          <w:color w:val="000000"/>
          <w:szCs w:val="20"/>
          <w:lang w:val="es-CL"/>
        </w:rPr>
        <w:t>La Corona es uno de los mayores poseedores de cuotas debido a:</w:t>
      </w:r>
    </w:p>
    <w:p w14:paraId="10EC9F57" w14:textId="77777777" w:rsidR="00A9596A" w:rsidRPr="00A9596A" w:rsidRDefault="00A9596A" w:rsidP="00A9596A">
      <w:pPr>
        <w:pStyle w:val="Prrafodelista"/>
        <w:numPr>
          <w:ilvl w:val="0"/>
          <w:numId w:val="24"/>
        </w:numPr>
        <w:autoSpaceDE w:val="0"/>
        <w:autoSpaceDN w:val="0"/>
        <w:adjustRightInd w:val="0"/>
        <w:rPr>
          <w:rFonts w:cs="TimesNewRoman"/>
          <w:color w:val="000000"/>
          <w:szCs w:val="20"/>
          <w:lang w:val="es-CL"/>
        </w:rPr>
      </w:pPr>
      <w:r w:rsidRPr="00A9596A">
        <w:rPr>
          <w:rFonts w:cs="TimesNewRoman"/>
          <w:color w:val="000000"/>
          <w:szCs w:val="20"/>
          <w:lang w:val="es-CL"/>
        </w:rPr>
        <w:t>Nuevas acciones que ingresan a los Sistemas de Gestión de Cuotas (QMS)</w:t>
      </w:r>
    </w:p>
    <w:p w14:paraId="60A981BA" w14:textId="797F787E" w:rsidR="00A9596A" w:rsidRPr="00A9596A" w:rsidRDefault="0011098D" w:rsidP="00A9596A">
      <w:pPr>
        <w:pStyle w:val="Prrafodelista"/>
        <w:numPr>
          <w:ilvl w:val="0"/>
          <w:numId w:val="24"/>
        </w:numPr>
        <w:autoSpaceDE w:val="0"/>
        <w:autoSpaceDN w:val="0"/>
        <w:adjustRightInd w:val="0"/>
        <w:rPr>
          <w:rFonts w:cs="TimesNewRoman"/>
          <w:color w:val="000000"/>
          <w:szCs w:val="20"/>
          <w:lang w:val="es-CL"/>
        </w:rPr>
      </w:pPr>
      <w:r>
        <w:rPr>
          <w:rFonts w:cs="TimesNewRoman"/>
          <w:color w:val="000000"/>
          <w:szCs w:val="20"/>
          <w:lang w:val="es-CL"/>
        </w:rPr>
        <w:t>C</w:t>
      </w:r>
      <w:r w:rsidR="00A9596A" w:rsidRPr="00A9596A">
        <w:rPr>
          <w:rFonts w:cs="TimesNewRoman"/>
          <w:color w:val="000000"/>
          <w:szCs w:val="20"/>
          <w:lang w:val="es-CL"/>
        </w:rPr>
        <w:t>uotas perdidas (por infracciones sancionadas)</w:t>
      </w:r>
    </w:p>
    <w:p w14:paraId="61E2B474" w14:textId="3975A205" w:rsidR="00A9596A" w:rsidRPr="00A9596A" w:rsidRDefault="00BA1A74" w:rsidP="00A9596A">
      <w:pPr>
        <w:pStyle w:val="Prrafodelista"/>
        <w:numPr>
          <w:ilvl w:val="0"/>
          <w:numId w:val="24"/>
        </w:numPr>
        <w:autoSpaceDE w:val="0"/>
        <w:autoSpaceDN w:val="0"/>
        <w:adjustRightInd w:val="0"/>
        <w:rPr>
          <w:rFonts w:cs="TimesNewRoman"/>
          <w:color w:val="000000"/>
          <w:szCs w:val="20"/>
          <w:lang w:val="es-CL"/>
        </w:rPr>
      </w:pPr>
      <w:r>
        <w:rPr>
          <w:rFonts w:cs="TimesNewRoman"/>
          <w:color w:val="000000"/>
          <w:szCs w:val="20"/>
          <w:lang w:val="es-CL"/>
        </w:rPr>
        <w:t>C</w:t>
      </w:r>
      <w:r w:rsidRPr="00A9596A">
        <w:rPr>
          <w:rFonts w:cs="TimesNewRoman"/>
          <w:color w:val="000000"/>
          <w:szCs w:val="20"/>
          <w:lang w:val="es-CL"/>
        </w:rPr>
        <w:t>uota entregada</w:t>
      </w:r>
      <w:r w:rsidR="00A9596A" w:rsidRPr="00A9596A">
        <w:rPr>
          <w:rFonts w:cs="TimesNewRoman"/>
          <w:color w:val="000000"/>
          <w:szCs w:val="20"/>
          <w:lang w:val="es-CL"/>
        </w:rPr>
        <w:t>.</w:t>
      </w:r>
    </w:p>
    <w:p w14:paraId="44557073" w14:textId="7BB5CC3C" w:rsidR="00A9596A" w:rsidRPr="00B6634B" w:rsidRDefault="00A9596A" w:rsidP="00A9596A">
      <w:pPr>
        <w:autoSpaceDE w:val="0"/>
        <w:autoSpaceDN w:val="0"/>
        <w:adjustRightInd w:val="0"/>
        <w:rPr>
          <w:rFonts w:cs="TimesNewRoman"/>
          <w:color w:val="000000"/>
          <w:szCs w:val="20"/>
          <w:lang w:val="es-CL"/>
        </w:rPr>
      </w:pPr>
      <w:r w:rsidRPr="00A9596A">
        <w:rPr>
          <w:rFonts w:cs="TimesNewRoman"/>
          <w:color w:val="000000"/>
          <w:szCs w:val="20"/>
          <w:lang w:val="es-CL"/>
        </w:rPr>
        <w:t>Las cuotas en poder de la Corona y la ACE se transfieren a los pescadores comerciales mediante licitación pública</w:t>
      </w:r>
      <w:r>
        <w:rPr>
          <w:rFonts w:cs="TimesNewRoman"/>
          <w:color w:val="000000"/>
          <w:szCs w:val="20"/>
          <w:lang w:val="es-CL"/>
        </w:rPr>
        <w:t xml:space="preserve"> </w:t>
      </w:r>
      <w:r w:rsidRPr="00A9596A">
        <w:rPr>
          <w:rFonts w:cs="TimesNewRoman"/>
          <w:color w:val="000000"/>
          <w:szCs w:val="20"/>
          <w:lang w:val="es-CL"/>
        </w:rPr>
        <w:t>con un precio de reserva fijo</w:t>
      </w:r>
      <w:r>
        <w:rPr>
          <w:rFonts w:cs="TimesNewRoman"/>
          <w:color w:val="000000"/>
          <w:szCs w:val="20"/>
          <w:lang w:val="es-CL"/>
        </w:rPr>
        <w:t>. L</w:t>
      </w:r>
      <w:r w:rsidRPr="00A9596A">
        <w:rPr>
          <w:rFonts w:cs="TimesNewRoman"/>
          <w:color w:val="000000"/>
          <w:szCs w:val="20"/>
          <w:lang w:val="es-CL"/>
        </w:rPr>
        <w:t>as licitaciones de cuotas pueden realizarse en cualquier momento del año</w:t>
      </w:r>
      <w:r>
        <w:rPr>
          <w:rFonts w:cs="TimesNewRoman"/>
          <w:color w:val="000000"/>
          <w:szCs w:val="20"/>
          <w:lang w:val="es-CL"/>
        </w:rPr>
        <w:t xml:space="preserve"> pero</w:t>
      </w:r>
      <w:r w:rsidRPr="00A9596A">
        <w:rPr>
          <w:rFonts w:cs="TimesNewRoman"/>
          <w:color w:val="000000"/>
          <w:szCs w:val="20"/>
          <w:lang w:val="es-CL"/>
        </w:rPr>
        <w:t xml:space="preserve"> </w:t>
      </w:r>
      <w:r>
        <w:rPr>
          <w:rFonts w:cs="TimesNewRoman"/>
          <w:color w:val="000000"/>
          <w:szCs w:val="20"/>
          <w:lang w:val="es-CL"/>
        </w:rPr>
        <w:t>s</w:t>
      </w:r>
      <w:r w:rsidRPr="00A9596A">
        <w:rPr>
          <w:rFonts w:cs="TimesNewRoman"/>
          <w:color w:val="000000"/>
          <w:szCs w:val="20"/>
          <w:lang w:val="es-CL"/>
        </w:rPr>
        <w:t>uelen celebrarse a mediados de año.</w:t>
      </w:r>
      <w:r>
        <w:rPr>
          <w:rFonts w:cs="TimesNewRoman"/>
          <w:color w:val="000000"/>
          <w:szCs w:val="20"/>
          <w:lang w:val="es-CL"/>
        </w:rPr>
        <w:t xml:space="preserve"> </w:t>
      </w:r>
      <w:r w:rsidRPr="00A9596A">
        <w:rPr>
          <w:rFonts w:cs="TimesNewRoman"/>
          <w:color w:val="000000"/>
          <w:szCs w:val="20"/>
          <w:lang w:val="es-CL"/>
        </w:rPr>
        <w:t xml:space="preserve">Todas las licitaciones para cuotas en poder de Crown y ACE están a cargo de </w:t>
      </w:r>
      <w:proofErr w:type="spellStart"/>
      <w:r w:rsidRPr="00A9596A">
        <w:rPr>
          <w:rFonts w:cs="TimesNewRoman"/>
          <w:color w:val="000000"/>
          <w:szCs w:val="20"/>
          <w:lang w:val="es-CL"/>
        </w:rPr>
        <w:t>FishServe</w:t>
      </w:r>
      <w:proofErr w:type="spellEnd"/>
      <w:r w:rsidRPr="00A9596A">
        <w:rPr>
          <w:rFonts w:cs="TimesNewRoman"/>
          <w:color w:val="000000"/>
          <w:szCs w:val="20"/>
          <w:lang w:val="es-CL"/>
        </w:rPr>
        <w:t xml:space="preserve">. Cuando se abren las licitaciones, el sitio web de </w:t>
      </w:r>
      <w:proofErr w:type="spellStart"/>
      <w:r w:rsidRPr="00A9596A">
        <w:rPr>
          <w:rFonts w:cs="TimesNewRoman"/>
          <w:color w:val="000000"/>
          <w:szCs w:val="20"/>
          <w:lang w:val="es-CL"/>
        </w:rPr>
        <w:t>FishServe</w:t>
      </w:r>
      <w:proofErr w:type="spellEnd"/>
      <w:r w:rsidRPr="00A9596A">
        <w:rPr>
          <w:rFonts w:cs="TimesNewRoman"/>
          <w:color w:val="000000"/>
          <w:szCs w:val="20"/>
          <w:lang w:val="es-CL"/>
        </w:rPr>
        <w:t xml:space="preserve"> proporciona información sobre ellas</w:t>
      </w:r>
      <w:r>
        <w:rPr>
          <w:rStyle w:val="Refdenotaalpie"/>
          <w:rFonts w:cs="TimesNewRoman"/>
          <w:color w:val="000000"/>
          <w:szCs w:val="20"/>
          <w:lang w:val="es-CL"/>
        </w:rPr>
        <w:footnoteReference w:id="30"/>
      </w:r>
      <w:r>
        <w:rPr>
          <w:rFonts w:cs="TimesNewRoman"/>
          <w:color w:val="000000"/>
          <w:szCs w:val="20"/>
          <w:lang w:val="es-CL"/>
        </w:rPr>
        <w:t>.</w:t>
      </w:r>
    </w:p>
    <w:p w14:paraId="4B1ED57F" w14:textId="46F2DA25" w:rsidR="00EF7361" w:rsidRPr="002C73A2" w:rsidRDefault="00EF7361" w:rsidP="000073B3">
      <w:pPr>
        <w:pStyle w:val="Ttulo3"/>
        <w:keepLines w:val="0"/>
        <w:numPr>
          <w:ilvl w:val="0"/>
          <w:numId w:val="25"/>
        </w:numPr>
        <w:pBdr>
          <w:top w:val="none" w:sz="0" w:space="0" w:color="auto"/>
          <w:left w:val="none" w:sz="0" w:space="0" w:color="auto"/>
          <w:bottom w:val="none" w:sz="0" w:space="0" w:color="auto"/>
          <w:right w:val="none" w:sz="0" w:space="0" w:color="auto"/>
          <w:between w:val="none" w:sz="0" w:space="0" w:color="auto"/>
        </w:pBdr>
        <w:spacing w:before="120" w:after="120" w:line="360" w:lineRule="auto"/>
        <w:rPr>
          <w:i w:val="0"/>
          <w:sz w:val="22"/>
          <w:szCs w:val="22"/>
        </w:rPr>
      </w:pPr>
      <w:bookmarkStart w:id="11" w:name="_Toc431896938"/>
      <w:bookmarkStart w:id="12" w:name="_Toc157529074"/>
      <w:r w:rsidRPr="002C73A2">
        <w:rPr>
          <w:i w:val="0"/>
          <w:sz w:val="22"/>
          <w:szCs w:val="22"/>
        </w:rPr>
        <w:t>Nuevas temáticas</w:t>
      </w:r>
      <w:bookmarkEnd w:id="11"/>
      <w:bookmarkEnd w:id="12"/>
    </w:p>
    <w:p w14:paraId="78F13662" w14:textId="70D569FD" w:rsidR="00EF7361" w:rsidRPr="0059557B" w:rsidRDefault="00EF7361" w:rsidP="00EF7361">
      <w:pPr>
        <w:autoSpaceDE w:val="0"/>
        <w:autoSpaceDN w:val="0"/>
        <w:adjustRightInd w:val="0"/>
        <w:rPr>
          <w:rFonts w:cs="TimesNewRoman"/>
          <w:color w:val="000000"/>
          <w:szCs w:val="20"/>
        </w:rPr>
      </w:pPr>
      <w:r w:rsidRPr="0059557B">
        <w:rPr>
          <w:rFonts w:cs="TimesNewRoman"/>
          <w:color w:val="000000"/>
          <w:szCs w:val="20"/>
        </w:rPr>
        <w:t>En Nueva Zelanda desde principios de 1960 hast</w:t>
      </w:r>
      <w:r>
        <w:rPr>
          <w:rFonts w:cs="TimesNewRoman"/>
          <w:color w:val="000000"/>
          <w:szCs w:val="20"/>
        </w:rPr>
        <w:t>a mediados de la década de 1980</w:t>
      </w:r>
      <w:r w:rsidRPr="0059557B">
        <w:rPr>
          <w:rFonts w:cs="TimesNewRoman"/>
          <w:color w:val="000000"/>
          <w:szCs w:val="20"/>
        </w:rPr>
        <w:t xml:space="preserve"> </w:t>
      </w:r>
      <w:r>
        <w:rPr>
          <w:rFonts w:cs="TimesNewRoman"/>
          <w:color w:val="000000"/>
          <w:szCs w:val="20"/>
        </w:rPr>
        <w:t>-</w:t>
      </w:r>
      <w:r w:rsidRPr="0059557B">
        <w:rPr>
          <w:rFonts w:cs="TimesNewRoman"/>
          <w:color w:val="000000"/>
          <w:szCs w:val="20"/>
        </w:rPr>
        <w:t>antes de la introducción del sistema de gestión de cuotas</w:t>
      </w:r>
      <w:r>
        <w:rPr>
          <w:rFonts w:cs="TimesNewRoman"/>
          <w:color w:val="000000"/>
          <w:szCs w:val="20"/>
        </w:rPr>
        <w:t>-</w:t>
      </w:r>
      <w:r w:rsidRPr="0059557B">
        <w:rPr>
          <w:rFonts w:cs="TimesNewRoman"/>
          <w:color w:val="000000"/>
          <w:szCs w:val="20"/>
        </w:rPr>
        <w:t xml:space="preserve">, </w:t>
      </w:r>
      <w:r>
        <w:rPr>
          <w:rFonts w:cs="TimesNewRoman"/>
          <w:color w:val="000000"/>
          <w:szCs w:val="20"/>
        </w:rPr>
        <w:t xml:space="preserve">existía </w:t>
      </w:r>
      <w:r w:rsidR="000627F2">
        <w:rPr>
          <w:rFonts w:cs="TimesNewRoman"/>
          <w:color w:val="000000"/>
          <w:szCs w:val="20"/>
        </w:rPr>
        <w:t>el siguiente</w:t>
      </w:r>
      <w:r w:rsidRPr="0059557B">
        <w:rPr>
          <w:rFonts w:cs="TimesNewRoman"/>
          <w:color w:val="000000"/>
          <w:szCs w:val="20"/>
        </w:rPr>
        <w:t xml:space="preserve"> problema en </w:t>
      </w:r>
      <w:r>
        <w:rPr>
          <w:rFonts w:cs="TimesNewRoman"/>
          <w:color w:val="000000"/>
          <w:szCs w:val="20"/>
        </w:rPr>
        <w:t>sus</w:t>
      </w:r>
      <w:r w:rsidRPr="0059557B">
        <w:rPr>
          <w:rFonts w:cs="TimesNewRoman"/>
          <w:color w:val="000000"/>
          <w:szCs w:val="20"/>
        </w:rPr>
        <w:t xml:space="preserve"> pesquerías</w:t>
      </w:r>
      <w:r w:rsidR="000627F2">
        <w:rPr>
          <w:rFonts w:cs="TimesNewRoman"/>
          <w:color w:val="000000"/>
          <w:szCs w:val="20"/>
        </w:rPr>
        <w:t>:</w:t>
      </w:r>
      <w:r w:rsidRPr="0059557B">
        <w:rPr>
          <w:rFonts w:cs="TimesNewRoman"/>
          <w:color w:val="000000"/>
          <w:szCs w:val="20"/>
        </w:rPr>
        <w:t xml:space="preserve"> </w:t>
      </w:r>
      <w:r w:rsidR="0011098D">
        <w:rPr>
          <w:rFonts w:cs="TimesNewRoman"/>
          <w:color w:val="000000"/>
          <w:szCs w:val="20"/>
        </w:rPr>
        <w:t>l</w:t>
      </w:r>
      <w:r w:rsidRPr="0059557B">
        <w:rPr>
          <w:rFonts w:cs="TimesNewRoman"/>
          <w:color w:val="000000"/>
          <w:szCs w:val="20"/>
        </w:rPr>
        <w:t xml:space="preserve">os subsidios del gobierno y los altos precios de exportación habían atraído más y más pescadores con mejores embarcaciones y artes. La respuesta fue usar los controles de gestión (comúnmente </w:t>
      </w:r>
      <w:r w:rsidRPr="0059557B">
        <w:rPr>
          <w:rFonts w:cs="TimesNewRoman"/>
          <w:color w:val="000000"/>
          <w:szCs w:val="20"/>
        </w:rPr>
        <w:lastRenderedPageBreak/>
        <w:t xml:space="preserve">denominados "controles de entrada") como una forma de gestionar </w:t>
      </w:r>
      <w:r>
        <w:rPr>
          <w:rFonts w:cs="TimesNewRoman"/>
          <w:color w:val="000000"/>
          <w:szCs w:val="20"/>
        </w:rPr>
        <w:t>las</w:t>
      </w:r>
      <w:r w:rsidRPr="0059557B">
        <w:rPr>
          <w:rFonts w:cs="TimesNewRoman"/>
          <w:color w:val="000000"/>
          <w:szCs w:val="20"/>
        </w:rPr>
        <w:t xml:space="preserve"> pesquerías</w:t>
      </w:r>
      <w:r>
        <w:rPr>
          <w:rStyle w:val="Refdenotaalpie"/>
          <w:rFonts w:cs="TimesNewRoman"/>
          <w:color w:val="000000"/>
          <w:szCs w:val="20"/>
        </w:rPr>
        <w:footnoteReference w:id="31"/>
      </w:r>
      <w:r w:rsidRPr="0059557B">
        <w:rPr>
          <w:rFonts w:cs="TimesNewRoman"/>
          <w:color w:val="000000"/>
          <w:szCs w:val="20"/>
        </w:rPr>
        <w:t>. Si</w:t>
      </w:r>
      <w:r w:rsidR="000627F2">
        <w:rPr>
          <w:rFonts w:cs="TimesNewRoman"/>
          <w:color w:val="000000"/>
          <w:szCs w:val="20"/>
        </w:rPr>
        <w:t xml:space="preserve">n embargo, este tipo de control, </w:t>
      </w:r>
      <w:r>
        <w:rPr>
          <w:rFonts w:cs="TimesNewRoman"/>
          <w:color w:val="000000"/>
          <w:szCs w:val="20"/>
        </w:rPr>
        <w:t>según Kelly (2007)</w:t>
      </w:r>
      <w:r w:rsidR="000627F2">
        <w:rPr>
          <w:rFonts w:cs="TimesNewRoman"/>
          <w:color w:val="000000"/>
          <w:szCs w:val="20"/>
        </w:rPr>
        <w:t>,</w:t>
      </w:r>
      <w:r>
        <w:rPr>
          <w:rFonts w:cs="TimesNewRoman"/>
          <w:color w:val="000000"/>
          <w:szCs w:val="20"/>
        </w:rPr>
        <w:t xml:space="preserve"> </w:t>
      </w:r>
      <w:r w:rsidRPr="0059557B">
        <w:rPr>
          <w:rFonts w:cs="TimesNewRoman"/>
          <w:color w:val="000000"/>
          <w:szCs w:val="20"/>
        </w:rPr>
        <w:t xml:space="preserve">no </w:t>
      </w:r>
      <w:r>
        <w:rPr>
          <w:rFonts w:cs="TimesNewRoman"/>
          <w:color w:val="000000"/>
          <w:szCs w:val="20"/>
        </w:rPr>
        <w:t>aseguraba</w:t>
      </w:r>
      <w:r w:rsidRPr="0059557B">
        <w:rPr>
          <w:rFonts w:cs="TimesNewRoman"/>
          <w:color w:val="000000"/>
          <w:szCs w:val="20"/>
        </w:rPr>
        <w:t xml:space="preserve"> la conservación de las poblaciones de peces, debido a</w:t>
      </w:r>
      <w:r>
        <w:rPr>
          <w:rFonts w:cs="TimesNewRoman"/>
          <w:color w:val="000000"/>
          <w:szCs w:val="20"/>
        </w:rPr>
        <w:t xml:space="preserve"> que mediante</w:t>
      </w:r>
      <w:r w:rsidRPr="0059557B">
        <w:rPr>
          <w:rFonts w:cs="TimesNewRoman"/>
          <w:color w:val="000000"/>
          <w:szCs w:val="20"/>
        </w:rPr>
        <w:t xml:space="preserve"> la tecnología moderna siempre </w:t>
      </w:r>
      <w:r>
        <w:rPr>
          <w:rFonts w:cs="TimesNewRoman"/>
          <w:color w:val="000000"/>
          <w:szCs w:val="20"/>
        </w:rPr>
        <w:t xml:space="preserve">se </w:t>
      </w:r>
      <w:r w:rsidRPr="0059557B">
        <w:rPr>
          <w:rFonts w:cs="TimesNewRoman"/>
          <w:color w:val="000000"/>
          <w:szCs w:val="20"/>
        </w:rPr>
        <w:t xml:space="preserve">encontró la manera de </w:t>
      </w:r>
      <w:r>
        <w:rPr>
          <w:rFonts w:cs="TimesNewRoman"/>
          <w:color w:val="000000"/>
          <w:szCs w:val="20"/>
        </w:rPr>
        <w:t>capturar</w:t>
      </w:r>
      <w:r w:rsidRPr="0059557B">
        <w:rPr>
          <w:rFonts w:cs="TimesNewRoman"/>
          <w:color w:val="000000"/>
          <w:szCs w:val="20"/>
        </w:rPr>
        <w:t xml:space="preserve"> más peces dentro de las reglas existentes.</w:t>
      </w:r>
    </w:p>
    <w:p w14:paraId="660537AE" w14:textId="5D1B8728" w:rsidR="00EF7361" w:rsidRDefault="00EF7361" w:rsidP="00A42FA0">
      <w:pPr>
        <w:autoSpaceDE w:val="0"/>
        <w:autoSpaceDN w:val="0"/>
        <w:adjustRightInd w:val="0"/>
        <w:rPr>
          <w:rFonts w:cs="TimesNewRoman"/>
          <w:color w:val="000000"/>
          <w:szCs w:val="20"/>
        </w:rPr>
      </w:pPr>
      <w:r w:rsidRPr="0059557B">
        <w:rPr>
          <w:rFonts w:cs="TimesNewRoman"/>
          <w:color w:val="000000"/>
          <w:szCs w:val="20"/>
        </w:rPr>
        <w:t>A finales de la década de 1970</w:t>
      </w:r>
      <w:r>
        <w:rPr>
          <w:rFonts w:cs="TimesNewRoman"/>
          <w:color w:val="000000"/>
          <w:szCs w:val="20"/>
        </w:rPr>
        <w:t xml:space="preserve">, </w:t>
      </w:r>
      <w:r w:rsidRPr="0059557B">
        <w:rPr>
          <w:rFonts w:cs="TimesNewRoman"/>
          <w:color w:val="000000"/>
          <w:szCs w:val="20"/>
        </w:rPr>
        <w:t>las pesquerías costeras habían llegado a un estado de crisis. Fueron objeto de sobrepes</w:t>
      </w:r>
      <w:r>
        <w:rPr>
          <w:rFonts w:cs="TimesNewRoman"/>
          <w:color w:val="000000"/>
          <w:szCs w:val="20"/>
        </w:rPr>
        <w:t>ca de especies como el pargo, los</w:t>
      </w:r>
      <w:r w:rsidRPr="0059557B">
        <w:rPr>
          <w:rFonts w:cs="TimesNewRoman"/>
          <w:color w:val="000000"/>
          <w:szCs w:val="20"/>
        </w:rPr>
        <w:t xml:space="preserve"> </w:t>
      </w:r>
      <w:r>
        <w:rPr>
          <w:rFonts w:cs="TimesNewRoman"/>
          <w:color w:val="000000"/>
          <w:szCs w:val="20"/>
        </w:rPr>
        <w:t>ostiones</w:t>
      </w:r>
      <w:r w:rsidRPr="0059557B">
        <w:rPr>
          <w:rFonts w:cs="TimesNewRoman"/>
          <w:color w:val="000000"/>
          <w:szCs w:val="20"/>
        </w:rPr>
        <w:t xml:space="preserve"> y la langosta de roca. Sin embargo, </w:t>
      </w:r>
      <w:r>
        <w:rPr>
          <w:rFonts w:cs="TimesNewRoman"/>
          <w:color w:val="000000"/>
          <w:szCs w:val="20"/>
        </w:rPr>
        <w:t>los</w:t>
      </w:r>
      <w:r w:rsidRPr="0059557B">
        <w:rPr>
          <w:rFonts w:cs="TimesNewRoman"/>
          <w:color w:val="000000"/>
          <w:szCs w:val="20"/>
        </w:rPr>
        <w:t xml:space="preserve"> recurso</w:t>
      </w:r>
      <w:r>
        <w:rPr>
          <w:rFonts w:cs="TimesNewRoman"/>
          <w:color w:val="000000"/>
          <w:szCs w:val="20"/>
        </w:rPr>
        <w:t>s pesqueros</w:t>
      </w:r>
      <w:r w:rsidRPr="0059557B">
        <w:rPr>
          <w:rFonts w:cs="TimesNewRoman"/>
          <w:color w:val="000000"/>
          <w:szCs w:val="20"/>
        </w:rPr>
        <w:t xml:space="preserve"> estaba</w:t>
      </w:r>
      <w:r>
        <w:rPr>
          <w:rFonts w:cs="TimesNewRoman"/>
          <w:color w:val="000000"/>
          <w:szCs w:val="20"/>
        </w:rPr>
        <w:t>n</w:t>
      </w:r>
      <w:r w:rsidRPr="0059557B">
        <w:rPr>
          <w:rFonts w:cs="TimesNewRoman"/>
          <w:color w:val="000000"/>
          <w:szCs w:val="20"/>
        </w:rPr>
        <w:t xml:space="preserve"> siendo </w:t>
      </w:r>
      <w:r>
        <w:rPr>
          <w:rFonts w:cs="TimesNewRoman"/>
          <w:color w:val="000000"/>
          <w:szCs w:val="20"/>
        </w:rPr>
        <w:t>capturados</w:t>
      </w:r>
      <w:r w:rsidRPr="0059557B">
        <w:rPr>
          <w:rFonts w:cs="TimesNewRoman"/>
          <w:color w:val="000000"/>
          <w:szCs w:val="20"/>
        </w:rPr>
        <w:t xml:space="preserve"> por los buques de pesca extranjeros, principalmente de Japón, Taiwán, Corea y Rusia</w:t>
      </w:r>
      <w:r>
        <w:rPr>
          <w:rStyle w:val="Refdenotaalpie"/>
          <w:rFonts w:cs="TimesNewRoman"/>
          <w:color w:val="000000"/>
          <w:szCs w:val="20"/>
        </w:rPr>
        <w:footnoteReference w:id="32"/>
      </w:r>
      <w:r w:rsidRPr="0059557B">
        <w:rPr>
          <w:rFonts w:cs="TimesNewRoman"/>
          <w:color w:val="000000"/>
          <w:szCs w:val="20"/>
        </w:rPr>
        <w:t>.</w:t>
      </w:r>
      <w:r>
        <w:rPr>
          <w:rFonts w:cs="TimesNewRoman"/>
          <w:color w:val="000000"/>
          <w:szCs w:val="20"/>
        </w:rPr>
        <w:t xml:space="preserve"> Lo anterior generó el escenario para el desarrollo del sistema de gestión de cuotas (SGC), que tiene </w:t>
      </w:r>
      <w:r w:rsidR="00A42FA0">
        <w:rPr>
          <w:rFonts w:cs="TimesNewRoman"/>
          <w:color w:val="000000"/>
          <w:szCs w:val="20"/>
        </w:rPr>
        <w:t>a la</w:t>
      </w:r>
      <w:r w:rsidR="00A42FA0" w:rsidRPr="00A42FA0">
        <w:rPr>
          <w:rFonts w:cs="TimesNewRoman"/>
          <w:color w:val="000000"/>
          <w:szCs w:val="20"/>
        </w:rPr>
        <w:t xml:space="preserve"> mayoría de </w:t>
      </w:r>
      <w:r w:rsidR="00A42FA0">
        <w:rPr>
          <w:rFonts w:cs="TimesNewRoman"/>
          <w:color w:val="000000"/>
          <w:szCs w:val="20"/>
        </w:rPr>
        <w:t>sus</w:t>
      </w:r>
      <w:r w:rsidR="00A42FA0" w:rsidRPr="00A42FA0">
        <w:rPr>
          <w:rFonts w:cs="TimesNewRoman"/>
          <w:color w:val="000000"/>
          <w:szCs w:val="20"/>
        </w:rPr>
        <w:t xml:space="preserve"> poblaciones de peces en buen estado (por encima del límite flexible)</w:t>
      </w:r>
      <w:r w:rsidR="00A42FA0">
        <w:rPr>
          <w:rFonts w:cs="TimesNewRoman"/>
          <w:color w:val="000000"/>
          <w:szCs w:val="20"/>
        </w:rPr>
        <w:t>, De hecho, d</w:t>
      </w:r>
      <w:r w:rsidR="00A42FA0" w:rsidRPr="00A42FA0">
        <w:rPr>
          <w:rFonts w:cs="TimesNewRoman"/>
          <w:color w:val="000000"/>
          <w:szCs w:val="20"/>
        </w:rPr>
        <w:t>e las 131 poblaciones de peces que estaban por encima del límite flexible en 2022, 104 (79,4%) también estaban en o por encima de sus objetivos de gestión</w:t>
      </w:r>
      <w:r w:rsidR="00A42FA0">
        <w:rPr>
          <w:rStyle w:val="Refdenotaalpie"/>
          <w:rFonts w:cs="TimesNewRoman"/>
          <w:color w:val="000000"/>
          <w:szCs w:val="20"/>
        </w:rPr>
        <w:footnoteReference w:id="33"/>
      </w:r>
      <w:r w:rsidR="00A42FA0" w:rsidRPr="00A42FA0">
        <w:rPr>
          <w:rFonts w:cs="TimesNewRoman"/>
          <w:color w:val="000000"/>
          <w:szCs w:val="20"/>
        </w:rPr>
        <w:t>.</w:t>
      </w:r>
      <w:r w:rsidR="00A42FA0">
        <w:rPr>
          <w:rFonts w:cs="TimesNewRoman"/>
          <w:color w:val="000000"/>
          <w:szCs w:val="20"/>
        </w:rPr>
        <w:t xml:space="preserve"> </w:t>
      </w:r>
      <w:r>
        <w:rPr>
          <w:rFonts w:cs="TimesNewRoman"/>
          <w:color w:val="000000"/>
          <w:szCs w:val="20"/>
        </w:rPr>
        <w:t xml:space="preserve">Así, </w:t>
      </w:r>
      <w:r w:rsidRPr="005D1848">
        <w:rPr>
          <w:rFonts w:cs="TimesNewRoman"/>
          <w:color w:val="000000"/>
          <w:szCs w:val="20"/>
        </w:rPr>
        <w:t xml:space="preserve">Nueva Zelanda actualmente tiene </w:t>
      </w:r>
      <w:r w:rsidR="00875E77">
        <w:rPr>
          <w:rFonts w:cs="TimesNewRoman"/>
          <w:color w:val="000000"/>
          <w:szCs w:val="20"/>
        </w:rPr>
        <w:t>98</w:t>
      </w:r>
      <w:r w:rsidRPr="005D1848">
        <w:rPr>
          <w:rFonts w:cs="TimesNewRoman"/>
          <w:color w:val="000000"/>
          <w:szCs w:val="20"/>
        </w:rPr>
        <w:t xml:space="preserve"> especies (o grupos de especies) con sujeción a la SGC. Estas especies se dividen en 6</w:t>
      </w:r>
      <w:r w:rsidR="00875E77">
        <w:rPr>
          <w:rFonts w:cs="TimesNewRoman"/>
          <w:color w:val="000000"/>
          <w:szCs w:val="20"/>
        </w:rPr>
        <w:t>42</w:t>
      </w:r>
      <w:r w:rsidRPr="005D1848">
        <w:rPr>
          <w:rFonts w:cs="TimesNewRoman"/>
          <w:color w:val="000000"/>
          <w:szCs w:val="20"/>
        </w:rPr>
        <w:t xml:space="preserve"> poblaciones separadas</w:t>
      </w:r>
      <w:r w:rsidR="00A42FA0">
        <w:rPr>
          <w:rFonts w:cs="TimesNewRoman"/>
          <w:color w:val="000000"/>
          <w:szCs w:val="20"/>
        </w:rPr>
        <w:t xml:space="preserve"> en zonas</w:t>
      </w:r>
      <w:r w:rsidRPr="005D1848">
        <w:rPr>
          <w:rFonts w:cs="TimesNewRoman"/>
          <w:color w:val="000000"/>
          <w:szCs w:val="20"/>
        </w:rPr>
        <w:t xml:space="preserve">. </w:t>
      </w:r>
      <w:r w:rsidR="00A42FA0" w:rsidRPr="00A42FA0">
        <w:rPr>
          <w:rFonts w:cs="TimesNewRoman"/>
          <w:color w:val="000000"/>
          <w:szCs w:val="20"/>
        </w:rPr>
        <w:t xml:space="preserve">Estas áreas se basan en factores administrativos y biológicos de las especies, como la cantidad de peces que hay en las diferentes regiones. </w:t>
      </w:r>
      <w:r w:rsidRPr="005D1848">
        <w:rPr>
          <w:rFonts w:cs="TimesNewRoman"/>
          <w:color w:val="000000"/>
          <w:szCs w:val="20"/>
        </w:rPr>
        <w:t>Cada acción se gestiona de forma independiente para ayudar a garantizar la utilización sostenible de la pesquería</w:t>
      </w:r>
      <w:r>
        <w:rPr>
          <w:rStyle w:val="Refdenotaalpie"/>
          <w:rFonts w:cs="TimesNewRoman"/>
          <w:color w:val="000000"/>
          <w:szCs w:val="20"/>
        </w:rPr>
        <w:footnoteReference w:id="34"/>
      </w:r>
      <w:r w:rsidRPr="005D1848">
        <w:rPr>
          <w:rFonts w:cs="TimesNewRoman"/>
          <w:color w:val="000000"/>
          <w:szCs w:val="20"/>
        </w:rPr>
        <w:t>.</w:t>
      </w:r>
      <w:r>
        <w:rPr>
          <w:rFonts w:cs="TimesNewRoman"/>
          <w:color w:val="000000"/>
          <w:szCs w:val="20"/>
        </w:rPr>
        <w:t xml:space="preserve"> </w:t>
      </w:r>
      <w:r w:rsidR="00875E77" w:rsidRPr="00875E77">
        <w:rPr>
          <w:rFonts w:cs="TimesNewRoman"/>
          <w:color w:val="000000"/>
          <w:szCs w:val="20"/>
        </w:rPr>
        <w:t>Existen límites sobre la cantidad de cuota que las personas pueden poseer. Estos se denominan "límites de agregación". Estos límites pueden imponerse a una especie entera o a una población individual.</w:t>
      </w:r>
      <w:r w:rsidR="0011098D">
        <w:rPr>
          <w:rFonts w:cs="TimesNewRoman"/>
          <w:color w:val="000000"/>
          <w:szCs w:val="20"/>
        </w:rPr>
        <w:t xml:space="preserve"> </w:t>
      </w:r>
      <w:r w:rsidR="00875E77" w:rsidRPr="00875E77">
        <w:rPr>
          <w:rFonts w:cs="TimesNewRoman"/>
          <w:color w:val="000000"/>
          <w:szCs w:val="20"/>
        </w:rPr>
        <w:t>En algunos casos, el Ministro de Océanos y Pesca puede permitir que una persona posea más del límite de agregación especificado después de consultar con otros titulares de cuotas</w:t>
      </w:r>
      <w:r w:rsidR="00875E77">
        <w:rPr>
          <w:rStyle w:val="Refdenotaalpie"/>
          <w:rFonts w:cs="TimesNewRoman"/>
          <w:color w:val="000000"/>
          <w:szCs w:val="20"/>
        </w:rPr>
        <w:footnoteReference w:id="35"/>
      </w:r>
      <w:r w:rsidR="00875E77" w:rsidRPr="00875E77">
        <w:rPr>
          <w:rFonts w:cs="TimesNewRoman"/>
          <w:color w:val="000000"/>
          <w:szCs w:val="20"/>
        </w:rPr>
        <w:t>.</w:t>
      </w:r>
    </w:p>
    <w:p w14:paraId="7135F828" w14:textId="77777777" w:rsidR="00EF7361" w:rsidRPr="00B94AC5" w:rsidRDefault="00EF7361" w:rsidP="00EF7361">
      <w:pPr>
        <w:autoSpaceDE w:val="0"/>
        <w:autoSpaceDN w:val="0"/>
        <w:adjustRightInd w:val="0"/>
        <w:rPr>
          <w:rFonts w:cs="TimesNewRoman"/>
          <w:color w:val="000000"/>
          <w:szCs w:val="20"/>
          <w:lang w:val="es-CL"/>
        </w:rPr>
      </w:pPr>
      <w:r>
        <w:rPr>
          <w:rFonts w:cs="TimesNewRoman"/>
          <w:color w:val="000000"/>
          <w:szCs w:val="20"/>
        </w:rPr>
        <w:t xml:space="preserve">Las bases de su gestión se basan en el énfasis en sistemas de </w:t>
      </w:r>
      <w:r w:rsidRPr="005D1848">
        <w:rPr>
          <w:rFonts w:cs="TimesNewRoman"/>
          <w:color w:val="000000"/>
          <w:szCs w:val="20"/>
        </w:rPr>
        <w:t>investigación, la gestión y el monitoreo</w:t>
      </w:r>
      <w:r>
        <w:rPr>
          <w:rFonts w:cs="TimesNewRoman"/>
          <w:color w:val="000000"/>
          <w:szCs w:val="20"/>
        </w:rPr>
        <w:t xml:space="preserve"> como </w:t>
      </w:r>
      <w:r w:rsidRPr="005D1848">
        <w:rPr>
          <w:rFonts w:cs="TimesNewRoman"/>
          <w:color w:val="000000"/>
          <w:szCs w:val="20"/>
        </w:rPr>
        <w:t xml:space="preserve">sistemas que trabajan juntos para asegurarse de utilizar las pesquerías </w:t>
      </w:r>
      <w:r>
        <w:rPr>
          <w:rFonts w:cs="TimesNewRoman"/>
          <w:color w:val="000000"/>
          <w:szCs w:val="20"/>
        </w:rPr>
        <w:t xml:space="preserve">en un estado saludable. Toda </w:t>
      </w:r>
      <w:r w:rsidRPr="005D1848">
        <w:rPr>
          <w:rFonts w:cs="TimesNewRoman"/>
          <w:color w:val="000000"/>
          <w:szCs w:val="20"/>
        </w:rPr>
        <w:t xml:space="preserve">la investigación y la evaluación </w:t>
      </w:r>
      <w:r w:rsidR="00DD2049">
        <w:rPr>
          <w:rFonts w:cs="TimesNewRoman"/>
          <w:color w:val="000000"/>
          <w:szCs w:val="20"/>
        </w:rPr>
        <w:t>son</w:t>
      </w:r>
      <w:r w:rsidRPr="005D1848">
        <w:rPr>
          <w:rFonts w:cs="TimesNewRoman"/>
          <w:color w:val="000000"/>
          <w:szCs w:val="20"/>
        </w:rPr>
        <w:t xml:space="preserve"> cuidadosamente</w:t>
      </w:r>
      <w:r>
        <w:rPr>
          <w:rFonts w:cs="TimesNewRoman"/>
          <w:color w:val="000000"/>
          <w:szCs w:val="20"/>
        </w:rPr>
        <w:t xml:space="preserve"> </w:t>
      </w:r>
      <w:r w:rsidR="00DD2049" w:rsidRPr="005D1848">
        <w:rPr>
          <w:rFonts w:cs="TimesNewRoman"/>
          <w:color w:val="000000"/>
          <w:szCs w:val="20"/>
        </w:rPr>
        <w:t>revisad</w:t>
      </w:r>
      <w:r w:rsidR="00DD2049">
        <w:rPr>
          <w:rFonts w:cs="TimesNewRoman"/>
          <w:color w:val="000000"/>
          <w:szCs w:val="20"/>
        </w:rPr>
        <w:t>as</w:t>
      </w:r>
      <w:r w:rsidRPr="005D1848">
        <w:rPr>
          <w:rFonts w:cs="TimesNewRoman"/>
          <w:color w:val="000000"/>
          <w:szCs w:val="20"/>
        </w:rPr>
        <w:t xml:space="preserve"> por expertos científicos, con la activa</w:t>
      </w:r>
      <w:r>
        <w:rPr>
          <w:rFonts w:cs="TimesNewRoman"/>
          <w:color w:val="000000"/>
          <w:szCs w:val="20"/>
        </w:rPr>
        <w:t xml:space="preserve"> </w:t>
      </w:r>
      <w:r w:rsidRPr="005D1848">
        <w:rPr>
          <w:rFonts w:cs="TimesNewRoman"/>
          <w:color w:val="000000"/>
          <w:szCs w:val="20"/>
        </w:rPr>
        <w:t xml:space="preserve">participación de los </w:t>
      </w:r>
      <w:r>
        <w:rPr>
          <w:rFonts w:cs="TimesNewRoman"/>
          <w:color w:val="000000"/>
          <w:szCs w:val="20"/>
        </w:rPr>
        <w:t xml:space="preserve">agentes sectoriales </w:t>
      </w:r>
      <w:r w:rsidRPr="005D1848">
        <w:rPr>
          <w:rFonts w:cs="TimesNewRoman"/>
          <w:color w:val="000000"/>
          <w:szCs w:val="20"/>
        </w:rPr>
        <w:t>de la pesca</w:t>
      </w:r>
      <w:r>
        <w:rPr>
          <w:rFonts w:cs="TimesNewRoman"/>
          <w:color w:val="000000"/>
          <w:szCs w:val="20"/>
        </w:rPr>
        <w:t>,</w:t>
      </w:r>
      <w:r w:rsidRPr="005D1848">
        <w:rPr>
          <w:rFonts w:cs="TimesNewRoman"/>
          <w:color w:val="000000"/>
          <w:szCs w:val="20"/>
        </w:rPr>
        <w:t xml:space="preserve"> los representantes del medio ambiente y</w:t>
      </w:r>
      <w:r>
        <w:rPr>
          <w:rFonts w:cs="TimesNewRoman"/>
          <w:color w:val="000000"/>
          <w:szCs w:val="20"/>
        </w:rPr>
        <w:t xml:space="preserve"> los </w:t>
      </w:r>
      <w:r w:rsidRPr="005D1848">
        <w:rPr>
          <w:rFonts w:cs="TimesNewRoman"/>
          <w:color w:val="000000"/>
          <w:szCs w:val="20"/>
        </w:rPr>
        <w:t>intereses pesqueros comerciales. L</w:t>
      </w:r>
      <w:r>
        <w:rPr>
          <w:rFonts w:cs="TimesNewRoman"/>
          <w:color w:val="000000"/>
          <w:szCs w:val="20"/>
        </w:rPr>
        <w:t xml:space="preserve">a </w:t>
      </w:r>
      <w:r w:rsidRPr="005D1848">
        <w:rPr>
          <w:rFonts w:cs="TimesNewRoman"/>
          <w:color w:val="000000"/>
          <w:szCs w:val="20"/>
        </w:rPr>
        <w:t xml:space="preserve">industria pesquera comercial paga </w:t>
      </w:r>
      <w:r>
        <w:rPr>
          <w:rFonts w:cs="TimesNewRoman"/>
          <w:color w:val="000000"/>
          <w:szCs w:val="20"/>
        </w:rPr>
        <w:t xml:space="preserve">una </w:t>
      </w:r>
      <w:r w:rsidRPr="005D1848">
        <w:rPr>
          <w:rFonts w:cs="TimesNewRoman"/>
          <w:color w:val="000000"/>
          <w:szCs w:val="20"/>
        </w:rPr>
        <w:t>proporción significativa de esta investigación. Los</w:t>
      </w:r>
      <w:r>
        <w:rPr>
          <w:rFonts w:cs="TimesNewRoman"/>
          <w:color w:val="000000"/>
          <w:szCs w:val="20"/>
        </w:rPr>
        <w:t xml:space="preserve"> </w:t>
      </w:r>
      <w:r w:rsidRPr="005D1848">
        <w:rPr>
          <w:rFonts w:cs="TimesNewRoman"/>
          <w:color w:val="000000"/>
          <w:szCs w:val="20"/>
        </w:rPr>
        <w:t xml:space="preserve">resultados de </w:t>
      </w:r>
      <w:r>
        <w:rPr>
          <w:rFonts w:cs="TimesNewRoman"/>
          <w:color w:val="000000"/>
          <w:szCs w:val="20"/>
        </w:rPr>
        <w:t>ella</w:t>
      </w:r>
      <w:r w:rsidRPr="005D1848">
        <w:rPr>
          <w:rFonts w:cs="TimesNewRoman"/>
          <w:color w:val="000000"/>
          <w:szCs w:val="20"/>
        </w:rPr>
        <w:t xml:space="preserve"> son de libre acceso</w:t>
      </w:r>
      <w:r>
        <w:rPr>
          <w:rFonts w:cs="TimesNewRoman"/>
          <w:color w:val="000000"/>
          <w:szCs w:val="20"/>
        </w:rPr>
        <w:t xml:space="preserve"> y publicados en el </w:t>
      </w:r>
      <w:r w:rsidRPr="00B94AC5">
        <w:rPr>
          <w:rFonts w:cs="TimesNewRoman"/>
          <w:color w:val="000000"/>
          <w:szCs w:val="20"/>
          <w:lang w:val="es-CL"/>
        </w:rPr>
        <w:t xml:space="preserve">sitio web </w:t>
      </w:r>
      <w:hyperlink r:id="rId10" w:history="1">
        <w:r w:rsidRPr="00B94AC5">
          <w:rPr>
            <w:rStyle w:val="Hipervnculo"/>
            <w:rFonts w:cs="TimesNewRoman"/>
            <w:szCs w:val="20"/>
            <w:lang w:val="es-CL"/>
          </w:rPr>
          <w:t>www.fish.govt.nz</w:t>
        </w:r>
      </w:hyperlink>
      <w:r w:rsidRPr="00B94AC5">
        <w:rPr>
          <w:rFonts w:cs="TimesNewRoman"/>
          <w:color w:val="000000"/>
          <w:szCs w:val="20"/>
          <w:lang w:val="es-CL"/>
        </w:rPr>
        <w:t xml:space="preserve"> </w:t>
      </w:r>
      <w:r>
        <w:rPr>
          <w:rStyle w:val="Refdenotaalpie"/>
          <w:rFonts w:cs="TimesNewRoman"/>
          <w:color w:val="000000"/>
          <w:szCs w:val="20"/>
          <w:lang w:val="es-CL"/>
        </w:rPr>
        <w:footnoteReference w:id="36"/>
      </w:r>
      <w:r w:rsidRPr="00B94AC5">
        <w:rPr>
          <w:rFonts w:cs="TimesNewRoman"/>
          <w:color w:val="000000"/>
          <w:szCs w:val="20"/>
          <w:lang w:val="es-CL"/>
        </w:rPr>
        <w:t>.</w:t>
      </w:r>
    </w:p>
    <w:p w14:paraId="3E7E1097" w14:textId="77777777" w:rsidR="00EF7361" w:rsidRPr="00B94AC5" w:rsidRDefault="00EF7361" w:rsidP="00EF7361">
      <w:pPr>
        <w:autoSpaceDE w:val="0"/>
        <w:autoSpaceDN w:val="0"/>
        <w:adjustRightInd w:val="0"/>
        <w:rPr>
          <w:rFonts w:cs="TimesNewRoman"/>
          <w:color w:val="000000"/>
          <w:szCs w:val="20"/>
          <w:lang w:val="es-CL"/>
        </w:rPr>
      </w:pPr>
      <w:r>
        <w:rPr>
          <w:rFonts w:cs="TimesNewRoman"/>
          <w:color w:val="000000"/>
          <w:szCs w:val="20"/>
          <w:lang w:val="es-CL"/>
        </w:rPr>
        <w:t>Tambi</w:t>
      </w:r>
      <w:r w:rsidR="000627F2">
        <w:rPr>
          <w:rFonts w:cs="TimesNewRoman"/>
          <w:color w:val="000000"/>
          <w:szCs w:val="20"/>
          <w:lang w:val="es-CL"/>
        </w:rPr>
        <w:t xml:space="preserve">én hay voces que dan cuenta de </w:t>
      </w:r>
      <w:r>
        <w:rPr>
          <w:rFonts w:cs="TimesNewRoman"/>
          <w:color w:val="000000"/>
          <w:szCs w:val="20"/>
          <w:lang w:val="es-CL"/>
        </w:rPr>
        <w:t>elementos que deben mejorar en este sistema de gestión de cuotas, que en los reportes los consideran transparentes y enfocados en la sustentabilidad. Al respecto, son dos los elementos que se consideran críticos</w:t>
      </w:r>
      <w:r w:rsidR="000627F2">
        <w:rPr>
          <w:rFonts w:cs="TimesNewRoman"/>
          <w:color w:val="000000"/>
          <w:szCs w:val="20"/>
          <w:lang w:val="es-CL"/>
        </w:rPr>
        <w:t>:</w:t>
      </w:r>
      <w:r>
        <w:rPr>
          <w:rFonts w:cs="TimesNewRoman"/>
          <w:color w:val="000000"/>
          <w:szCs w:val="20"/>
          <w:lang w:val="es-CL"/>
        </w:rPr>
        <w:t xml:space="preserve"> la investigación y los observadores científicos</w:t>
      </w:r>
      <w:r>
        <w:rPr>
          <w:rStyle w:val="Refdenotaalpie"/>
          <w:rFonts w:cs="TimesNewRoman"/>
          <w:color w:val="000000"/>
          <w:szCs w:val="20"/>
          <w:lang w:val="es-CL"/>
        </w:rPr>
        <w:footnoteReference w:id="37"/>
      </w:r>
      <w:r w:rsidR="000627F2">
        <w:rPr>
          <w:rFonts w:cs="TimesNewRoman"/>
          <w:color w:val="000000"/>
          <w:szCs w:val="20"/>
          <w:lang w:val="es-CL"/>
        </w:rPr>
        <w:t>.</w:t>
      </w:r>
    </w:p>
    <w:p w14:paraId="054F46A7" w14:textId="77777777" w:rsidR="00EF7361" w:rsidRDefault="00EF7361" w:rsidP="00EF7361">
      <w:pPr>
        <w:autoSpaceDE w:val="0"/>
        <w:autoSpaceDN w:val="0"/>
        <w:adjustRightInd w:val="0"/>
        <w:rPr>
          <w:rFonts w:cs="TimesNewRoman"/>
          <w:color w:val="000000"/>
          <w:szCs w:val="20"/>
          <w:lang w:val="es-CL"/>
        </w:rPr>
      </w:pPr>
      <w:r>
        <w:rPr>
          <w:rFonts w:cs="TimesNewRoman"/>
          <w:color w:val="000000"/>
          <w:szCs w:val="20"/>
          <w:lang w:val="es-CL"/>
        </w:rPr>
        <w:t xml:space="preserve">Hay preocupación por la baja en el financiamiento de la investigación, en un momento en que </w:t>
      </w:r>
      <w:r w:rsidRPr="00F80E55">
        <w:rPr>
          <w:rFonts w:cs="TimesNewRoman"/>
          <w:color w:val="000000"/>
          <w:szCs w:val="20"/>
          <w:lang w:val="es-CL"/>
        </w:rPr>
        <w:t>el número de especies</w:t>
      </w:r>
      <w:r>
        <w:rPr>
          <w:rFonts w:cs="TimesNewRoman"/>
          <w:color w:val="000000"/>
          <w:szCs w:val="20"/>
          <w:lang w:val="es-CL"/>
        </w:rPr>
        <w:t xml:space="preserve"> </w:t>
      </w:r>
      <w:r w:rsidRPr="00F80E55">
        <w:rPr>
          <w:rFonts w:cs="TimesNewRoman"/>
          <w:color w:val="000000"/>
          <w:szCs w:val="20"/>
          <w:lang w:val="es-CL"/>
        </w:rPr>
        <w:t>aument</w:t>
      </w:r>
      <w:r>
        <w:rPr>
          <w:rFonts w:cs="TimesNewRoman"/>
          <w:color w:val="000000"/>
          <w:szCs w:val="20"/>
          <w:lang w:val="es-CL"/>
        </w:rPr>
        <w:t xml:space="preserve">aron a </w:t>
      </w:r>
      <w:r w:rsidRPr="00F80E55">
        <w:rPr>
          <w:rFonts w:cs="TimesNewRoman"/>
          <w:color w:val="000000"/>
          <w:szCs w:val="20"/>
          <w:lang w:val="es-CL"/>
        </w:rPr>
        <w:t xml:space="preserve">más del triple y los efectos de la pesca sobre los mamíferos marinos, aves marinas y los impactos captura incidental de los fondos marinos y las obligaciones internacionales de investigación se hicieron </w:t>
      </w:r>
      <w:r>
        <w:rPr>
          <w:rFonts w:cs="TimesNewRoman"/>
          <w:color w:val="000000"/>
          <w:szCs w:val="20"/>
          <w:lang w:val="es-CL"/>
        </w:rPr>
        <w:t xml:space="preserve">mayores. Su problema es que parte de la investigación es financiada con aporte de las empresas la cual se ve afectada cuando baja la cuota para asignar. Se critica que el financiamiento </w:t>
      </w:r>
      <w:r>
        <w:rPr>
          <w:rFonts w:cs="TimesNewRoman"/>
          <w:color w:val="000000"/>
          <w:szCs w:val="20"/>
          <w:lang w:val="es-CL"/>
        </w:rPr>
        <w:lastRenderedPageBreak/>
        <w:t xml:space="preserve">de la investigación en barcos comerciales, en la cual </w:t>
      </w:r>
      <w:r w:rsidRPr="00AF3E00">
        <w:rPr>
          <w:rFonts w:cs="TimesNewRoman"/>
          <w:color w:val="000000"/>
          <w:szCs w:val="20"/>
          <w:lang w:val="es-CL"/>
        </w:rPr>
        <w:t>el reto es la obtención de datos de alta calidad recogidos en el marco del</w:t>
      </w:r>
      <w:r>
        <w:rPr>
          <w:rFonts w:cs="TimesNewRoman"/>
          <w:color w:val="000000"/>
          <w:szCs w:val="20"/>
          <w:lang w:val="es-CL"/>
        </w:rPr>
        <w:t xml:space="preserve"> </w:t>
      </w:r>
      <w:r w:rsidRPr="00AF3E00">
        <w:rPr>
          <w:rFonts w:cs="TimesNewRoman"/>
          <w:color w:val="000000"/>
          <w:szCs w:val="20"/>
          <w:lang w:val="es-CL"/>
        </w:rPr>
        <w:t>mismas condiciones en el tiempo consistente con un diseño de muestreo científico</w:t>
      </w:r>
      <w:r>
        <w:rPr>
          <w:rFonts w:cs="TimesNewRoman"/>
          <w:color w:val="000000"/>
          <w:szCs w:val="20"/>
          <w:lang w:val="es-CL"/>
        </w:rPr>
        <w:t xml:space="preserve"> en un viaje de investigación que tenga solamente dicho objetivo. Al respecto aparecen</w:t>
      </w:r>
      <w:r w:rsidRPr="00AF3E00">
        <w:rPr>
          <w:rFonts w:cs="TimesNewRoman"/>
          <w:color w:val="000000"/>
          <w:szCs w:val="20"/>
          <w:lang w:val="es-CL"/>
        </w:rPr>
        <w:t xml:space="preserve"> riesgos </w:t>
      </w:r>
      <w:r>
        <w:rPr>
          <w:rFonts w:cs="TimesNewRoman"/>
          <w:color w:val="000000"/>
          <w:szCs w:val="20"/>
          <w:lang w:val="es-CL"/>
        </w:rPr>
        <w:t xml:space="preserve">que </w:t>
      </w:r>
      <w:r w:rsidRPr="00AF3E00">
        <w:rPr>
          <w:rFonts w:cs="TimesNewRoman"/>
          <w:color w:val="000000"/>
          <w:szCs w:val="20"/>
          <w:lang w:val="es-CL"/>
        </w:rPr>
        <w:t>incluyen el sesgo, el compromiso de la integridad</w:t>
      </w:r>
      <w:r>
        <w:rPr>
          <w:rFonts w:cs="TimesNewRoman"/>
          <w:color w:val="000000"/>
          <w:szCs w:val="20"/>
          <w:lang w:val="es-CL"/>
        </w:rPr>
        <w:t xml:space="preserve"> </w:t>
      </w:r>
      <w:r w:rsidRPr="00AF3E00">
        <w:rPr>
          <w:rFonts w:cs="TimesNewRoman"/>
          <w:color w:val="000000"/>
          <w:szCs w:val="20"/>
          <w:lang w:val="es-CL"/>
        </w:rPr>
        <w:t>y la calidad de la ciencia, y la preocupación de que "los intereses comerciales podrían dominar</w:t>
      </w:r>
      <w:r>
        <w:rPr>
          <w:rFonts w:cs="TimesNewRoman"/>
          <w:color w:val="000000"/>
          <w:szCs w:val="20"/>
          <w:lang w:val="es-CL"/>
        </w:rPr>
        <w:t xml:space="preserve"> </w:t>
      </w:r>
      <w:r w:rsidRPr="00AF3E00">
        <w:rPr>
          <w:rFonts w:cs="TimesNewRoman"/>
          <w:color w:val="000000"/>
          <w:szCs w:val="20"/>
          <w:lang w:val="es-CL"/>
        </w:rPr>
        <w:t>a expensas de los intereses ambientales, sociales y otros existente</w:t>
      </w:r>
      <w:r>
        <w:rPr>
          <w:rFonts w:cs="TimesNewRoman"/>
          <w:color w:val="000000"/>
          <w:szCs w:val="20"/>
          <w:lang w:val="es-CL"/>
        </w:rPr>
        <w:t>s</w:t>
      </w:r>
      <w:r w:rsidRPr="00AF3E00">
        <w:rPr>
          <w:rFonts w:cs="TimesNewRoman"/>
          <w:color w:val="000000"/>
          <w:szCs w:val="20"/>
          <w:lang w:val="es-CL"/>
        </w:rPr>
        <w:t xml:space="preserve"> </w:t>
      </w:r>
      <w:r>
        <w:rPr>
          <w:rFonts w:cs="TimesNewRoman"/>
          <w:color w:val="000000"/>
          <w:szCs w:val="20"/>
          <w:lang w:val="es-CL"/>
        </w:rPr>
        <w:t xml:space="preserve">ya que </w:t>
      </w:r>
      <w:r w:rsidRPr="00AF3E00">
        <w:rPr>
          <w:rFonts w:cs="TimesNewRoman"/>
          <w:color w:val="000000"/>
          <w:szCs w:val="20"/>
          <w:lang w:val="es-CL"/>
        </w:rPr>
        <w:t>se desarrollaron</w:t>
      </w:r>
      <w:r>
        <w:rPr>
          <w:rFonts w:cs="TimesNewRoman"/>
          <w:color w:val="000000"/>
          <w:szCs w:val="20"/>
          <w:lang w:val="es-CL"/>
        </w:rPr>
        <w:t xml:space="preserve"> este tipo de investigación</w:t>
      </w:r>
      <w:r w:rsidRPr="00AF3E00">
        <w:rPr>
          <w:rFonts w:cs="TimesNewRoman"/>
          <w:color w:val="000000"/>
          <w:szCs w:val="20"/>
          <w:lang w:val="es-CL"/>
        </w:rPr>
        <w:t xml:space="preserve"> con el fin de</w:t>
      </w:r>
      <w:r>
        <w:rPr>
          <w:rFonts w:cs="TimesNewRoman"/>
          <w:color w:val="000000"/>
          <w:szCs w:val="20"/>
          <w:lang w:val="es-CL"/>
        </w:rPr>
        <w:t xml:space="preserve"> </w:t>
      </w:r>
      <w:r w:rsidRPr="00AF3E00">
        <w:rPr>
          <w:rFonts w:cs="TimesNewRoman"/>
          <w:color w:val="000000"/>
          <w:szCs w:val="20"/>
          <w:lang w:val="es-CL"/>
        </w:rPr>
        <w:t xml:space="preserve">permitir que la multiplicidad de intereses y perspectivas </w:t>
      </w:r>
      <w:r>
        <w:rPr>
          <w:rFonts w:cs="TimesNewRoman"/>
          <w:color w:val="000000"/>
          <w:szCs w:val="20"/>
          <w:lang w:val="es-CL"/>
        </w:rPr>
        <w:t>pudieran</w:t>
      </w:r>
      <w:r w:rsidRPr="00AF3E00">
        <w:rPr>
          <w:rFonts w:cs="TimesNewRoman"/>
          <w:color w:val="000000"/>
          <w:szCs w:val="20"/>
          <w:lang w:val="es-CL"/>
        </w:rPr>
        <w:t xml:space="preserve"> </w:t>
      </w:r>
      <w:r>
        <w:rPr>
          <w:rFonts w:cs="TimesNewRoman"/>
          <w:color w:val="000000"/>
          <w:szCs w:val="20"/>
          <w:lang w:val="es-CL"/>
        </w:rPr>
        <w:t xml:space="preserve">ser </w:t>
      </w:r>
      <w:r w:rsidRPr="00AF3E00">
        <w:rPr>
          <w:rFonts w:cs="TimesNewRoman"/>
          <w:color w:val="000000"/>
          <w:szCs w:val="20"/>
          <w:lang w:val="es-CL"/>
        </w:rPr>
        <w:t>soporta</w:t>
      </w:r>
      <w:r>
        <w:rPr>
          <w:rFonts w:cs="TimesNewRoman"/>
          <w:color w:val="000000"/>
          <w:szCs w:val="20"/>
          <w:lang w:val="es-CL"/>
        </w:rPr>
        <w:t>dos en</w:t>
      </w:r>
      <w:r w:rsidRPr="00AF3E00">
        <w:rPr>
          <w:rFonts w:cs="TimesNewRoman"/>
          <w:color w:val="000000"/>
          <w:szCs w:val="20"/>
          <w:lang w:val="es-CL"/>
        </w:rPr>
        <w:t xml:space="preserve"> la gestión de</w:t>
      </w:r>
      <w:r>
        <w:rPr>
          <w:rFonts w:cs="TimesNewRoman"/>
          <w:color w:val="000000"/>
          <w:szCs w:val="20"/>
          <w:lang w:val="es-CL"/>
        </w:rPr>
        <w:t xml:space="preserve"> </w:t>
      </w:r>
      <w:r w:rsidRPr="00AF3E00">
        <w:rPr>
          <w:rFonts w:cs="TimesNewRoman"/>
          <w:color w:val="000000"/>
          <w:szCs w:val="20"/>
          <w:lang w:val="es-CL"/>
        </w:rPr>
        <w:t>los recursos pesqueros</w:t>
      </w:r>
      <w:r>
        <w:rPr>
          <w:rFonts w:cs="TimesNewRoman"/>
          <w:color w:val="000000"/>
          <w:szCs w:val="20"/>
          <w:lang w:val="es-CL"/>
        </w:rPr>
        <w:t>”</w:t>
      </w:r>
      <w:r w:rsidRPr="00AF3E00">
        <w:rPr>
          <w:rFonts w:cs="TimesNewRoman"/>
          <w:color w:val="000000"/>
          <w:szCs w:val="20"/>
          <w:lang w:val="es-CL"/>
        </w:rPr>
        <w:t>.</w:t>
      </w:r>
      <w:r>
        <w:rPr>
          <w:rFonts w:cs="TimesNewRoman"/>
          <w:color w:val="000000"/>
          <w:szCs w:val="20"/>
          <w:lang w:val="es-CL"/>
        </w:rPr>
        <w:t xml:space="preserve"> Por ello el tema</w:t>
      </w:r>
      <w:r w:rsidRPr="00AF3E00">
        <w:rPr>
          <w:rFonts w:cs="TimesNewRoman"/>
          <w:color w:val="000000"/>
          <w:szCs w:val="20"/>
          <w:lang w:val="es-CL"/>
        </w:rPr>
        <w:t xml:space="preserve"> es</w:t>
      </w:r>
      <w:r>
        <w:rPr>
          <w:rFonts w:cs="TimesNewRoman"/>
          <w:color w:val="000000"/>
          <w:szCs w:val="20"/>
          <w:lang w:val="es-CL"/>
        </w:rPr>
        <w:t>,</w:t>
      </w:r>
      <w:r w:rsidRPr="00AF3E00">
        <w:rPr>
          <w:rFonts w:cs="TimesNewRoman"/>
          <w:color w:val="000000"/>
          <w:szCs w:val="20"/>
          <w:lang w:val="es-CL"/>
        </w:rPr>
        <w:t xml:space="preserve"> si la </w:t>
      </w:r>
      <w:r>
        <w:rPr>
          <w:rFonts w:cs="TimesNewRoman"/>
          <w:color w:val="000000"/>
          <w:szCs w:val="20"/>
          <w:lang w:val="es-CL"/>
        </w:rPr>
        <w:t xml:space="preserve">investigación por </w:t>
      </w:r>
      <w:r w:rsidRPr="00AF3E00">
        <w:rPr>
          <w:rFonts w:cs="TimesNewRoman"/>
          <w:color w:val="000000"/>
          <w:szCs w:val="20"/>
          <w:lang w:val="es-CL"/>
        </w:rPr>
        <w:t xml:space="preserve">compra directa y </w:t>
      </w:r>
      <w:r>
        <w:rPr>
          <w:rFonts w:cs="TimesNewRoman"/>
          <w:color w:val="000000"/>
          <w:szCs w:val="20"/>
          <w:lang w:val="es-CL"/>
        </w:rPr>
        <w:t>aquella dedicada exclusivamente a la</w:t>
      </w:r>
      <w:r w:rsidRPr="00AF3E00">
        <w:rPr>
          <w:rFonts w:cs="TimesNewRoman"/>
          <w:color w:val="000000"/>
          <w:szCs w:val="20"/>
          <w:lang w:val="es-CL"/>
        </w:rPr>
        <w:t xml:space="preserve"> investigación</w:t>
      </w:r>
      <w:r>
        <w:rPr>
          <w:rFonts w:cs="TimesNewRoman"/>
          <w:color w:val="000000"/>
          <w:szCs w:val="20"/>
          <w:lang w:val="es-CL"/>
        </w:rPr>
        <w:t>,</w:t>
      </w:r>
      <w:r w:rsidRPr="00AF3E00">
        <w:rPr>
          <w:rFonts w:cs="TimesNewRoman"/>
          <w:color w:val="000000"/>
          <w:szCs w:val="20"/>
          <w:lang w:val="es-CL"/>
        </w:rPr>
        <w:t xml:space="preserve"> pueden ser </w:t>
      </w:r>
      <w:r w:rsidR="00DD2049" w:rsidRPr="00AF3E00">
        <w:rPr>
          <w:rFonts w:cs="TimesNewRoman"/>
          <w:color w:val="000000"/>
          <w:szCs w:val="20"/>
          <w:lang w:val="es-CL"/>
        </w:rPr>
        <w:t>diseñadas</w:t>
      </w:r>
      <w:r w:rsidRPr="00AF3E00">
        <w:rPr>
          <w:rFonts w:cs="TimesNewRoman"/>
          <w:color w:val="000000"/>
          <w:szCs w:val="20"/>
          <w:lang w:val="es-CL"/>
        </w:rPr>
        <w:t xml:space="preserve"> </w:t>
      </w:r>
      <w:r>
        <w:rPr>
          <w:rFonts w:cs="TimesNewRoman"/>
          <w:color w:val="000000"/>
          <w:szCs w:val="20"/>
          <w:lang w:val="es-CL"/>
        </w:rPr>
        <w:t xml:space="preserve">en conjunto </w:t>
      </w:r>
      <w:r w:rsidRPr="00AF3E00">
        <w:rPr>
          <w:rFonts w:cs="TimesNewRoman"/>
          <w:color w:val="000000"/>
          <w:szCs w:val="20"/>
          <w:lang w:val="es-CL"/>
        </w:rPr>
        <w:t>para hacer frente a las preocupaciones de riesgo anteriores</w:t>
      </w:r>
      <w:r>
        <w:rPr>
          <w:rStyle w:val="Refdenotaalpie"/>
          <w:rFonts w:cs="TimesNewRoman"/>
          <w:color w:val="000000"/>
          <w:szCs w:val="20"/>
          <w:lang w:val="es-CL"/>
        </w:rPr>
        <w:footnoteReference w:id="38"/>
      </w:r>
      <w:r>
        <w:rPr>
          <w:rFonts w:cs="TimesNewRoman"/>
          <w:color w:val="000000"/>
          <w:szCs w:val="20"/>
          <w:lang w:val="es-CL"/>
        </w:rPr>
        <w:t>.</w:t>
      </w:r>
    </w:p>
    <w:p w14:paraId="4D562752" w14:textId="41442F1A" w:rsidR="00EF7361" w:rsidRDefault="00EF7361" w:rsidP="00EF7361">
      <w:bookmarkStart w:id="16" w:name="OLE_LINK13"/>
      <w:bookmarkStart w:id="17" w:name="OLE_LINK14"/>
      <w:r>
        <w:t xml:space="preserve">Por otro lado, </w:t>
      </w:r>
      <w:proofErr w:type="spellStart"/>
      <w:r w:rsidRPr="00395FB5">
        <w:rPr>
          <w:i/>
          <w:iCs/>
        </w:rPr>
        <w:t>The</w:t>
      </w:r>
      <w:proofErr w:type="spellEnd"/>
      <w:r w:rsidRPr="00395FB5">
        <w:rPr>
          <w:i/>
          <w:iCs/>
        </w:rPr>
        <w:t xml:space="preserve"> </w:t>
      </w:r>
      <w:proofErr w:type="spellStart"/>
      <w:r w:rsidRPr="00395FB5">
        <w:rPr>
          <w:i/>
          <w:iCs/>
        </w:rPr>
        <w:t>Ministry’s</w:t>
      </w:r>
      <w:proofErr w:type="spellEnd"/>
      <w:r w:rsidRPr="00395FB5">
        <w:rPr>
          <w:i/>
          <w:iCs/>
        </w:rPr>
        <w:t xml:space="preserve"> </w:t>
      </w:r>
      <w:proofErr w:type="spellStart"/>
      <w:r w:rsidRPr="00395FB5">
        <w:rPr>
          <w:i/>
          <w:iCs/>
        </w:rPr>
        <w:t>Observer</w:t>
      </w:r>
      <w:proofErr w:type="spellEnd"/>
      <w:r w:rsidRPr="00395FB5">
        <w:rPr>
          <w:i/>
          <w:iCs/>
        </w:rPr>
        <w:t xml:space="preserve"> </w:t>
      </w:r>
      <w:proofErr w:type="spellStart"/>
      <w:r w:rsidRPr="00395FB5">
        <w:rPr>
          <w:i/>
          <w:iCs/>
        </w:rPr>
        <w:t>Services</w:t>
      </w:r>
      <w:proofErr w:type="spellEnd"/>
      <w:r w:rsidRPr="00395FB5">
        <w:rPr>
          <w:i/>
          <w:iCs/>
        </w:rPr>
        <w:t xml:space="preserve"> </w:t>
      </w:r>
      <w:proofErr w:type="spellStart"/>
      <w:r w:rsidRPr="00395FB5">
        <w:rPr>
          <w:i/>
          <w:iCs/>
        </w:rPr>
        <w:t>Unit</w:t>
      </w:r>
      <w:bookmarkEnd w:id="16"/>
      <w:bookmarkEnd w:id="17"/>
      <w:proofErr w:type="spellEnd"/>
      <w:r>
        <w:rPr>
          <w:rStyle w:val="Refdenotaalpie"/>
        </w:rPr>
        <w:footnoteReference w:id="39"/>
      </w:r>
      <w:r>
        <w:t xml:space="preserve"> dirige el programa de observadores, en la prestación de estos servicios, a las especificaciones requeridas. Este programa se percibe, por la investigación de Park (2012), con un alto grado de independencia, sin vínculos financieros con la industria pesquera, y los incentivos para la parcialidad o información errónea deliberada son bajos</w:t>
      </w:r>
      <w:r>
        <w:rPr>
          <w:rStyle w:val="Refdenotaalpie"/>
        </w:rPr>
        <w:footnoteReference w:id="40"/>
      </w:r>
      <w:r>
        <w:t>. Lo relevante, es que</w:t>
      </w:r>
      <w:r w:rsidR="00DF063B">
        <w:t xml:space="preserve"> de acuerdo a la señalada autora</w:t>
      </w:r>
      <w:r>
        <w:t xml:space="preserve"> el programa actual funciona bien y ofrece una alta calidad servicios. Sin embargo, un problema es que según Park (2012) la industria considera que los costos son demasiado altos, por ello, para reducirlos, la industria propuso contratar directamente los servicios de observadores. Al respecto, el Ministerio busca establecer los contrapesos necesarios para garantizar la calidad de los datos y si los costos de las auditorías independientes son demasiado altos, no habrá aumento de la rentabilidad de la alternativa modelos de prestación de servicios, independientemente de quien se les proporciona.</w:t>
      </w:r>
    </w:p>
    <w:p w14:paraId="7D2F4688" w14:textId="0FBDCEFC" w:rsidR="00EF7361" w:rsidRDefault="00EF7361" w:rsidP="00EF7361">
      <w:r>
        <w:t xml:space="preserve">Así en una evaluación de (2009) se consideró que los principios de cualquier programa de observadores son la independencia / confianza (monitoreo y auditoría de credibilidad pesca), integridad (rendición de cuentas y transparencia para todos los interesados), compromisos internacionales, el valor (servicio debe representar relación calidad-precio) y (alta calidad basado en las normas y especificaciones claras y acordadas) calidad. Pero la industria de Nueva Zelandia </w:t>
      </w:r>
      <w:r w:rsidR="00DF063B">
        <w:t xml:space="preserve">según Park (2012) </w:t>
      </w:r>
      <w:r>
        <w:t xml:space="preserve">percibe el programa actual como carente de transparencia y de rendición de cuentas, y algunos critican la calidad de los datos recogido. La revisión de Park, analizó los diferentes puntos de vista sobre el programa actual, pero no pudo argumentar lógicamente que un servicio de terceros o tener a la industria como observador será mejor, usando las mismas normas (y potencialmente la misma gente) simplemente en virtud de la contratación externa. </w:t>
      </w:r>
    </w:p>
    <w:p w14:paraId="496953DA" w14:textId="74675867" w:rsidR="00EF7361" w:rsidRDefault="00EF7361">
      <w:pPr>
        <w:pStyle w:val="Ttulo1"/>
        <w:keepLines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6"/>
        </w:tabs>
        <w:spacing w:before="160" w:after="60" w:line="240" w:lineRule="auto"/>
        <w:ind w:left="426" w:hanging="426"/>
        <w:rPr>
          <w:bCs w:val="0"/>
          <w:color w:val="auto"/>
          <w:sz w:val="24"/>
          <w:szCs w:val="22"/>
        </w:rPr>
      </w:pPr>
      <w:bookmarkStart w:id="18" w:name="_Toc431896942"/>
      <w:bookmarkStart w:id="19" w:name="_Toc157529075"/>
      <w:r w:rsidRPr="00EF7361">
        <w:rPr>
          <w:bCs w:val="0"/>
          <w:color w:val="auto"/>
          <w:sz w:val="24"/>
          <w:szCs w:val="22"/>
        </w:rPr>
        <w:t>Dinamarca</w:t>
      </w:r>
      <w:bookmarkEnd w:id="18"/>
      <w:bookmarkEnd w:id="19"/>
    </w:p>
    <w:p w14:paraId="68C2A30A" w14:textId="5A4B1E3E" w:rsidR="00EF7361" w:rsidRPr="002C73A2" w:rsidRDefault="00EF7361" w:rsidP="000073B3">
      <w:pPr>
        <w:pStyle w:val="Ttulo3"/>
        <w:keepLines w:val="0"/>
        <w:numPr>
          <w:ilvl w:val="0"/>
          <w:numId w:val="27"/>
        </w:numPr>
        <w:pBdr>
          <w:top w:val="none" w:sz="0" w:space="0" w:color="auto"/>
          <w:left w:val="none" w:sz="0" w:space="0" w:color="auto"/>
          <w:bottom w:val="none" w:sz="0" w:space="0" w:color="auto"/>
          <w:right w:val="none" w:sz="0" w:space="0" w:color="auto"/>
          <w:between w:val="none" w:sz="0" w:space="0" w:color="auto"/>
        </w:pBdr>
        <w:spacing w:before="120" w:after="120" w:line="360" w:lineRule="auto"/>
        <w:rPr>
          <w:i w:val="0"/>
          <w:sz w:val="22"/>
          <w:szCs w:val="22"/>
        </w:rPr>
      </w:pPr>
      <w:bookmarkStart w:id="20" w:name="_Toc431896943"/>
      <w:bookmarkStart w:id="21" w:name="_Toc157529076"/>
      <w:r w:rsidRPr="002C73A2">
        <w:rPr>
          <w:i w:val="0"/>
          <w:sz w:val="22"/>
          <w:szCs w:val="22"/>
        </w:rPr>
        <w:t>Sistemas de manejo de pesquerías</w:t>
      </w:r>
      <w:bookmarkEnd w:id="20"/>
      <w:bookmarkEnd w:id="21"/>
      <w:r w:rsidRPr="002C73A2">
        <w:rPr>
          <w:i w:val="0"/>
          <w:sz w:val="22"/>
          <w:szCs w:val="22"/>
        </w:rPr>
        <w:t xml:space="preserve">  </w:t>
      </w:r>
    </w:p>
    <w:p w14:paraId="0DF5B677" w14:textId="1A548217" w:rsidR="00EF7361" w:rsidRPr="00BE35DB" w:rsidRDefault="00EF7361" w:rsidP="00EF7361">
      <w:pPr>
        <w:rPr>
          <w:rStyle w:val="longtext"/>
          <w:shd w:val="clear" w:color="auto" w:fill="FFFFFF"/>
          <w:lang w:val="es-CL"/>
        </w:rPr>
      </w:pPr>
      <w:r>
        <w:rPr>
          <w:rStyle w:val="longtext"/>
        </w:rPr>
        <w:t xml:space="preserve">El marco general para el manejo de los recursos pesqueros daneses se encuentra en </w:t>
      </w:r>
      <w:r>
        <w:rPr>
          <w:rStyle w:val="longtext"/>
          <w:szCs w:val="20"/>
        </w:rPr>
        <w:t>la P</w:t>
      </w:r>
      <w:r w:rsidRPr="009E70C3">
        <w:rPr>
          <w:rStyle w:val="longtext"/>
          <w:szCs w:val="20"/>
        </w:rPr>
        <w:t xml:space="preserve">olítica </w:t>
      </w:r>
      <w:r>
        <w:rPr>
          <w:rStyle w:val="longtext"/>
          <w:szCs w:val="20"/>
        </w:rPr>
        <w:t>P</w:t>
      </w:r>
      <w:r w:rsidRPr="009E70C3">
        <w:rPr>
          <w:rStyle w:val="longtext"/>
          <w:szCs w:val="20"/>
        </w:rPr>
        <w:t xml:space="preserve">esquera </w:t>
      </w:r>
      <w:r>
        <w:rPr>
          <w:rStyle w:val="longtext"/>
          <w:szCs w:val="20"/>
        </w:rPr>
        <w:t>C</w:t>
      </w:r>
      <w:r w:rsidRPr="009E70C3">
        <w:rPr>
          <w:rStyle w:val="longtext"/>
          <w:szCs w:val="20"/>
        </w:rPr>
        <w:t>omún</w:t>
      </w:r>
      <w:r>
        <w:rPr>
          <w:rStyle w:val="Refdenotaalpie"/>
          <w:szCs w:val="20"/>
        </w:rPr>
        <w:footnoteReference w:id="41"/>
      </w:r>
      <w:r w:rsidR="00630FCE">
        <w:rPr>
          <w:rStyle w:val="longtext"/>
          <w:szCs w:val="20"/>
        </w:rPr>
        <w:t xml:space="preserve"> de la Unión Europea.</w:t>
      </w:r>
      <w:r w:rsidR="00615C71">
        <w:rPr>
          <w:rStyle w:val="longtext"/>
          <w:szCs w:val="20"/>
        </w:rPr>
        <w:t xml:space="preserve"> </w:t>
      </w:r>
      <w:r w:rsidR="00615C71" w:rsidRPr="00615C71">
        <w:rPr>
          <w:rStyle w:val="longtext"/>
          <w:szCs w:val="20"/>
        </w:rPr>
        <w:t xml:space="preserve">Anualmente, la Unión Europea asigna posibilidades de pesca para la mayoría de sus especies comerciales, expresadas como totales admisibles de capturas (TAC). Sobre la base de las evaluaciones científicas del Consejo Internacional para la Exploración del Mar </w:t>
      </w:r>
      <w:r w:rsidR="00615C71" w:rsidRPr="00615C71">
        <w:rPr>
          <w:rStyle w:val="longtext"/>
          <w:szCs w:val="20"/>
        </w:rPr>
        <w:lastRenderedPageBreak/>
        <w:t>(CIEM) y del Comité Científico, Técnico y Económico de Pesca (CCTEP), la Comisión presenta al Consejo sus propuestas de TAC antes de que finalice cada año.</w:t>
      </w:r>
      <w:r w:rsidR="00615C71">
        <w:rPr>
          <w:rStyle w:val="Refdenotaalpie"/>
          <w:szCs w:val="20"/>
        </w:rPr>
        <w:footnoteReference w:id="42"/>
      </w:r>
    </w:p>
    <w:p w14:paraId="65CA8516" w14:textId="6A3E188F" w:rsidR="00603FEF" w:rsidRPr="00603FEF" w:rsidRDefault="00603FEF" w:rsidP="00603FEF">
      <w:pPr>
        <w:rPr>
          <w:rStyle w:val="longtext"/>
        </w:rPr>
      </w:pPr>
      <w:r>
        <w:rPr>
          <w:rStyle w:val="longtext"/>
        </w:rPr>
        <w:t xml:space="preserve">Se reconoce que las Capturas Totales Permisibles (TAC, por sus siglas en inglés) ayudan a evitar </w:t>
      </w:r>
      <w:r w:rsidRPr="00603FEF">
        <w:rPr>
          <w:rStyle w:val="longtext"/>
        </w:rPr>
        <w:t xml:space="preserve">la sobrepesca depende de controlar la cantidad de pescado que se captura, y se reconoce que </w:t>
      </w:r>
      <w:r>
        <w:rPr>
          <w:rStyle w:val="longtext"/>
        </w:rPr>
        <w:t xml:space="preserve">su cumplimiento y su establecimiento basados en criterios </w:t>
      </w:r>
      <w:r w:rsidRPr="00603FEF">
        <w:rPr>
          <w:rStyle w:val="longtext"/>
        </w:rPr>
        <w:t>científic</w:t>
      </w:r>
      <w:r>
        <w:rPr>
          <w:rStyle w:val="longtext"/>
        </w:rPr>
        <w:t>os</w:t>
      </w:r>
      <w:r w:rsidRPr="00603FEF">
        <w:rPr>
          <w:rStyle w:val="longtext"/>
        </w:rPr>
        <w:t xml:space="preserve"> para al menos las principales especies de interés comercial es una forma eficaz y transparente de lograrlo</w:t>
      </w:r>
      <w:r>
        <w:rPr>
          <w:rStyle w:val="Refdenotaalpie"/>
        </w:rPr>
        <w:footnoteReference w:id="43"/>
      </w:r>
      <w:r>
        <w:rPr>
          <w:rStyle w:val="longtext"/>
        </w:rPr>
        <w:t>.</w:t>
      </w:r>
    </w:p>
    <w:p w14:paraId="25608778" w14:textId="77777777" w:rsidR="00603FEF" w:rsidRPr="00603FEF" w:rsidRDefault="00603FEF" w:rsidP="00603FEF">
      <w:pPr>
        <w:rPr>
          <w:rStyle w:val="longtext"/>
        </w:rPr>
      </w:pPr>
      <w:r w:rsidRPr="00603FEF">
        <w:rPr>
          <w:rStyle w:val="longtext"/>
        </w:rPr>
        <w:t>representando el 50,4% del valor total de la producción pesquera en 2018. Cinco de estas especies estaban entonces completamente bajo los límites del TAC, mientras que 0 estaban parcialmente bajo los límites del TAC (es decir, se establecieron límites de TAC para algunas pesquerías dirigidas a estas especies, pero no para todas).</w:t>
      </w:r>
    </w:p>
    <w:p w14:paraId="4FF8C027" w14:textId="77777777" w:rsidR="00603FEF" w:rsidRDefault="00603FEF" w:rsidP="00603FEF">
      <w:pPr>
        <w:rPr>
          <w:rStyle w:val="longtext"/>
        </w:rPr>
      </w:pPr>
      <w:r>
        <w:rPr>
          <w:rStyle w:val="longtext"/>
        </w:rPr>
        <w:t xml:space="preserve">Dentro de las múltiples medidas de gestión de las pesquerías, destacan las </w:t>
      </w:r>
      <w:proofErr w:type="spellStart"/>
      <w:r w:rsidRPr="00FC4D54">
        <w:rPr>
          <w:rStyle w:val="longtext"/>
        </w:rPr>
        <w:t>CIT</w:t>
      </w:r>
      <w:r>
        <w:rPr>
          <w:rStyle w:val="longtext"/>
        </w:rPr>
        <w:t>s</w:t>
      </w:r>
      <w:proofErr w:type="spellEnd"/>
      <w:r w:rsidRPr="00FC4D54">
        <w:rPr>
          <w:rStyle w:val="longtext"/>
        </w:rPr>
        <w:t>, que se utilizan en el arenque y las pesquerías de caballa;</w:t>
      </w:r>
      <w:r>
        <w:rPr>
          <w:rStyle w:val="longtext"/>
        </w:rPr>
        <w:t xml:space="preserve"> y las </w:t>
      </w:r>
      <w:r w:rsidRPr="00FC4D54">
        <w:rPr>
          <w:rStyle w:val="longtext"/>
        </w:rPr>
        <w:t>cuotas atribuidas a buques individuales (</w:t>
      </w:r>
      <w:r>
        <w:rPr>
          <w:rStyle w:val="longtext"/>
        </w:rPr>
        <w:t xml:space="preserve">que </w:t>
      </w:r>
      <w:r w:rsidRPr="00FC4D54">
        <w:rPr>
          <w:rStyle w:val="longtext"/>
        </w:rPr>
        <w:t xml:space="preserve">pueden ser agrupados </w:t>
      </w:r>
      <w:r>
        <w:rPr>
          <w:rStyle w:val="longtext"/>
        </w:rPr>
        <w:t xml:space="preserve">para </w:t>
      </w:r>
      <w:r w:rsidRPr="00FC4D54">
        <w:rPr>
          <w:rStyle w:val="longtext"/>
        </w:rPr>
        <w:t>un grupo de</w:t>
      </w:r>
      <w:r>
        <w:rPr>
          <w:rStyle w:val="longtext"/>
        </w:rPr>
        <w:t xml:space="preserve"> embarcaciones)</w:t>
      </w:r>
      <w:r>
        <w:rPr>
          <w:rStyle w:val="Refdenotaalpie"/>
        </w:rPr>
        <w:footnoteReference w:id="44"/>
      </w:r>
      <w:r w:rsidRPr="00FC4D54">
        <w:rPr>
          <w:rStyle w:val="longtext"/>
        </w:rPr>
        <w:t>.</w:t>
      </w:r>
    </w:p>
    <w:p w14:paraId="3CB56CC4" w14:textId="77777777" w:rsidR="00EF7361" w:rsidRDefault="00EF7361" w:rsidP="00883F22">
      <w:pPr>
        <w:rPr>
          <w:rStyle w:val="hps"/>
        </w:rPr>
      </w:pPr>
      <w:r>
        <w:rPr>
          <w:rStyle w:val="hps"/>
        </w:rPr>
        <w:t>Cuando</w:t>
      </w:r>
      <w:r>
        <w:t xml:space="preserve"> </w:t>
      </w:r>
      <w:r>
        <w:rPr>
          <w:rStyle w:val="hps"/>
        </w:rPr>
        <w:t xml:space="preserve">se introdujo el sistema de </w:t>
      </w:r>
      <w:proofErr w:type="spellStart"/>
      <w:r>
        <w:rPr>
          <w:rStyle w:val="hps"/>
        </w:rPr>
        <w:t>CITs</w:t>
      </w:r>
      <w:proofErr w:type="spellEnd"/>
      <w:r>
        <w:rPr>
          <w:rStyle w:val="hps"/>
        </w:rPr>
        <w:t xml:space="preserve"> se requirió implementar algunas restricciones sobre</w:t>
      </w:r>
      <w:r>
        <w:t xml:space="preserve"> </w:t>
      </w:r>
      <w:r>
        <w:rPr>
          <w:rStyle w:val="hps"/>
        </w:rPr>
        <w:t>la concentración</w:t>
      </w:r>
      <w:r>
        <w:t xml:space="preserve"> </w:t>
      </w:r>
      <w:r>
        <w:rPr>
          <w:rStyle w:val="hps"/>
        </w:rPr>
        <w:t>de cuotas: ningún buque pesquero o persona</w:t>
      </w:r>
      <w:r>
        <w:t xml:space="preserve"> puede </w:t>
      </w:r>
      <w:r>
        <w:rPr>
          <w:rStyle w:val="hps"/>
        </w:rPr>
        <w:t>tener</w:t>
      </w:r>
      <w:r>
        <w:t xml:space="preserve"> </w:t>
      </w:r>
      <w:r>
        <w:rPr>
          <w:rStyle w:val="hps"/>
        </w:rPr>
        <w:t>una posición</w:t>
      </w:r>
      <w:r>
        <w:t xml:space="preserve"> </w:t>
      </w:r>
      <w:r>
        <w:rPr>
          <w:rStyle w:val="hps"/>
        </w:rPr>
        <w:t>dominante. Luego, a partir de 2012</w:t>
      </w:r>
      <w:r>
        <w:t xml:space="preserve"> </w:t>
      </w:r>
      <w:r>
        <w:rPr>
          <w:rStyle w:val="hps"/>
        </w:rPr>
        <w:t>se implementaron</w:t>
      </w:r>
      <w:r>
        <w:t xml:space="preserve"> </w:t>
      </w:r>
      <w:r>
        <w:rPr>
          <w:rStyle w:val="hps"/>
        </w:rPr>
        <w:t>normas más simples, incluyendo</w:t>
      </w:r>
      <w:r>
        <w:rPr>
          <w:rStyle w:val="Refdenotaalpie"/>
          <w:szCs w:val="20"/>
        </w:rPr>
        <w:footnoteReference w:id="45"/>
      </w:r>
      <w:r>
        <w:rPr>
          <w:rStyle w:val="hps"/>
        </w:rPr>
        <w:t>:</w:t>
      </w:r>
    </w:p>
    <w:p w14:paraId="171A7891" w14:textId="77777777" w:rsidR="00EF7361" w:rsidRDefault="00EF7361" w:rsidP="002C73A2">
      <w:pPr>
        <w:numPr>
          <w:ilvl w:val="0"/>
          <w:numId w:val="8"/>
        </w:numPr>
        <w:pBdr>
          <w:top w:val="none" w:sz="0" w:space="0" w:color="auto"/>
          <w:left w:val="none" w:sz="0" w:space="0" w:color="auto"/>
          <w:bottom w:val="none" w:sz="0" w:space="0" w:color="auto"/>
          <w:right w:val="none" w:sz="0" w:space="0" w:color="auto"/>
          <w:between w:val="none" w:sz="0" w:space="0" w:color="auto"/>
        </w:pBdr>
        <w:spacing w:after="0"/>
        <w:ind w:left="714" w:hanging="357"/>
      </w:pPr>
      <w:r>
        <w:rPr>
          <w:rStyle w:val="hps"/>
        </w:rPr>
        <w:t>Ningún buque</w:t>
      </w:r>
      <w:r>
        <w:t xml:space="preserve"> pesquero </w:t>
      </w:r>
      <w:r>
        <w:rPr>
          <w:rStyle w:val="hps"/>
        </w:rPr>
        <w:t>pueda</w:t>
      </w:r>
      <w:r>
        <w:t xml:space="preserve"> </w:t>
      </w:r>
      <w:r>
        <w:rPr>
          <w:rStyle w:val="hps"/>
        </w:rPr>
        <w:t>tener una participación en</w:t>
      </w:r>
      <w:r>
        <w:t xml:space="preserve"> </w:t>
      </w:r>
      <w:r>
        <w:rPr>
          <w:rStyle w:val="hps"/>
        </w:rPr>
        <w:t>las pesquerías</w:t>
      </w:r>
      <w:r>
        <w:t xml:space="preserve"> </w:t>
      </w:r>
      <w:r>
        <w:rPr>
          <w:rStyle w:val="hps"/>
        </w:rPr>
        <w:t>IOK/FKA</w:t>
      </w:r>
      <w:r>
        <w:rPr>
          <w:rStyle w:val="Refdenotaalpie"/>
        </w:rPr>
        <w:footnoteReference w:id="46"/>
      </w:r>
      <w:r>
        <w:t xml:space="preserve"> </w:t>
      </w:r>
      <w:r>
        <w:rPr>
          <w:rStyle w:val="hps"/>
        </w:rPr>
        <w:t>que supere los límites</w:t>
      </w:r>
      <w:r>
        <w:t xml:space="preserve"> establecidos </w:t>
      </w:r>
      <w:r>
        <w:rPr>
          <w:rStyle w:val="hps"/>
        </w:rPr>
        <w:t xml:space="preserve">(los </w:t>
      </w:r>
      <w:r>
        <w:t xml:space="preserve">límites varían entre cuotas </w:t>
      </w:r>
      <w:r>
        <w:rPr>
          <w:rStyle w:val="hps"/>
        </w:rPr>
        <w:t>individuales, pero</w:t>
      </w:r>
      <w:r>
        <w:t xml:space="preserve"> </w:t>
      </w:r>
      <w:r>
        <w:rPr>
          <w:rStyle w:val="hps"/>
        </w:rPr>
        <w:t>normalmente se establece</w:t>
      </w:r>
      <w:r>
        <w:t xml:space="preserve"> </w:t>
      </w:r>
      <w:r>
        <w:rPr>
          <w:rStyle w:val="hps"/>
        </w:rPr>
        <w:t>en 5%</w:t>
      </w:r>
      <w:r>
        <w:t>).</w:t>
      </w:r>
    </w:p>
    <w:p w14:paraId="6D901296" w14:textId="77777777" w:rsidR="00EF7361" w:rsidRPr="002D2987" w:rsidRDefault="00EF7361" w:rsidP="002C73A2">
      <w:pPr>
        <w:numPr>
          <w:ilvl w:val="0"/>
          <w:numId w:val="8"/>
        </w:numPr>
        <w:pBdr>
          <w:top w:val="none" w:sz="0" w:space="0" w:color="auto"/>
          <w:left w:val="none" w:sz="0" w:space="0" w:color="auto"/>
          <w:bottom w:val="none" w:sz="0" w:space="0" w:color="auto"/>
          <w:right w:val="none" w:sz="0" w:space="0" w:color="auto"/>
          <w:between w:val="none" w:sz="0" w:space="0" w:color="auto"/>
        </w:pBdr>
        <w:spacing w:after="0"/>
        <w:ind w:left="714" w:hanging="357"/>
        <w:rPr>
          <w:rStyle w:val="longtext"/>
        </w:rPr>
      </w:pPr>
      <w:r>
        <w:rPr>
          <w:rStyle w:val="hps"/>
        </w:rPr>
        <w:t>Ninguna persona</w:t>
      </w:r>
      <w:r>
        <w:t xml:space="preserve"> </w:t>
      </w:r>
      <w:r>
        <w:rPr>
          <w:rStyle w:val="hps"/>
        </w:rPr>
        <w:t>pueda</w:t>
      </w:r>
      <w:r>
        <w:t xml:space="preserve">, directa o </w:t>
      </w:r>
      <w:r>
        <w:rPr>
          <w:rStyle w:val="hps"/>
        </w:rPr>
        <w:t>indirectamente (a</w:t>
      </w:r>
      <w:r>
        <w:t xml:space="preserve"> </w:t>
      </w:r>
      <w:r>
        <w:rPr>
          <w:rStyle w:val="hps"/>
        </w:rPr>
        <w:t>través de la propiedad</w:t>
      </w:r>
      <w:r>
        <w:t xml:space="preserve"> </w:t>
      </w:r>
      <w:r>
        <w:rPr>
          <w:rStyle w:val="hps"/>
        </w:rPr>
        <w:t>o a través de</w:t>
      </w:r>
      <w:r>
        <w:t xml:space="preserve"> </w:t>
      </w:r>
      <w:r>
        <w:rPr>
          <w:rStyle w:val="hps"/>
        </w:rPr>
        <w:t>sociedades propietarias de</w:t>
      </w:r>
      <w:r>
        <w:t xml:space="preserve"> </w:t>
      </w:r>
      <w:r>
        <w:rPr>
          <w:rStyle w:val="hps"/>
        </w:rPr>
        <w:t>buques</w:t>
      </w:r>
      <w:r>
        <w:t xml:space="preserve">), tener </w:t>
      </w:r>
      <w:r>
        <w:rPr>
          <w:rStyle w:val="hps"/>
        </w:rPr>
        <w:t>una participación</w:t>
      </w:r>
      <w:r>
        <w:t xml:space="preserve"> </w:t>
      </w:r>
      <w:r>
        <w:rPr>
          <w:rStyle w:val="hps"/>
        </w:rPr>
        <w:t>que supere</w:t>
      </w:r>
      <w:r>
        <w:t xml:space="preserve"> </w:t>
      </w:r>
      <w:r>
        <w:rPr>
          <w:rStyle w:val="hps"/>
        </w:rPr>
        <w:t>los límites</w:t>
      </w:r>
      <w:r>
        <w:t xml:space="preserve"> establecidos.</w:t>
      </w:r>
    </w:p>
    <w:p w14:paraId="312F93BE" w14:textId="77777777" w:rsidR="00364264" w:rsidRDefault="00364264" w:rsidP="002C73A2">
      <w:pPr>
        <w:autoSpaceDE w:val="0"/>
        <w:autoSpaceDN w:val="0"/>
        <w:adjustRightInd w:val="0"/>
        <w:spacing w:after="0"/>
        <w:rPr>
          <w:rStyle w:val="hps"/>
        </w:rPr>
      </w:pPr>
    </w:p>
    <w:p w14:paraId="0C35D659" w14:textId="77777777" w:rsidR="00EF7361" w:rsidRDefault="00EF7361" w:rsidP="002C73A2">
      <w:pPr>
        <w:autoSpaceDE w:val="0"/>
        <w:autoSpaceDN w:val="0"/>
        <w:adjustRightInd w:val="0"/>
        <w:spacing w:after="0"/>
      </w:pPr>
      <w:r>
        <w:rPr>
          <w:rStyle w:val="hps"/>
        </w:rPr>
        <w:t>Algunas pesquerías</w:t>
      </w:r>
      <w:r>
        <w:t xml:space="preserve">, pero no de cuotas, </w:t>
      </w:r>
      <w:r>
        <w:rPr>
          <w:rStyle w:val="hps"/>
        </w:rPr>
        <w:t>se regulan</w:t>
      </w:r>
      <w:r>
        <w:t xml:space="preserve"> </w:t>
      </w:r>
      <w:r>
        <w:rPr>
          <w:rStyle w:val="hps"/>
        </w:rPr>
        <w:t>en base a</w:t>
      </w:r>
      <w:r>
        <w:t xml:space="preserve"> </w:t>
      </w:r>
      <w:r>
        <w:rPr>
          <w:rStyle w:val="hps"/>
        </w:rPr>
        <w:t xml:space="preserve">licencias, como </w:t>
      </w:r>
      <w:r>
        <w:t xml:space="preserve">el </w:t>
      </w:r>
      <w:r>
        <w:rPr>
          <w:rStyle w:val="hps"/>
        </w:rPr>
        <w:t>camarón marrón</w:t>
      </w:r>
      <w:r>
        <w:t xml:space="preserve"> </w:t>
      </w:r>
      <w:r>
        <w:rPr>
          <w:rStyle w:val="hps"/>
        </w:rPr>
        <w:t>y el mejillón</w:t>
      </w:r>
      <w:r>
        <w:t xml:space="preserve"> </w:t>
      </w:r>
      <w:r>
        <w:rPr>
          <w:rStyle w:val="hps"/>
        </w:rPr>
        <w:t>azul (aunque desde 2009,</w:t>
      </w:r>
      <w:r>
        <w:t xml:space="preserve"> </w:t>
      </w:r>
      <w:r>
        <w:rPr>
          <w:rStyle w:val="hps"/>
        </w:rPr>
        <w:t>los certificados</w:t>
      </w:r>
      <w:r>
        <w:t xml:space="preserve"> </w:t>
      </w:r>
      <w:r>
        <w:rPr>
          <w:rStyle w:val="hps"/>
        </w:rPr>
        <w:t>de</w:t>
      </w:r>
      <w:r>
        <w:t xml:space="preserve"> </w:t>
      </w:r>
      <w:r>
        <w:rPr>
          <w:rStyle w:val="hps"/>
        </w:rPr>
        <w:t>mejillón</w:t>
      </w:r>
      <w:r>
        <w:t xml:space="preserve"> </w:t>
      </w:r>
      <w:r>
        <w:rPr>
          <w:rStyle w:val="hps"/>
        </w:rPr>
        <w:t>se pueden comerciar)</w:t>
      </w:r>
      <w:r>
        <w:rPr>
          <w:rStyle w:val="Refdenotaalpie"/>
          <w:szCs w:val="20"/>
        </w:rPr>
        <w:footnoteReference w:id="47"/>
      </w:r>
      <w:r>
        <w:t>.</w:t>
      </w:r>
    </w:p>
    <w:p w14:paraId="776C29FA" w14:textId="77777777" w:rsidR="00364264" w:rsidRDefault="00364264" w:rsidP="002C73A2">
      <w:pPr>
        <w:autoSpaceDE w:val="0"/>
        <w:autoSpaceDN w:val="0"/>
        <w:adjustRightInd w:val="0"/>
        <w:spacing w:after="0"/>
      </w:pPr>
    </w:p>
    <w:p w14:paraId="086CD406" w14:textId="77777777" w:rsidR="00EF7361" w:rsidRDefault="00EF7361" w:rsidP="002C73A2">
      <w:pPr>
        <w:autoSpaceDE w:val="0"/>
        <w:autoSpaceDN w:val="0"/>
        <w:adjustRightInd w:val="0"/>
        <w:spacing w:after="0"/>
        <w:rPr>
          <w:rStyle w:val="longtext"/>
        </w:rPr>
      </w:pPr>
      <w:r>
        <w:rPr>
          <w:rStyle w:val="longtext"/>
        </w:rPr>
        <w:t xml:space="preserve">Una vez que se adopta la TAC en el mes de diciembre de cada año, el sistema de manejo de los recursos es establecido a través de una Orden Ministerial, y los principios adoptados son discutidos </w:t>
      </w:r>
      <w:r>
        <w:rPr>
          <w:rStyle w:val="longtext"/>
          <w:shd w:val="clear" w:color="auto" w:fill="FFFFFF"/>
        </w:rPr>
        <w:t>con las organizaciones de pescadores y la industria pesquera, antes que las condiciones sean finalmente asignadas. Las gestiones tienen lugar en el Comité Regulatorio, en el cual las organizaciones y el Ministerio de Ambiente y Alimentación (</w:t>
      </w:r>
      <w:proofErr w:type="spellStart"/>
      <w:r w:rsidRPr="0067204B">
        <w:rPr>
          <w:i/>
        </w:rPr>
        <w:t>Ministry</w:t>
      </w:r>
      <w:proofErr w:type="spellEnd"/>
      <w:r w:rsidRPr="0067204B">
        <w:rPr>
          <w:i/>
        </w:rPr>
        <w:t xml:space="preserve"> </w:t>
      </w:r>
      <w:proofErr w:type="spellStart"/>
      <w:r w:rsidRPr="0067204B">
        <w:rPr>
          <w:i/>
        </w:rPr>
        <w:t>of</w:t>
      </w:r>
      <w:proofErr w:type="spellEnd"/>
      <w:r w:rsidRPr="0067204B">
        <w:rPr>
          <w:i/>
        </w:rPr>
        <w:t xml:space="preserve"> </w:t>
      </w:r>
      <w:proofErr w:type="spellStart"/>
      <w:r w:rsidRPr="0067204B">
        <w:rPr>
          <w:i/>
        </w:rPr>
        <w:t>the</w:t>
      </w:r>
      <w:proofErr w:type="spellEnd"/>
      <w:r w:rsidRPr="0067204B">
        <w:rPr>
          <w:i/>
        </w:rPr>
        <w:t xml:space="preserve"> </w:t>
      </w:r>
      <w:proofErr w:type="spellStart"/>
      <w:r w:rsidRPr="0067204B">
        <w:rPr>
          <w:i/>
        </w:rPr>
        <w:t>Environment</w:t>
      </w:r>
      <w:proofErr w:type="spellEnd"/>
      <w:r w:rsidRPr="0067204B">
        <w:rPr>
          <w:i/>
        </w:rPr>
        <w:t xml:space="preserve"> and </w:t>
      </w:r>
      <w:proofErr w:type="spellStart"/>
      <w:r w:rsidRPr="0067204B">
        <w:rPr>
          <w:i/>
        </w:rPr>
        <w:t>Food</w:t>
      </w:r>
      <w:proofErr w:type="spellEnd"/>
      <w:r>
        <w:t>)</w:t>
      </w:r>
      <w:r>
        <w:rPr>
          <w:rStyle w:val="Refdenotaalpie"/>
        </w:rPr>
        <w:footnoteReference w:id="48"/>
      </w:r>
      <w:r w:rsidRPr="001D5747">
        <w:t xml:space="preserve"> </w:t>
      </w:r>
      <w:r>
        <w:rPr>
          <w:rStyle w:val="longtext"/>
          <w:shd w:val="clear" w:color="auto" w:fill="FFFFFF"/>
        </w:rPr>
        <w:t xml:space="preserve">están representados. </w:t>
      </w:r>
      <w:r>
        <w:rPr>
          <w:rStyle w:val="longtext"/>
        </w:rPr>
        <w:t xml:space="preserve">El Comité se reúne mensualmente para evaluar la situación actual de captura/cuota para posibles cambios. </w:t>
      </w:r>
      <w:r>
        <w:rPr>
          <w:rStyle w:val="longtext"/>
        </w:rPr>
        <w:lastRenderedPageBreak/>
        <w:t>El Comité Regulatorio se creó en 1979 para asesorar al Ministro de Pesca, tanto en la administración nacional de las cuotas asignadas como en la política nacional de capacidad</w:t>
      </w:r>
      <w:r>
        <w:rPr>
          <w:rStyle w:val="Refdenotaalpie"/>
          <w:shd w:val="clear" w:color="auto" w:fill="FFFFFF"/>
        </w:rPr>
        <w:footnoteReference w:id="49"/>
      </w:r>
      <w:r>
        <w:rPr>
          <w:rStyle w:val="longtext"/>
        </w:rPr>
        <w:t>.</w:t>
      </w:r>
    </w:p>
    <w:p w14:paraId="0B54C189" w14:textId="77777777" w:rsidR="00364264" w:rsidRDefault="00364264" w:rsidP="002C73A2">
      <w:pPr>
        <w:autoSpaceDE w:val="0"/>
        <w:autoSpaceDN w:val="0"/>
        <w:adjustRightInd w:val="0"/>
        <w:spacing w:after="0"/>
        <w:rPr>
          <w:rStyle w:val="longtext"/>
        </w:rPr>
      </w:pPr>
    </w:p>
    <w:p w14:paraId="520EACCA" w14:textId="77777777" w:rsidR="00EF7361" w:rsidRDefault="00EF7361" w:rsidP="00EF7361">
      <w:pPr>
        <w:autoSpaceDE w:val="0"/>
        <w:autoSpaceDN w:val="0"/>
        <w:adjustRightInd w:val="0"/>
        <w:rPr>
          <w:rStyle w:val="longtext"/>
          <w:shd w:val="clear" w:color="auto" w:fill="FFFFFF"/>
          <w:lang w:val="es-CL"/>
        </w:rPr>
      </w:pPr>
      <w:r>
        <w:rPr>
          <w:rStyle w:val="longtext"/>
          <w:shd w:val="clear" w:color="auto" w:fill="FFFFFF"/>
        </w:rPr>
        <w:t xml:space="preserve">En el 2003, el sistema regulatorio introdujo las </w:t>
      </w:r>
      <w:proofErr w:type="spellStart"/>
      <w:r>
        <w:rPr>
          <w:rStyle w:val="longtext"/>
          <w:shd w:val="clear" w:color="auto" w:fill="FFFFFF"/>
        </w:rPr>
        <w:t>CITs</w:t>
      </w:r>
      <w:proofErr w:type="spellEnd"/>
      <w:r>
        <w:rPr>
          <w:rStyle w:val="longtext"/>
          <w:shd w:val="clear" w:color="auto" w:fill="FFFFFF"/>
        </w:rPr>
        <w:t xml:space="preserve"> para el arenque del Mar del Norte, </w:t>
      </w:r>
      <w:proofErr w:type="spellStart"/>
      <w:r>
        <w:rPr>
          <w:rStyle w:val="longtext"/>
          <w:shd w:val="clear" w:color="auto" w:fill="FFFFFF"/>
        </w:rPr>
        <w:t>Skagerrak</w:t>
      </w:r>
      <w:proofErr w:type="spellEnd"/>
      <w:r>
        <w:rPr>
          <w:rStyle w:val="longtext"/>
          <w:shd w:val="clear" w:color="auto" w:fill="FFFFFF"/>
        </w:rPr>
        <w:t xml:space="preserve"> y Kattegat (pesquería pelágica). Dichas Cuotas habían sido distribuidas a los buques de acuerdo con sus capturas históricas en los años anteriores</w:t>
      </w:r>
      <w:r>
        <w:rPr>
          <w:rStyle w:val="Refdenotaalpie"/>
          <w:shd w:val="clear" w:color="auto" w:fill="FFFFFF"/>
        </w:rPr>
        <w:footnoteReference w:id="50"/>
      </w:r>
      <w:r w:rsidRPr="00E831ED">
        <w:rPr>
          <w:rStyle w:val="longtext"/>
          <w:lang w:val="es-CL"/>
        </w:rPr>
        <w:t>.</w:t>
      </w:r>
      <w:r>
        <w:rPr>
          <w:rStyle w:val="longtext"/>
          <w:lang w:val="es-CL"/>
        </w:rPr>
        <w:t xml:space="preserve"> Pero, a partir del año 2007, </w:t>
      </w:r>
      <w:r>
        <w:rPr>
          <w:rStyle w:val="mediumtext"/>
        </w:rPr>
        <w:t xml:space="preserve">los buques obtuvieron cuotas en la pesquería de especies </w:t>
      </w:r>
      <w:proofErr w:type="spellStart"/>
      <w:r>
        <w:rPr>
          <w:rStyle w:val="mediumtext"/>
        </w:rPr>
        <w:t>demersales</w:t>
      </w:r>
      <w:proofErr w:type="spellEnd"/>
      <w:r>
        <w:rPr>
          <w:rStyle w:val="Refdenotaalpie"/>
          <w:lang w:val="es-CL"/>
        </w:rPr>
        <w:footnoteReference w:id="51"/>
      </w:r>
      <w:r>
        <w:rPr>
          <w:rStyle w:val="longtext"/>
          <w:shd w:val="clear" w:color="auto" w:fill="FFFFFF"/>
          <w:lang w:val="es-CL"/>
        </w:rPr>
        <w:t>.</w:t>
      </w:r>
    </w:p>
    <w:p w14:paraId="1807AD95" w14:textId="1063EB4C" w:rsidR="00EF7361" w:rsidRDefault="00EF7361" w:rsidP="00EF7361">
      <w:pPr>
        <w:autoSpaceDE w:val="0"/>
        <w:autoSpaceDN w:val="0"/>
        <w:adjustRightInd w:val="0"/>
        <w:rPr>
          <w:rStyle w:val="longtext"/>
          <w:lang w:val="es-CL"/>
        </w:rPr>
      </w:pPr>
      <w:r>
        <w:rPr>
          <w:rStyle w:val="longtext"/>
        </w:rPr>
        <w:t>Así, los buques pesqueros daneses operan dentro de los siguientes sistemas generales: cuotas individuales transferibles, porciones de cuotas de buques (FKA, MAFF y OF1) y licencias pesqueras</w:t>
      </w:r>
      <w:r w:rsidR="00364264">
        <w:rPr>
          <w:rStyle w:val="longtext"/>
        </w:rPr>
        <w:t>. Todas</w:t>
      </w:r>
      <w:r>
        <w:rPr>
          <w:rStyle w:val="longtext"/>
        </w:rPr>
        <w:t xml:space="preserve"> dan lugar a derechos pesqueros que son asignados y que, según el sistema operante, representan el </w:t>
      </w:r>
      <w:r w:rsidRPr="0004011A">
        <w:rPr>
          <w:rStyle w:val="longtext"/>
          <w:lang w:val="es-CL"/>
        </w:rPr>
        <w:t>35%</w:t>
      </w:r>
      <w:r>
        <w:rPr>
          <w:rStyle w:val="longtext"/>
          <w:lang w:val="es-CL"/>
        </w:rPr>
        <w:t xml:space="preserve">, </w:t>
      </w:r>
      <w:r w:rsidRPr="0004011A">
        <w:rPr>
          <w:rStyle w:val="longtext"/>
          <w:lang w:val="es-CL"/>
        </w:rPr>
        <w:t xml:space="preserve">55% </w:t>
      </w:r>
      <w:r>
        <w:rPr>
          <w:rStyle w:val="longtext"/>
          <w:lang w:val="es-CL"/>
        </w:rPr>
        <w:t xml:space="preserve">y </w:t>
      </w:r>
      <w:r w:rsidRPr="0004011A">
        <w:rPr>
          <w:rStyle w:val="longtext"/>
          <w:lang w:val="es-CL"/>
        </w:rPr>
        <w:t>8%</w:t>
      </w:r>
      <w:r>
        <w:rPr>
          <w:rStyle w:val="longtext"/>
          <w:lang w:val="es-CL"/>
        </w:rPr>
        <w:t xml:space="preserve"> del v</w:t>
      </w:r>
      <w:proofErr w:type="spellStart"/>
      <w:r>
        <w:rPr>
          <w:rStyle w:val="shorttext"/>
        </w:rPr>
        <w:t>alor</w:t>
      </w:r>
      <w:proofErr w:type="spellEnd"/>
      <w:r>
        <w:rPr>
          <w:rStyle w:val="shorttext"/>
        </w:rPr>
        <w:t xml:space="preserve"> de las capturas totales</w:t>
      </w:r>
      <w:r>
        <w:rPr>
          <w:rStyle w:val="Refdenotaalpie"/>
        </w:rPr>
        <w:footnoteReference w:id="52"/>
      </w:r>
      <w:r w:rsidRPr="0004011A">
        <w:rPr>
          <w:rStyle w:val="longtext"/>
          <w:lang w:val="es-CL"/>
        </w:rPr>
        <w:t>.</w:t>
      </w:r>
    </w:p>
    <w:p w14:paraId="799AEBB1" w14:textId="77777777" w:rsidR="00EF7361" w:rsidRDefault="00EF7361" w:rsidP="00EF7361">
      <w:pPr>
        <w:autoSpaceDE w:val="0"/>
        <w:autoSpaceDN w:val="0"/>
        <w:adjustRightInd w:val="0"/>
      </w:pPr>
      <w:r>
        <w:rPr>
          <w:rStyle w:val="hps"/>
        </w:rPr>
        <w:t>De acuerdo a las normas nacionales, que regulan la pesca comercial</w:t>
      </w:r>
      <w:r>
        <w:t xml:space="preserve"> </w:t>
      </w:r>
      <w:r>
        <w:rPr>
          <w:rStyle w:val="hps"/>
        </w:rPr>
        <w:t xml:space="preserve">en Dinamarca para el </w:t>
      </w:r>
      <w:r>
        <w:t xml:space="preserve">período </w:t>
      </w:r>
      <w:r>
        <w:rPr>
          <w:rStyle w:val="hps"/>
        </w:rPr>
        <w:t xml:space="preserve">2014-2020 (Orden </w:t>
      </w:r>
      <w:proofErr w:type="spellStart"/>
      <w:r>
        <w:rPr>
          <w:rStyle w:val="hps"/>
        </w:rPr>
        <w:t>Nº</w:t>
      </w:r>
      <w:proofErr w:type="spellEnd"/>
      <w:r>
        <w:t xml:space="preserve"> </w:t>
      </w:r>
      <w:r>
        <w:rPr>
          <w:rStyle w:val="hps"/>
        </w:rPr>
        <w:t>1.423), independientemente de donde</w:t>
      </w:r>
      <w:r>
        <w:t xml:space="preserve"> </w:t>
      </w:r>
      <w:r>
        <w:rPr>
          <w:rStyle w:val="hps"/>
        </w:rPr>
        <w:t>se produzca la pesca</w:t>
      </w:r>
      <w:r>
        <w:t xml:space="preserve">, los armadores </w:t>
      </w:r>
      <w:r>
        <w:rPr>
          <w:rStyle w:val="hps"/>
        </w:rPr>
        <w:t>deben cumplir con las</w:t>
      </w:r>
      <w:r>
        <w:t xml:space="preserve"> </w:t>
      </w:r>
      <w:r>
        <w:rPr>
          <w:rStyle w:val="hps"/>
        </w:rPr>
        <w:t>disposiciones</w:t>
      </w:r>
      <w:r>
        <w:t xml:space="preserve"> </w:t>
      </w:r>
      <w:r>
        <w:rPr>
          <w:rStyle w:val="hps"/>
        </w:rPr>
        <w:t>de pesca</w:t>
      </w:r>
      <w:r>
        <w:t xml:space="preserve"> </w:t>
      </w:r>
      <w:r>
        <w:rPr>
          <w:rStyle w:val="hps"/>
        </w:rPr>
        <w:t>vigentes, en</w:t>
      </w:r>
      <w:r>
        <w:t xml:space="preserve"> </w:t>
      </w:r>
      <w:r>
        <w:rPr>
          <w:rStyle w:val="hps"/>
        </w:rPr>
        <w:t>cumplimiento</w:t>
      </w:r>
      <w:r>
        <w:t xml:space="preserve"> con </w:t>
      </w:r>
      <w:r>
        <w:rPr>
          <w:rStyle w:val="hps"/>
        </w:rPr>
        <w:t>la regulación de la UE sobre conservación</w:t>
      </w:r>
      <w:r>
        <w:t xml:space="preserve"> </w:t>
      </w:r>
      <w:r>
        <w:rPr>
          <w:rStyle w:val="hps"/>
        </w:rPr>
        <w:t>de los recursos pesqueros</w:t>
      </w:r>
      <w:r>
        <w:t xml:space="preserve">. </w:t>
      </w:r>
      <w:r>
        <w:rPr>
          <w:rStyle w:val="hps"/>
        </w:rPr>
        <w:t>Los buques</w:t>
      </w:r>
      <w:r>
        <w:t xml:space="preserve"> </w:t>
      </w:r>
      <w:r>
        <w:rPr>
          <w:rStyle w:val="hps"/>
        </w:rPr>
        <w:t>están sujetos</w:t>
      </w:r>
      <w:r>
        <w:t xml:space="preserve"> </w:t>
      </w:r>
      <w:r>
        <w:rPr>
          <w:rStyle w:val="hps"/>
        </w:rPr>
        <w:t>a autorización</w:t>
      </w:r>
      <w:r>
        <w:t xml:space="preserve"> </w:t>
      </w:r>
      <w:r>
        <w:rPr>
          <w:rStyle w:val="hps"/>
        </w:rPr>
        <w:t>para operar,</w:t>
      </w:r>
      <w:r>
        <w:t xml:space="preserve"> </w:t>
      </w:r>
      <w:r>
        <w:rPr>
          <w:rStyle w:val="hps"/>
        </w:rPr>
        <w:t>en función del tamaño</w:t>
      </w:r>
      <w:r>
        <w:t xml:space="preserve">, los métodos de pesca </w:t>
      </w:r>
      <w:r>
        <w:rPr>
          <w:rStyle w:val="hps"/>
        </w:rPr>
        <w:t>y las artes de pesca</w:t>
      </w:r>
      <w:r>
        <w:rPr>
          <w:rStyle w:val="Refdenotaalpie"/>
        </w:rPr>
        <w:footnoteReference w:id="53"/>
      </w:r>
      <w:r>
        <w:t xml:space="preserve">. </w:t>
      </w:r>
    </w:p>
    <w:p w14:paraId="4750D8D7" w14:textId="77777777" w:rsidR="00EF7361" w:rsidRDefault="00EF7361" w:rsidP="00EF7361">
      <w:pPr>
        <w:autoSpaceDE w:val="0"/>
        <w:autoSpaceDN w:val="0"/>
        <w:adjustRightInd w:val="0"/>
      </w:pPr>
      <w:r>
        <w:rPr>
          <w:rStyle w:val="hps"/>
        </w:rPr>
        <w:t>La</w:t>
      </w:r>
      <w:r>
        <w:t xml:space="preserve"> </w:t>
      </w:r>
      <w:r>
        <w:rPr>
          <w:rStyle w:val="hps"/>
        </w:rPr>
        <w:t>cuota de captura</w:t>
      </w:r>
      <w:r>
        <w:t xml:space="preserve"> </w:t>
      </w:r>
      <w:r>
        <w:rPr>
          <w:rStyle w:val="hps"/>
        </w:rPr>
        <w:t>permitida asignada</w:t>
      </w:r>
      <w:r>
        <w:t xml:space="preserve"> </w:t>
      </w:r>
      <w:r>
        <w:rPr>
          <w:rStyle w:val="hps"/>
        </w:rPr>
        <w:t>para diversas</w:t>
      </w:r>
      <w:r>
        <w:t xml:space="preserve"> </w:t>
      </w:r>
      <w:r>
        <w:rPr>
          <w:rStyle w:val="hps"/>
        </w:rPr>
        <w:t>zonas pesqueras incluye</w:t>
      </w:r>
      <w:r>
        <w:t xml:space="preserve"> </w:t>
      </w:r>
      <w:r>
        <w:rPr>
          <w:rStyle w:val="hps"/>
        </w:rPr>
        <w:t>todas las especies</w:t>
      </w:r>
      <w:r>
        <w:t xml:space="preserve"> </w:t>
      </w:r>
      <w:r>
        <w:rPr>
          <w:rStyle w:val="hps"/>
        </w:rPr>
        <w:t>de peces</w:t>
      </w:r>
      <w:r>
        <w:t xml:space="preserve"> </w:t>
      </w:r>
      <w:r>
        <w:rPr>
          <w:rStyle w:val="hps"/>
        </w:rPr>
        <w:t xml:space="preserve">(salvo el </w:t>
      </w:r>
      <w:r>
        <w:t xml:space="preserve">salmón, cuya </w:t>
      </w:r>
      <w:r>
        <w:rPr>
          <w:rStyle w:val="hps"/>
        </w:rPr>
        <w:t>cuota</w:t>
      </w:r>
      <w:r>
        <w:t xml:space="preserve"> </w:t>
      </w:r>
      <w:r>
        <w:rPr>
          <w:rStyle w:val="hps"/>
        </w:rPr>
        <w:t>se basa</w:t>
      </w:r>
      <w:r>
        <w:t xml:space="preserve"> </w:t>
      </w:r>
      <w:r>
        <w:rPr>
          <w:rStyle w:val="hps"/>
        </w:rPr>
        <w:t>en el número</w:t>
      </w:r>
      <w:r>
        <w:t xml:space="preserve"> de individuos </w:t>
      </w:r>
      <w:r>
        <w:rPr>
          <w:rStyle w:val="hps"/>
        </w:rPr>
        <w:t>y</w:t>
      </w:r>
      <w:r>
        <w:t xml:space="preserve"> </w:t>
      </w:r>
      <w:r>
        <w:rPr>
          <w:rStyle w:val="hps"/>
        </w:rPr>
        <w:t>no en el peso</w:t>
      </w:r>
      <w:r>
        <w:t>)</w:t>
      </w:r>
      <w:r>
        <w:rPr>
          <w:rStyle w:val="Refdenotaalpie"/>
        </w:rPr>
        <w:footnoteReference w:id="54"/>
      </w:r>
      <w:r>
        <w:t xml:space="preserve">. </w:t>
      </w:r>
    </w:p>
    <w:p w14:paraId="039B8D8C" w14:textId="77777777" w:rsidR="00EF7361" w:rsidRDefault="00EF7361" w:rsidP="00EF7361">
      <w:pPr>
        <w:autoSpaceDE w:val="0"/>
        <w:autoSpaceDN w:val="0"/>
        <w:adjustRightInd w:val="0"/>
        <w:rPr>
          <w:rFonts w:ascii="Times New Roman" w:hAnsi="Times New Roman"/>
          <w:lang w:val="es-CL" w:eastAsia="es-CL"/>
        </w:rPr>
      </w:pPr>
      <w:r>
        <w:t>La t</w:t>
      </w:r>
      <w:r>
        <w:rPr>
          <w:rStyle w:val="hps"/>
        </w:rPr>
        <w:t>ransferencia</w:t>
      </w:r>
      <w:r>
        <w:t xml:space="preserve"> </w:t>
      </w:r>
      <w:r>
        <w:rPr>
          <w:rStyle w:val="hps"/>
        </w:rPr>
        <w:t>de las cuotas de captura</w:t>
      </w:r>
      <w:r>
        <w:t xml:space="preserve"> </w:t>
      </w:r>
      <w:r>
        <w:rPr>
          <w:rStyle w:val="hps"/>
        </w:rPr>
        <w:t>sólo puede tener lugar después de</w:t>
      </w:r>
      <w:r>
        <w:t xml:space="preserve"> haber sido autorizada </w:t>
      </w:r>
      <w:r>
        <w:rPr>
          <w:rStyle w:val="hps"/>
        </w:rPr>
        <w:t>previamente por la Agencia</w:t>
      </w:r>
      <w:r>
        <w:t xml:space="preserve"> </w:t>
      </w:r>
      <w:proofErr w:type="spellStart"/>
      <w:r>
        <w:rPr>
          <w:rStyle w:val="hps"/>
        </w:rPr>
        <w:t>AgriFish</w:t>
      </w:r>
      <w:proofErr w:type="spellEnd"/>
      <w:r>
        <w:t xml:space="preserve"> </w:t>
      </w:r>
      <w:r>
        <w:rPr>
          <w:rStyle w:val="hps"/>
        </w:rPr>
        <w:t>danesa</w:t>
      </w:r>
      <w:r>
        <w:t xml:space="preserve"> </w:t>
      </w:r>
      <w:r>
        <w:rPr>
          <w:rStyle w:val="hps"/>
        </w:rPr>
        <w:t>y su solicitud debe incluir</w:t>
      </w:r>
      <w:r>
        <w:t xml:space="preserve"> </w:t>
      </w:r>
      <w:r>
        <w:rPr>
          <w:rStyle w:val="hps"/>
        </w:rPr>
        <w:t>toda la información relativa</w:t>
      </w:r>
      <w:r>
        <w:t xml:space="preserve"> </w:t>
      </w:r>
      <w:r>
        <w:rPr>
          <w:rStyle w:val="hps"/>
        </w:rPr>
        <w:t>al buque pesquero</w:t>
      </w:r>
      <w:r>
        <w:rPr>
          <w:rStyle w:val="Refdenotaalpie"/>
        </w:rPr>
        <w:footnoteReference w:id="55"/>
      </w:r>
      <w:r>
        <w:t>.</w:t>
      </w:r>
    </w:p>
    <w:p w14:paraId="528D60A2" w14:textId="454E0EA8" w:rsidR="00EF7361" w:rsidRPr="002C73A2" w:rsidRDefault="00EF7361" w:rsidP="000073B3">
      <w:pPr>
        <w:pStyle w:val="Ttulo3"/>
        <w:keepLines w:val="0"/>
        <w:numPr>
          <w:ilvl w:val="0"/>
          <w:numId w:val="27"/>
        </w:numPr>
        <w:pBdr>
          <w:top w:val="none" w:sz="0" w:space="0" w:color="auto"/>
          <w:left w:val="none" w:sz="0" w:space="0" w:color="auto"/>
          <w:bottom w:val="none" w:sz="0" w:space="0" w:color="auto"/>
          <w:right w:val="none" w:sz="0" w:space="0" w:color="auto"/>
          <w:between w:val="none" w:sz="0" w:space="0" w:color="auto"/>
        </w:pBdr>
        <w:spacing w:before="120" w:after="120" w:line="360" w:lineRule="auto"/>
        <w:rPr>
          <w:i w:val="0"/>
          <w:sz w:val="22"/>
          <w:szCs w:val="22"/>
        </w:rPr>
      </w:pPr>
      <w:bookmarkStart w:id="22" w:name="_Toc431896944"/>
      <w:bookmarkStart w:id="23" w:name="_Toc157529077"/>
      <w:r w:rsidRPr="002C73A2">
        <w:rPr>
          <w:i w:val="0"/>
          <w:sz w:val="22"/>
          <w:szCs w:val="22"/>
        </w:rPr>
        <w:t>La subasta de cuotas pesqueras</w:t>
      </w:r>
      <w:bookmarkEnd w:id="22"/>
      <w:bookmarkEnd w:id="23"/>
    </w:p>
    <w:p w14:paraId="14C10710" w14:textId="77777777" w:rsidR="00EF7361" w:rsidRDefault="00EF7361" w:rsidP="00EF7361">
      <w:r>
        <w:rPr>
          <w:rStyle w:val="longtext"/>
          <w:shd w:val="clear" w:color="auto" w:fill="FFFFFF"/>
        </w:rPr>
        <w:t xml:space="preserve">De acuerdo a </w:t>
      </w:r>
      <w:smartTag w:uri="urn:schemas-microsoft-com:office:smarttags" w:element="PersonName">
        <w:smartTagPr>
          <w:attr w:name="ProductID" w:val="La Ley"/>
        </w:smartTagPr>
        <w:r>
          <w:rPr>
            <w:rStyle w:val="longtext"/>
            <w:shd w:val="clear" w:color="auto" w:fill="FFFFFF"/>
          </w:rPr>
          <w:t>la Ley</w:t>
        </w:r>
      </w:smartTag>
      <w:r>
        <w:rPr>
          <w:rStyle w:val="longtext"/>
          <w:shd w:val="clear" w:color="auto" w:fill="FFFFFF"/>
        </w:rPr>
        <w:t xml:space="preserve"> de Pesca (Consolidado de </w:t>
      </w:r>
      <w:smartTag w:uri="urn:schemas-microsoft-com:office:smarttags" w:element="PersonName">
        <w:smartTagPr>
          <w:attr w:name="ProductID" w:val="la Ley N"/>
        </w:smartTagPr>
        <w:r>
          <w:rPr>
            <w:rStyle w:val="longtext"/>
            <w:shd w:val="clear" w:color="auto" w:fill="FFFFFF"/>
          </w:rPr>
          <w:t xml:space="preserve">la Ley </w:t>
        </w:r>
        <w:proofErr w:type="spellStart"/>
        <w:r>
          <w:rPr>
            <w:rStyle w:val="longtext"/>
            <w:shd w:val="clear" w:color="auto" w:fill="FFFFFF"/>
          </w:rPr>
          <w:t>N</w:t>
        </w:r>
      </w:smartTag>
      <w:r>
        <w:rPr>
          <w:rStyle w:val="longtext"/>
          <w:shd w:val="clear" w:color="auto" w:fill="FFFFFF"/>
        </w:rPr>
        <w:t>°</w:t>
      </w:r>
      <w:proofErr w:type="spellEnd"/>
      <w:r>
        <w:rPr>
          <w:rStyle w:val="longtext"/>
          <w:shd w:val="clear" w:color="auto" w:fill="FFFFFF"/>
        </w:rPr>
        <w:t xml:space="preserve"> 372 del 26/04/2006)</w:t>
      </w:r>
      <w:r>
        <w:rPr>
          <w:rStyle w:val="Refdenotaalpie"/>
          <w:shd w:val="clear" w:color="auto" w:fill="FFFFFF"/>
        </w:rPr>
        <w:footnoteReference w:id="56"/>
      </w:r>
      <w:r>
        <w:rPr>
          <w:rStyle w:val="longtext"/>
          <w:shd w:val="clear" w:color="auto" w:fill="FFFFFF"/>
        </w:rPr>
        <w:t xml:space="preserve">, en la sección 34, el </w:t>
      </w:r>
      <w:r>
        <w:t xml:space="preserve">Ministro de Alimentación, Agricultura y Pesca podrá dictar normas sobre la explotación comercial de los recursos, incluyendo, entre otras materias, la distribución de las capturas disponibles en cuotas establecidas para flotas de buques, buques individuales o por tipos de artes. En este caso se señala que las </w:t>
      </w:r>
      <w:proofErr w:type="spellStart"/>
      <w:r>
        <w:t>CITs</w:t>
      </w:r>
      <w:proofErr w:type="spellEnd"/>
      <w:r>
        <w:t xml:space="preserve"> pueden ser asignadas de las siguientes maneras</w:t>
      </w:r>
      <w:r>
        <w:rPr>
          <w:rStyle w:val="Refdenotaalpie"/>
        </w:rPr>
        <w:footnoteReference w:id="57"/>
      </w:r>
      <w:r>
        <w:t>:</w:t>
      </w:r>
    </w:p>
    <w:p w14:paraId="4C38B872" w14:textId="030CF20E" w:rsidR="00EF7361" w:rsidRDefault="00EF7361" w:rsidP="002C73A2">
      <w:pPr>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851" w:hanging="494"/>
      </w:pPr>
      <w:r>
        <w:t>Subasta. Este método garantiza que el valor de los derechos (la renta del recurso) sean inmediatamente internalizados. Se considera como un método pertinente para la asignación en nuevas pesquerías</w:t>
      </w:r>
      <w:r w:rsidR="002F3D64">
        <w:t xml:space="preserve">. </w:t>
      </w:r>
    </w:p>
    <w:p w14:paraId="3708B9C4" w14:textId="77777777" w:rsidR="00EF7361" w:rsidRDefault="00EF7361" w:rsidP="002C73A2">
      <w:pPr>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851" w:hanging="494"/>
      </w:pPr>
      <w:r>
        <w:lastRenderedPageBreak/>
        <w:t>Asignación a los buques de acuerdo a características físicas o económicas, y</w:t>
      </w:r>
    </w:p>
    <w:p w14:paraId="64CB7190" w14:textId="77777777" w:rsidR="00EF7361" w:rsidRDefault="00EF7361" w:rsidP="002C73A2">
      <w:pPr>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851" w:hanging="494"/>
        <w:rPr>
          <w:rStyle w:val="longtext"/>
        </w:rPr>
      </w:pPr>
      <w:r>
        <w:t>Asignación de acuerdo a capturas históricas como un método aceptable para la industria y las autoridades, ya que reflejaría la operación de los actores y con ello su valor en la pesquería.</w:t>
      </w:r>
    </w:p>
    <w:p w14:paraId="4B45586B" w14:textId="77777777" w:rsidR="000A3E91" w:rsidRDefault="000A3E91" w:rsidP="002C73A2">
      <w:pPr>
        <w:spacing w:after="0"/>
      </w:pPr>
    </w:p>
    <w:p w14:paraId="6BD08796" w14:textId="77777777" w:rsidR="00630FCE" w:rsidRDefault="00630FCE" w:rsidP="00630FCE">
      <w:r>
        <w:t>A partir de 2017</w:t>
      </w:r>
      <w:r>
        <w:rPr>
          <w:rStyle w:val="Refdenotaalpie"/>
        </w:rPr>
        <w:footnoteReference w:id="58"/>
      </w:r>
      <w:r>
        <w:t xml:space="preserve">, se avanza en un esquema para la pesca costera </w:t>
      </w:r>
      <w:r w:rsidR="00C848B1">
        <w:t>en que</w:t>
      </w:r>
      <w:r>
        <w:t xml:space="preserve"> se agregarán cuotas adicionales para bacalao, lenguado y </w:t>
      </w:r>
      <w:proofErr w:type="spellStart"/>
      <w:r>
        <w:t>solla</w:t>
      </w:r>
      <w:proofErr w:type="spellEnd"/>
      <w:r>
        <w:t>. Estas cuotas adicionales se transfirieron de la parte de la cuota reservada para los buques con cuotas transferibles individuales (ITQ) para fortalecer la pesca costera. Además, por primera vez, la langosta de Noruega, el rodaballo, el espadín, el arenque y el carbonero se introducirán en el plan.</w:t>
      </w:r>
    </w:p>
    <w:p w14:paraId="39EE835F" w14:textId="77777777" w:rsidR="00C848B1" w:rsidRDefault="00630FCE" w:rsidP="00630FCE">
      <w:r>
        <w:t xml:space="preserve">Las nuevas reglas diferencian dos segmentos, un segmento abierto (buques de menos de 17 m de largo, con un 80% de los viajes de pesca de menos de dos días) y un segmento cerrado (buques de menos de 15 m de largo, que desembarcan al menos el 70% de cada cuota cubierto por el esquema disponible a través de su asignación inicial de </w:t>
      </w:r>
      <w:r w:rsidR="00C848B1">
        <w:t>ITQ</w:t>
      </w:r>
      <w:r>
        <w:t xml:space="preserve">). </w:t>
      </w:r>
    </w:p>
    <w:p w14:paraId="0E32B359" w14:textId="77777777" w:rsidR="00EF7361" w:rsidRDefault="00630FCE" w:rsidP="0011098D">
      <w:pPr>
        <w:tabs>
          <w:tab w:val="left" w:pos="851"/>
        </w:tabs>
      </w:pPr>
      <w:r>
        <w:t>Los buques en el segmento cerrado solo pueden comerciar cuotas (cuotas de cuotas permanentes y cuotas anuales) con otros buques en el mismo segmento, pero reciben una prima adicional en comparación con los buques que participan en el segmento abierto. A partir de 2017, los buques que alguna vez se unieron al segmento cerrado no podrán volver al segmento abierto. Antes, la participación era voluntaria y los barcos podían unirse al segmento durante tres años y salir después</w:t>
      </w:r>
      <w:r w:rsidR="00C848B1">
        <w:t>.</w:t>
      </w:r>
    </w:p>
    <w:p w14:paraId="4A171D05" w14:textId="77777777" w:rsidR="00EF7361" w:rsidRDefault="00EF7361" w:rsidP="000073B3">
      <w:pPr>
        <w:pStyle w:val="Ttulo1"/>
        <w:keepLines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6"/>
        </w:tabs>
        <w:spacing w:before="0"/>
        <w:ind w:left="426" w:hanging="426"/>
        <w:rPr>
          <w:bCs w:val="0"/>
          <w:color w:val="auto"/>
          <w:sz w:val="24"/>
          <w:szCs w:val="22"/>
        </w:rPr>
      </w:pPr>
      <w:bookmarkStart w:id="24" w:name="_Toc431896945"/>
      <w:bookmarkStart w:id="25" w:name="_Toc157529078"/>
      <w:r w:rsidRPr="00EF7361">
        <w:rPr>
          <w:bCs w:val="0"/>
          <w:color w:val="auto"/>
          <w:sz w:val="24"/>
          <w:szCs w:val="22"/>
        </w:rPr>
        <w:t>Islandia</w:t>
      </w:r>
      <w:bookmarkEnd w:id="24"/>
      <w:bookmarkEnd w:id="25"/>
    </w:p>
    <w:p w14:paraId="73C131CA" w14:textId="3DB76A46" w:rsidR="00EF7361" w:rsidRPr="002C73A2" w:rsidRDefault="00EF7361" w:rsidP="000073B3">
      <w:pPr>
        <w:pStyle w:val="Ttulo3"/>
        <w:keepLines w:val="0"/>
        <w:numPr>
          <w:ilvl w:val="1"/>
          <w:numId w:val="27"/>
        </w:numPr>
        <w:pBdr>
          <w:top w:val="none" w:sz="0" w:space="0" w:color="auto"/>
          <w:left w:val="none" w:sz="0" w:space="0" w:color="auto"/>
          <w:bottom w:val="none" w:sz="0" w:space="0" w:color="auto"/>
          <w:right w:val="none" w:sz="0" w:space="0" w:color="auto"/>
          <w:between w:val="none" w:sz="0" w:space="0" w:color="auto"/>
        </w:pBdr>
        <w:spacing w:before="120" w:after="120" w:line="360" w:lineRule="auto"/>
        <w:ind w:left="709" w:hanging="283"/>
        <w:rPr>
          <w:i w:val="0"/>
          <w:sz w:val="22"/>
          <w:szCs w:val="22"/>
        </w:rPr>
      </w:pPr>
      <w:bookmarkStart w:id="26" w:name="_Toc431896946"/>
      <w:bookmarkStart w:id="27" w:name="_Toc157529079"/>
      <w:r w:rsidRPr="002C73A2">
        <w:rPr>
          <w:i w:val="0"/>
          <w:sz w:val="22"/>
          <w:szCs w:val="22"/>
        </w:rPr>
        <w:t>Sistemas de manejo de pesquerías</w:t>
      </w:r>
      <w:bookmarkEnd w:id="26"/>
      <w:bookmarkEnd w:id="27"/>
      <w:r w:rsidRPr="002C73A2">
        <w:rPr>
          <w:i w:val="0"/>
          <w:sz w:val="22"/>
          <w:szCs w:val="22"/>
        </w:rPr>
        <w:t xml:space="preserve">  </w:t>
      </w:r>
    </w:p>
    <w:p w14:paraId="559FFE94" w14:textId="516EFADA" w:rsidR="00EF7361" w:rsidRDefault="00EF7361" w:rsidP="00883F22">
      <w:pPr>
        <w:autoSpaceDE w:val="0"/>
        <w:autoSpaceDN w:val="0"/>
        <w:adjustRightInd w:val="0"/>
        <w:rPr>
          <w:rStyle w:val="longtext"/>
          <w:shd w:val="clear" w:color="auto" w:fill="FFFFFF"/>
        </w:rPr>
      </w:pPr>
      <w:r>
        <w:rPr>
          <w:rStyle w:val="longtext"/>
        </w:rPr>
        <w:t xml:space="preserve">Islandia fue una de las primeras naciones pesqueras en adoptar el sistema de cuotas individuales transferibles para gestionar su pesca. </w:t>
      </w:r>
      <w:r>
        <w:rPr>
          <w:rStyle w:val="longtext"/>
          <w:shd w:val="clear" w:color="auto" w:fill="FFFFFF"/>
        </w:rPr>
        <w:t>Los primeros sistemas de cuotas entraron en vigor en la década de 1970 y, d</w:t>
      </w:r>
      <w:r>
        <w:rPr>
          <w:rStyle w:val="longtext"/>
        </w:rPr>
        <w:t xml:space="preserve">esde entonces, el sistema de </w:t>
      </w:r>
      <w:proofErr w:type="spellStart"/>
      <w:r>
        <w:rPr>
          <w:rStyle w:val="longtext"/>
        </w:rPr>
        <w:t>CITs</w:t>
      </w:r>
      <w:proofErr w:type="spellEnd"/>
      <w:r>
        <w:rPr>
          <w:rStyle w:val="longtext"/>
        </w:rPr>
        <w:t xml:space="preserve"> se ha expandido en etapas para abarcar prácticamente todas las pesquerías de Islandia. S</w:t>
      </w:r>
      <w:r>
        <w:rPr>
          <w:rStyle w:val="longtext"/>
          <w:shd w:val="clear" w:color="auto" w:fill="FFFFFF"/>
        </w:rPr>
        <w:t xml:space="preserve">in embargo, las medidas introducidas en 1984 aplicaron las </w:t>
      </w:r>
      <w:proofErr w:type="spellStart"/>
      <w:r>
        <w:rPr>
          <w:rStyle w:val="longtext"/>
          <w:shd w:val="clear" w:color="auto" w:fill="FFFFFF"/>
        </w:rPr>
        <w:t>CITs</w:t>
      </w:r>
      <w:proofErr w:type="spellEnd"/>
      <w:r>
        <w:rPr>
          <w:rStyle w:val="longtext"/>
          <w:shd w:val="clear" w:color="auto" w:fill="FFFFFF"/>
        </w:rPr>
        <w:t xml:space="preserve"> a las pesquerías </w:t>
      </w:r>
      <w:proofErr w:type="spellStart"/>
      <w:r>
        <w:rPr>
          <w:rStyle w:val="longtext"/>
          <w:shd w:val="clear" w:color="auto" w:fill="FFFFFF"/>
        </w:rPr>
        <w:t>demersales</w:t>
      </w:r>
      <w:proofErr w:type="spellEnd"/>
      <w:r>
        <w:rPr>
          <w:rStyle w:val="longtext"/>
          <w:shd w:val="clear" w:color="auto" w:fill="FFFFFF"/>
        </w:rPr>
        <w:t xml:space="preserve"> y, en 1991 se adoptó un sistema uniforme y bastante completo de CIT para todas las pesquerías islandesas</w:t>
      </w:r>
      <w:r>
        <w:rPr>
          <w:rStyle w:val="Refdenotaalpie"/>
          <w:szCs w:val="20"/>
          <w:lang w:val="es-CL" w:eastAsia="es-CL"/>
        </w:rPr>
        <w:footnoteReference w:id="59"/>
      </w:r>
      <w:r>
        <w:rPr>
          <w:rStyle w:val="longtext"/>
          <w:shd w:val="clear" w:color="auto" w:fill="FFFFFF"/>
        </w:rPr>
        <w:t>.</w:t>
      </w:r>
    </w:p>
    <w:p w14:paraId="75F658B1" w14:textId="77777777" w:rsidR="00EF7361" w:rsidRDefault="00EF7361" w:rsidP="009F2E8E">
      <w:pPr>
        <w:autoSpaceDE w:val="0"/>
        <w:autoSpaceDN w:val="0"/>
        <w:adjustRightInd w:val="0"/>
        <w:rPr>
          <w:rStyle w:val="longtext"/>
          <w:shd w:val="clear" w:color="auto" w:fill="FFFFFF"/>
        </w:rPr>
      </w:pPr>
      <w:r>
        <w:rPr>
          <w:rStyle w:val="longtext"/>
          <w:shd w:val="clear" w:color="auto" w:fill="FFFFFF"/>
        </w:rPr>
        <w:t xml:space="preserve">Las </w:t>
      </w:r>
      <w:proofErr w:type="spellStart"/>
      <w:r>
        <w:rPr>
          <w:rStyle w:val="longtext"/>
          <w:shd w:val="clear" w:color="auto" w:fill="FFFFFF"/>
        </w:rPr>
        <w:t>CITs</w:t>
      </w:r>
      <w:proofErr w:type="spellEnd"/>
      <w:r>
        <w:rPr>
          <w:rStyle w:val="longtext"/>
          <w:shd w:val="clear" w:color="auto" w:fill="FFFFFF"/>
        </w:rPr>
        <w:t xml:space="preserve">, están establecidas en </w:t>
      </w:r>
      <w:smartTag w:uri="urn:schemas-microsoft-com:office:smarttags" w:element="PersonName">
        <w:smartTagPr>
          <w:attr w:name="ProductID" w:val="La Ley"/>
        </w:smartTagPr>
        <w:r>
          <w:rPr>
            <w:rStyle w:val="longtext"/>
            <w:shd w:val="clear" w:color="auto" w:fill="FFFFFF"/>
          </w:rPr>
          <w:t>la Ley</w:t>
        </w:r>
      </w:smartTag>
      <w:r>
        <w:rPr>
          <w:rStyle w:val="longtext"/>
          <w:shd w:val="clear" w:color="auto" w:fill="FFFFFF"/>
        </w:rPr>
        <w:t xml:space="preserve"> de Manejo de Pesquerías de 1990, consolidada en el 2006 (</w:t>
      </w:r>
      <w:proofErr w:type="spellStart"/>
      <w:r w:rsidRPr="00861AE0">
        <w:rPr>
          <w:rStyle w:val="longtext"/>
          <w:i/>
          <w:shd w:val="clear" w:color="auto" w:fill="FFFFFF"/>
        </w:rPr>
        <w:t>Act</w:t>
      </w:r>
      <w:proofErr w:type="spellEnd"/>
      <w:r w:rsidRPr="00861AE0">
        <w:rPr>
          <w:rStyle w:val="longtext"/>
          <w:i/>
          <w:shd w:val="clear" w:color="auto" w:fill="FFFFFF"/>
        </w:rPr>
        <w:t xml:space="preserve"> </w:t>
      </w:r>
      <w:proofErr w:type="spellStart"/>
      <w:r w:rsidRPr="00861AE0">
        <w:rPr>
          <w:rStyle w:val="longtext"/>
          <w:i/>
          <w:shd w:val="clear" w:color="auto" w:fill="FFFFFF"/>
        </w:rPr>
        <w:t>on</w:t>
      </w:r>
      <w:proofErr w:type="spellEnd"/>
      <w:r w:rsidRPr="00861AE0">
        <w:rPr>
          <w:rStyle w:val="longtext"/>
          <w:i/>
          <w:shd w:val="clear" w:color="auto" w:fill="FFFFFF"/>
        </w:rPr>
        <w:t xml:space="preserve"> </w:t>
      </w:r>
      <w:proofErr w:type="spellStart"/>
      <w:r w:rsidRPr="00861AE0">
        <w:rPr>
          <w:rStyle w:val="longtext"/>
          <w:i/>
          <w:shd w:val="clear" w:color="auto" w:fill="FFFFFF"/>
        </w:rPr>
        <w:t>Fisheries</w:t>
      </w:r>
      <w:proofErr w:type="spellEnd"/>
      <w:r w:rsidRPr="00861AE0">
        <w:rPr>
          <w:rStyle w:val="longtext"/>
          <w:i/>
          <w:shd w:val="clear" w:color="auto" w:fill="FFFFFF"/>
        </w:rPr>
        <w:t xml:space="preserve"> Management</w:t>
      </w:r>
      <w:r w:rsidRPr="00D23337">
        <w:rPr>
          <w:rStyle w:val="longtext"/>
          <w:shd w:val="clear" w:color="auto" w:fill="FFFFFF"/>
        </w:rPr>
        <w:t xml:space="preserve"> </w:t>
      </w:r>
      <w:proofErr w:type="spellStart"/>
      <w:r>
        <w:rPr>
          <w:rStyle w:val="longtext"/>
          <w:shd w:val="clear" w:color="auto" w:fill="FFFFFF"/>
        </w:rPr>
        <w:t>Nº</w:t>
      </w:r>
      <w:proofErr w:type="spellEnd"/>
      <w:r w:rsidRPr="00D23337">
        <w:rPr>
          <w:rStyle w:val="longtext"/>
          <w:shd w:val="clear" w:color="auto" w:fill="FFFFFF"/>
        </w:rPr>
        <w:t xml:space="preserve"> 116, </w:t>
      </w:r>
      <w:r>
        <w:rPr>
          <w:rStyle w:val="longtext"/>
          <w:shd w:val="clear" w:color="auto" w:fill="FFFFFF"/>
        </w:rPr>
        <w:t xml:space="preserve">de 10 de agosto de </w:t>
      </w:r>
      <w:r w:rsidRPr="00D23337">
        <w:rPr>
          <w:rStyle w:val="longtext"/>
          <w:shd w:val="clear" w:color="auto" w:fill="FFFFFF"/>
        </w:rPr>
        <w:t>2006</w:t>
      </w:r>
      <w:r>
        <w:rPr>
          <w:rStyle w:val="longtext"/>
          <w:shd w:val="clear" w:color="auto" w:fill="FFFFFF"/>
        </w:rPr>
        <w:t>)</w:t>
      </w:r>
      <w:r>
        <w:rPr>
          <w:rStyle w:val="Refdenotaalpie"/>
          <w:shd w:val="clear" w:color="auto" w:fill="FFFFFF"/>
        </w:rPr>
        <w:footnoteReference w:id="60"/>
      </w:r>
      <w:r>
        <w:rPr>
          <w:rStyle w:val="longtext"/>
          <w:shd w:val="clear" w:color="auto" w:fill="FFFFFF"/>
        </w:rPr>
        <w:t xml:space="preserve">. </w:t>
      </w:r>
    </w:p>
    <w:p w14:paraId="06B571D8" w14:textId="77777777" w:rsidR="00EF7361" w:rsidRDefault="00EF7361" w:rsidP="00EF7361">
      <w:pPr>
        <w:autoSpaceDE w:val="0"/>
        <w:autoSpaceDN w:val="0"/>
        <w:adjustRightInd w:val="0"/>
        <w:rPr>
          <w:rStyle w:val="longtext"/>
          <w:shd w:val="clear" w:color="auto" w:fill="FFFFFF"/>
        </w:rPr>
      </w:pPr>
      <w:r>
        <w:rPr>
          <w:rStyle w:val="longtext"/>
          <w:shd w:val="clear" w:color="auto" w:fill="FFFFFF"/>
        </w:rPr>
        <w:t>Las características esenciales del sistema son las siguientes</w:t>
      </w:r>
      <w:r>
        <w:rPr>
          <w:rStyle w:val="Refdenotaalpie"/>
          <w:szCs w:val="20"/>
          <w:lang w:val="es-CL" w:eastAsia="es-CL"/>
        </w:rPr>
        <w:footnoteReference w:id="61"/>
      </w:r>
      <w:r>
        <w:rPr>
          <w:rStyle w:val="longtext"/>
          <w:shd w:val="clear" w:color="auto" w:fill="FFFFFF"/>
        </w:rPr>
        <w:t>:</w:t>
      </w:r>
    </w:p>
    <w:p w14:paraId="79DD228A" w14:textId="77A2BA6C" w:rsidR="00EF7361" w:rsidRDefault="00EF7361" w:rsidP="002C73A2">
      <w:pPr>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4"/>
        <w:rPr>
          <w:rStyle w:val="longtext"/>
          <w:shd w:val="clear" w:color="auto" w:fill="FFFFFF"/>
        </w:rPr>
      </w:pPr>
      <w:r>
        <w:rPr>
          <w:rStyle w:val="longtext"/>
          <w:shd w:val="clear" w:color="auto" w:fill="FFFFFF"/>
        </w:rPr>
        <w:lastRenderedPageBreak/>
        <w:t xml:space="preserve">Las TAC son establecidas por el Ministerio de </w:t>
      </w:r>
      <w:r w:rsidR="007A23F6">
        <w:rPr>
          <w:rStyle w:val="longtext"/>
          <w:shd w:val="clear" w:color="auto" w:fill="FFFFFF"/>
        </w:rPr>
        <w:t>Alimentación, Agricultura y Pesca</w:t>
      </w:r>
      <w:r>
        <w:rPr>
          <w:rStyle w:val="longtext"/>
          <w:shd w:val="clear" w:color="auto" w:fill="FFFFFF"/>
        </w:rPr>
        <w:t xml:space="preserve"> (</w:t>
      </w:r>
      <w:bookmarkStart w:id="28" w:name="_Hlk157520835"/>
      <w:proofErr w:type="spellStart"/>
      <w:r w:rsidR="007A23F6" w:rsidRPr="007A23F6">
        <w:rPr>
          <w:rStyle w:val="longtext"/>
          <w:i/>
          <w:shd w:val="clear" w:color="auto" w:fill="FFFFFF"/>
        </w:rPr>
        <w:t>Ministry</w:t>
      </w:r>
      <w:proofErr w:type="spellEnd"/>
      <w:r w:rsidR="007A23F6" w:rsidRPr="007A23F6">
        <w:rPr>
          <w:rStyle w:val="longtext"/>
          <w:i/>
          <w:shd w:val="clear" w:color="auto" w:fill="FFFFFF"/>
        </w:rPr>
        <w:t xml:space="preserve"> </w:t>
      </w:r>
      <w:proofErr w:type="spellStart"/>
      <w:r w:rsidR="007A23F6" w:rsidRPr="007A23F6">
        <w:rPr>
          <w:rStyle w:val="longtext"/>
          <w:i/>
          <w:shd w:val="clear" w:color="auto" w:fill="FFFFFF"/>
        </w:rPr>
        <w:t>of</w:t>
      </w:r>
      <w:proofErr w:type="spellEnd"/>
      <w:r w:rsidR="007A23F6" w:rsidRPr="007A23F6">
        <w:rPr>
          <w:rStyle w:val="longtext"/>
          <w:i/>
          <w:shd w:val="clear" w:color="auto" w:fill="FFFFFF"/>
        </w:rPr>
        <w:t xml:space="preserve"> </w:t>
      </w:r>
      <w:proofErr w:type="spellStart"/>
      <w:r w:rsidR="007A23F6" w:rsidRPr="007A23F6">
        <w:rPr>
          <w:rStyle w:val="longtext"/>
          <w:i/>
          <w:shd w:val="clear" w:color="auto" w:fill="FFFFFF"/>
        </w:rPr>
        <w:t>Food</w:t>
      </w:r>
      <w:proofErr w:type="spellEnd"/>
      <w:r w:rsidR="007A23F6" w:rsidRPr="007A23F6">
        <w:rPr>
          <w:rStyle w:val="longtext"/>
          <w:i/>
          <w:shd w:val="clear" w:color="auto" w:fill="FFFFFF"/>
        </w:rPr>
        <w:t xml:space="preserve">, </w:t>
      </w:r>
      <w:proofErr w:type="spellStart"/>
      <w:r w:rsidR="007A23F6" w:rsidRPr="007A23F6">
        <w:rPr>
          <w:rStyle w:val="longtext"/>
          <w:i/>
          <w:shd w:val="clear" w:color="auto" w:fill="FFFFFF"/>
        </w:rPr>
        <w:t>Agriculture</w:t>
      </w:r>
      <w:proofErr w:type="spellEnd"/>
      <w:r w:rsidR="007A23F6" w:rsidRPr="007A23F6">
        <w:rPr>
          <w:rStyle w:val="longtext"/>
          <w:i/>
          <w:shd w:val="clear" w:color="auto" w:fill="FFFFFF"/>
        </w:rPr>
        <w:t xml:space="preserve"> and </w:t>
      </w:r>
      <w:proofErr w:type="spellStart"/>
      <w:r w:rsidR="007A23F6" w:rsidRPr="007A23F6">
        <w:rPr>
          <w:rStyle w:val="longtext"/>
          <w:i/>
          <w:shd w:val="clear" w:color="auto" w:fill="FFFFFF"/>
        </w:rPr>
        <w:t>Fisheries</w:t>
      </w:r>
      <w:bookmarkEnd w:id="28"/>
      <w:proofErr w:type="spellEnd"/>
      <w:r>
        <w:rPr>
          <w:rStyle w:val="longtext"/>
          <w:shd w:val="clear" w:color="auto" w:fill="FFFFFF"/>
        </w:rPr>
        <w:t>)</w:t>
      </w:r>
      <w:r>
        <w:rPr>
          <w:rStyle w:val="Refdenotaalpie"/>
          <w:shd w:val="clear" w:color="auto" w:fill="FFFFFF"/>
        </w:rPr>
        <w:footnoteReference w:id="62"/>
      </w:r>
      <w:r>
        <w:rPr>
          <w:rStyle w:val="longtext"/>
          <w:shd w:val="clear" w:color="auto" w:fill="FFFFFF"/>
        </w:rPr>
        <w:t>, en base a las recomendaciones del Instituto de Investigaciones Marinas de Islandia (</w:t>
      </w:r>
      <w:proofErr w:type="spellStart"/>
      <w:r w:rsidRPr="007905D4">
        <w:rPr>
          <w:rStyle w:val="longtext"/>
          <w:i/>
          <w:shd w:val="clear" w:color="auto" w:fill="FFFFFF"/>
        </w:rPr>
        <w:t>Icelandic</w:t>
      </w:r>
      <w:proofErr w:type="spellEnd"/>
      <w:r w:rsidRPr="007905D4">
        <w:rPr>
          <w:rStyle w:val="longtext"/>
          <w:i/>
          <w:shd w:val="clear" w:color="auto" w:fill="FFFFFF"/>
        </w:rPr>
        <w:t xml:space="preserve"> Marine </w:t>
      </w:r>
      <w:proofErr w:type="spellStart"/>
      <w:r w:rsidRPr="007905D4">
        <w:rPr>
          <w:rStyle w:val="longtext"/>
          <w:i/>
          <w:shd w:val="clear" w:color="auto" w:fill="FFFFFF"/>
        </w:rPr>
        <w:t>Research</w:t>
      </w:r>
      <w:proofErr w:type="spellEnd"/>
      <w:r w:rsidRPr="007905D4">
        <w:rPr>
          <w:rStyle w:val="longtext"/>
          <w:i/>
          <w:shd w:val="clear" w:color="auto" w:fill="FFFFFF"/>
        </w:rPr>
        <w:t xml:space="preserve"> </w:t>
      </w:r>
      <w:proofErr w:type="spellStart"/>
      <w:r w:rsidRPr="007905D4">
        <w:rPr>
          <w:rStyle w:val="longtext"/>
          <w:i/>
          <w:shd w:val="clear" w:color="auto" w:fill="FFFFFF"/>
        </w:rPr>
        <w:t>Institute</w:t>
      </w:r>
      <w:proofErr w:type="spellEnd"/>
      <w:r>
        <w:rPr>
          <w:rStyle w:val="longtext"/>
          <w:shd w:val="clear" w:color="auto" w:fill="FFFFFF"/>
        </w:rPr>
        <w:t>)</w:t>
      </w:r>
      <w:r>
        <w:rPr>
          <w:rStyle w:val="Refdenotaalpie"/>
          <w:shd w:val="clear" w:color="auto" w:fill="FFFFFF"/>
        </w:rPr>
        <w:footnoteReference w:id="63"/>
      </w:r>
      <w:r>
        <w:rPr>
          <w:rStyle w:val="longtext"/>
          <w:shd w:val="clear" w:color="auto" w:fill="FFFFFF"/>
        </w:rPr>
        <w:t>.</w:t>
      </w:r>
    </w:p>
    <w:p w14:paraId="3382F561" w14:textId="77777777" w:rsidR="00EF7361" w:rsidRPr="007C7E4B" w:rsidRDefault="00EF7361" w:rsidP="002C73A2">
      <w:pPr>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4"/>
        <w:rPr>
          <w:rStyle w:val="longtext"/>
          <w:shd w:val="clear" w:color="auto" w:fill="FFFFFF"/>
        </w:rPr>
      </w:pPr>
      <w:r w:rsidRPr="007C7E4B">
        <w:rPr>
          <w:rStyle w:val="longtext"/>
          <w:shd w:val="clear" w:color="auto" w:fill="FFFFFF"/>
        </w:rPr>
        <w:t>La Dirección de Pesca (</w:t>
      </w:r>
      <w:proofErr w:type="spellStart"/>
      <w:r w:rsidRPr="007C7E4B">
        <w:rPr>
          <w:rStyle w:val="longtext"/>
          <w:i/>
          <w:shd w:val="clear" w:color="auto" w:fill="FFFFFF"/>
        </w:rPr>
        <w:t>Fiskistofa</w:t>
      </w:r>
      <w:proofErr w:type="spellEnd"/>
      <w:r w:rsidRPr="007C7E4B">
        <w:rPr>
          <w:rStyle w:val="longtext"/>
          <w:shd w:val="clear" w:color="auto" w:fill="FFFFFF"/>
        </w:rPr>
        <w:t xml:space="preserve">) asigna cuotas de captura anuales a cada buque mediante la distribución de la TAC en porciones fijas de cuotas que corresponden a cada buque pesquero </w:t>
      </w:r>
      <w:r>
        <w:rPr>
          <w:rStyle w:val="longtext"/>
        </w:rPr>
        <w:t>(“cuota de captura por buque”)</w:t>
      </w:r>
      <w:r w:rsidRPr="007C7E4B">
        <w:rPr>
          <w:rStyle w:val="longtext"/>
          <w:shd w:val="clear" w:color="auto" w:fill="FFFFFF"/>
        </w:rPr>
        <w:t xml:space="preserve">. </w:t>
      </w:r>
      <w:r>
        <w:rPr>
          <w:rStyle w:val="longtext"/>
        </w:rPr>
        <w:t xml:space="preserve">La porción de cuota se multiplica por el TAC, para determinar la cantidad que cada </w:t>
      </w:r>
      <w:r w:rsidRPr="007C7E4B">
        <w:rPr>
          <w:rStyle w:val="longtext"/>
          <w:shd w:val="clear" w:color="auto" w:fill="FFFFFF"/>
        </w:rPr>
        <w:t>buque</w:t>
      </w:r>
      <w:r>
        <w:rPr>
          <w:rStyle w:val="longtext"/>
        </w:rPr>
        <w:t xml:space="preserve"> está autorizado a capturar de la especie en cuestión, durante el año pesquero respectivo. </w:t>
      </w:r>
      <w:r w:rsidRPr="007C7E4B">
        <w:rPr>
          <w:rStyle w:val="longtext"/>
          <w:shd w:val="clear" w:color="auto" w:fill="FFFFFF"/>
        </w:rPr>
        <w:t xml:space="preserve">La suma de todas las porciones que han sido asignadas a los buques </w:t>
      </w:r>
      <w:r>
        <w:rPr>
          <w:rStyle w:val="longtext"/>
        </w:rPr>
        <w:t xml:space="preserve">asciende </w:t>
      </w:r>
      <w:r w:rsidRPr="007C7E4B">
        <w:rPr>
          <w:rStyle w:val="longtext"/>
          <w:shd w:val="clear" w:color="auto" w:fill="FFFFFF"/>
        </w:rPr>
        <w:t>al</w:t>
      </w:r>
      <w:r>
        <w:rPr>
          <w:rStyle w:val="longtext"/>
        </w:rPr>
        <w:t xml:space="preserve"> 100% de cada especie</w:t>
      </w:r>
      <w:r>
        <w:rPr>
          <w:rStyle w:val="Refdenotaalpie"/>
          <w:shd w:val="clear" w:color="auto" w:fill="FFFFFF"/>
        </w:rPr>
        <w:footnoteReference w:id="64"/>
      </w:r>
      <w:r>
        <w:rPr>
          <w:rStyle w:val="longtext"/>
        </w:rPr>
        <w:t xml:space="preserve">. </w:t>
      </w:r>
    </w:p>
    <w:p w14:paraId="420C5DC9" w14:textId="77777777" w:rsidR="00EF7361" w:rsidRPr="0072532C" w:rsidRDefault="00EF7361" w:rsidP="002C73A2">
      <w:pPr>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4"/>
        <w:rPr>
          <w:rStyle w:val="longtext"/>
          <w:shd w:val="clear" w:color="auto" w:fill="FFFFFF"/>
        </w:rPr>
      </w:pPr>
      <w:r>
        <w:rPr>
          <w:rStyle w:val="longtext"/>
          <w:shd w:val="clear" w:color="auto" w:fill="FFFFFF"/>
        </w:rPr>
        <w:t>Las c</w:t>
      </w:r>
      <w:r w:rsidRPr="0072532C">
        <w:rPr>
          <w:rStyle w:val="longtext"/>
          <w:shd w:val="clear" w:color="auto" w:fill="FFFFFF"/>
        </w:rPr>
        <w:t xml:space="preserve">uotas </w:t>
      </w:r>
      <w:r>
        <w:rPr>
          <w:rStyle w:val="longtext"/>
          <w:shd w:val="clear" w:color="auto" w:fill="FFFFFF"/>
        </w:rPr>
        <w:t xml:space="preserve">que </w:t>
      </w:r>
      <w:r w:rsidRPr="0072532C">
        <w:rPr>
          <w:rStyle w:val="longtext"/>
          <w:shd w:val="clear" w:color="auto" w:fill="FFFFFF"/>
        </w:rPr>
        <w:t>se distribu</w:t>
      </w:r>
      <w:r>
        <w:rPr>
          <w:rStyle w:val="longtext"/>
          <w:shd w:val="clear" w:color="auto" w:fill="FFFFFF"/>
        </w:rPr>
        <w:t xml:space="preserve">yen </w:t>
      </w:r>
      <w:r w:rsidRPr="0072532C">
        <w:rPr>
          <w:rStyle w:val="longtext"/>
          <w:shd w:val="clear" w:color="auto" w:fill="FFFFFF"/>
        </w:rPr>
        <w:t xml:space="preserve">a </w:t>
      </w:r>
      <w:r>
        <w:rPr>
          <w:rStyle w:val="longtext"/>
          <w:shd w:val="clear" w:color="auto" w:fill="FFFFFF"/>
        </w:rPr>
        <w:t xml:space="preserve">cada </w:t>
      </w:r>
      <w:r w:rsidRPr="0072532C">
        <w:rPr>
          <w:rStyle w:val="longtext"/>
          <w:shd w:val="clear" w:color="auto" w:fill="FFFFFF"/>
        </w:rPr>
        <w:t>buque</w:t>
      </w:r>
      <w:r>
        <w:rPr>
          <w:rStyle w:val="longtext"/>
          <w:shd w:val="clear" w:color="auto" w:fill="FFFFFF"/>
        </w:rPr>
        <w:t xml:space="preserve"> pesquero se calcula </w:t>
      </w:r>
      <w:r w:rsidRPr="0072532C">
        <w:rPr>
          <w:rStyle w:val="longtext"/>
          <w:shd w:val="clear" w:color="auto" w:fill="FFFFFF"/>
        </w:rPr>
        <w:t>sobre la base de sus capturas</w:t>
      </w:r>
      <w:r>
        <w:rPr>
          <w:rStyle w:val="longtext"/>
          <w:shd w:val="clear" w:color="auto" w:fill="FFFFFF"/>
        </w:rPr>
        <w:t>,</w:t>
      </w:r>
      <w:r w:rsidRPr="0072532C">
        <w:rPr>
          <w:rStyle w:val="longtext"/>
          <w:shd w:val="clear" w:color="auto" w:fill="FFFFFF"/>
        </w:rPr>
        <w:t xml:space="preserve"> en una población determinada</w:t>
      </w:r>
      <w:r>
        <w:rPr>
          <w:rStyle w:val="longtext"/>
          <w:shd w:val="clear" w:color="auto" w:fill="FFFFFF"/>
        </w:rPr>
        <w:t>,</w:t>
      </w:r>
      <w:r w:rsidRPr="0072532C">
        <w:rPr>
          <w:rStyle w:val="longtext"/>
          <w:shd w:val="clear" w:color="auto" w:fill="FFFFFF"/>
        </w:rPr>
        <w:t xml:space="preserve"> durante los tres años anteriores a la introducción de las </w:t>
      </w:r>
      <w:r>
        <w:rPr>
          <w:rStyle w:val="longtext"/>
          <w:shd w:val="clear" w:color="auto" w:fill="FFFFFF"/>
        </w:rPr>
        <w:t>porciones en</w:t>
      </w:r>
      <w:r w:rsidRPr="0072532C">
        <w:rPr>
          <w:rStyle w:val="longtext"/>
          <w:shd w:val="clear" w:color="auto" w:fill="FFFFFF"/>
        </w:rPr>
        <w:t xml:space="preserve"> el sistema de cuotas.</w:t>
      </w:r>
    </w:p>
    <w:p w14:paraId="6F76AFCC" w14:textId="77777777" w:rsidR="00EF7361" w:rsidRPr="005F69EB" w:rsidRDefault="00EF7361" w:rsidP="002C73A2">
      <w:pPr>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4"/>
        <w:rPr>
          <w:rStyle w:val="longtext"/>
          <w:shd w:val="clear" w:color="auto" w:fill="FFFFFF"/>
        </w:rPr>
      </w:pPr>
      <w:r>
        <w:rPr>
          <w:rStyle w:val="longtext"/>
        </w:rPr>
        <w:t xml:space="preserve">Las porciones de cuota permanentes y las cuotas de captura anuales son divisibles y </w:t>
      </w:r>
      <w:r w:rsidRPr="00481172">
        <w:rPr>
          <w:rStyle w:val="longtext"/>
          <w:shd w:val="clear" w:color="auto" w:fill="FFFFFF"/>
        </w:rPr>
        <w:t>transferibles</w:t>
      </w:r>
      <w:r>
        <w:rPr>
          <w:rStyle w:val="longtext"/>
        </w:rPr>
        <w:t xml:space="preserve"> a otros buques pesqueros, con algunas restricciones menores. </w:t>
      </w:r>
    </w:p>
    <w:p w14:paraId="374325C3" w14:textId="77777777" w:rsidR="00EF7361" w:rsidRPr="00D5554B" w:rsidRDefault="00EF7361" w:rsidP="002C73A2">
      <w:pPr>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4"/>
        <w:rPr>
          <w:rStyle w:val="longtext"/>
          <w:rFonts w:ascii="Times New Roman" w:hAnsi="Times New Roman"/>
          <w:lang w:val="es-CL" w:eastAsia="es-CL"/>
        </w:rPr>
      </w:pPr>
      <w:r>
        <w:rPr>
          <w:rStyle w:val="longtext"/>
          <w:shd w:val="clear" w:color="auto" w:fill="FFFFFF"/>
        </w:rPr>
        <w:t xml:space="preserve">Las </w:t>
      </w:r>
      <w:r w:rsidRPr="00481172">
        <w:rPr>
          <w:rStyle w:val="longtext"/>
        </w:rPr>
        <w:t>asignaciones</w:t>
      </w:r>
      <w:r>
        <w:rPr>
          <w:rStyle w:val="longtext"/>
          <w:shd w:val="clear" w:color="auto" w:fill="FFFFFF"/>
        </w:rPr>
        <w:t xml:space="preserve"> de cuotas están sujetas a un pago. </w:t>
      </w:r>
    </w:p>
    <w:p w14:paraId="260C7F09" w14:textId="77777777" w:rsidR="00EF7361" w:rsidRPr="009406F8" w:rsidRDefault="00EF7361" w:rsidP="002C73A2">
      <w:pPr>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4"/>
        <w:rPr>
          <w:rStyle w:val="longtext"/>
          <w:shd w:val="clear" w:color="auto" w:fill="FFFFFF"/>
          <w:lang w:val="es-CL"/>
        </w:rPr>
      </w:pPr>
      <w:r>
        <w:rPr>
          <w:rStyle w:val="longtext"/>
          <w:shd w:val="clear" w:color="auto" w:fill="FFFFFF"/>
          <w:lang w:val="es-CL"/>
        </w:rPr>
        <w:t xml:space="preserve">Cada </w:t>
      </w:r>
      <w:r>
        <w:rPr>
          <w:rStyle w:val="longtext"/>
        </w:rPr>
        <w:t>empresa</w:t>
      </w:r>
      <w:r>
        <w:rPr>
          <w:rStyle w:val="longtext"/>
          <w:shd w:val="clear" w:color="auto" w:fill="FFFFFF"/>
        </w:rPr>
        <w:t xml:space="preserve"> pesquera posee un porcentaje máximo del total de las cuotas asignadas.</w:t>
      </w:r>
      <w:r w:rsidRPr="009406F8">
        <w:rPr>
          <w:rStyle w:val="longtext"/>
          <w:shd w:val="clear" w:color="auto" w:fill="FFFFFF"/>
          <w:lang w:val="es-CL"/>
        </w:rPr>
        <w:t xml:space="preserve"> </w:t>
      </w:r>
    </w:p>
    <w:p w14:paraId="487243E7" w14:textId="77777777" w:rsidR="00EF7361" w:rsidRDefault="00EF7361" w:rsidP="002C73A2">
      <w:pPr>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left="851" w:hanging="494"/>
        <w:rPr>
          <w:rStyle w:val="longtext"/>
          <w:shd w:val="clear" w:color="auto" w:fill="FFFFFF"/>
        </w:rPr>
      </w:pPr>
      <w:r>
        <w:rPr>
          <w:rStyle w:val="longtext"/>
          <w:shd w:val="clear" w:color="auto" w:fill="FFFFFF"/>
        </w:rPr>
        <w:t xml:space="preserve">Toda la pesca </w:t>
      </w:r>
      <w:r w:rsidRPr="00481172">
        <w:rPr>
          <w:rStyle w:val="longtext"/>
        </w:rPr>
        <w:t>comercial</w:t>
      </w:r>
      <w:r>
        <w:rPr>
          <w:rStyle w:val="longtext"/>
          <w:shd w:val="clear" w:color="auto" w:fill="FFFFFF"/>
        </w:rPr>
        <w:t xml:space="preserve"> de </w:t>
      </w:r>
      <w:r w:rsidRPr="00151B0A">
        <w:rPr>
          <w:rStyle w:val="longtext"/>
          <w:i/>
          <w:shd w:val="clear" w:color="auto" w:fill="FFFFFF"/>
        </w:rPr>
        <w:t>stocks</w:t>
      </w:r>
      <w:r>
        <w:rPr>
          <w:rStyle w:val="longtext"/>
          <w:shd w:val="clear" w:color="auto" w:fill="FFFFFF"/>
        </w:rPr>
        <w:t xml:space="preserve"> bajo manejo de pesquerías está sujeta a estas cuotas, con excepción de la pesca menor.</w:t>
      </w:r>
    </w:p>
    <w:p w14:paraId="62A3C145" w14:textId="77777777" w:rsidR="00EF7361" w:rsidRDefault="00EF7361" w:rsidP="00EF7361">
      <w:pPr>
        <w:autoSpaceDE w:val="0"/>
        <w:autoSpaceDN w:val="0"/>
        <w:adjustRightInd w:val="0"/>
        <w:rPr>
          <w:rStyle w:val="longtext"/>
          <w:shd w:val="clear" w:color="auto" w:fill="FFFFFF"/>
        </w:rPr>
      </w:pPr>
    </w:p>
    <w:p w14:paraId="3F3A516D" w14:textId="77777777" w:rsidR="00EF7361" w:rsidRDefault="00EF7361" w:rsidP="00EF7361">
      <w:pPr>
        <w:autoSpaceDE w:val="0"/>
        <w:autoSpaceDN w:val="0"/>
        <w:adjustRightInd w:val="0"/>
        <w:rPr>
          <w:rStyle w:val="longtext"/>
          <w:shd w:val="clear" w:color="auto" w:fill="FFFFFF"/>
        </w:rPr>
      </w:pPr>
      <w:r>
        <w:rPr>
          <w:rStyle w:val="longtext"/>
          <w:shd w:val="clear" w:color="auto" w:fill="FFFFFF"/>
        </w:rPr>
        <w:t xml:space="preserve">El sistema de </w:t>
      </w:r>
      <w:proofErr w:type="spellStart"/>
      <w:r>
        <w:rPr>
          <w:rStyle w:val="longtext"/>
          <w:shd w:val="clear" w:color="auto" w:fill="FFFFFF"/>
        </w:rPr>
        <w:t>CITs</w:t>
      </w:r>
      <w:proofErr w:type="spellEnd"/>
      <w:r>
        <w:rPr>
          <w:rStyle w:val="longtext"/>
          <w:shd w:val="clear" w:color="auto" w:fill="FFFFFF"/>
        </w:rPr>
        <w:t xml:space="preserve"> se extiende a poblaciones de peces compartidas con otras naciones y para las que existe un acuerdo de reparto internacional. También existen otras medidas destinadas a mejorar el rendimiento sostenible de los </w:t>
      </w:r>
      <w:r w:rsidRPr="006D4C44">
        <w:rPr>
          <w:rStyle w:val="longtext"/>
          <w:i/>
          <w:shd w:val="clear" w:color="auto" w:fill="FFFFFF"/>
        </w:rPr>
        <w:t>stocks</w:t>
      </w:r>
      <w:r>
        <w:rPr>
          <w:rStyle w:val="longtext"/>
          <w:shd w:val="clear" w:color="auto" w:fill="FFFFFF"/>
        </w:rPr>
        <w:t xml:space="preserve"> o poblaciones: </w:t>
      </w:r>
      <w:r>
        <w:rPr>
          <w:rStyle w:val="longtext"/>
        </w:rPr>
        <w:t xml:space="preserve">tipo de artes de pesca autorizadas (tamaño </w:t>
      </w:r>
      <w:r>
        <w:rPr>
          <w:rStyle w:val="longtext"/>
          <w:shd w:val="clear" w:color="auto" w:fill="FFFFFF"/>
        </w:rPr>
        <w:t xml:space="preserve">mínimo y máximo de las redes); prohibición de la pesca con arrastre de fondo dentro de </w:t>
      </w:r>
      <w:smartTag w:uri="urn:schemas-microsoft-com:office:smarttags" w:element="metricconverter">
        <w:smartTagPr>
          <w:attr w:name="ProductID" w:val="6 a"/>
        </w:smartTagPr>
        <w:r>
          <w:rPr>
            <w:rStyle w:val="longtext"/>
            <w:shd w:val="clear" w:color="auto" w:fill="FFFFFF"/>
          </w:rPr>
          <w:t>6 a</w:t>
        </w:r>
      </w:smartTag>
      <w:r>
        <w:rPr>
          <w:rStyle w:val="longtext"/>
          <w:shd w:val="clear" w:color="auto" w:fill="FFFFFF"/>
        </w:rPr>
        <w:t xml:space="preserve"> </w:t>
      </w:r>
      <w:smartTag w:uri="urn:schemas-microsoft-com:office:smarttags" w:element="metricconverter">
        <w:smartTagPr>
          <w:attr w:name="ProductID" w:val="12 millas"/>
        </w:smartTagPr>
        <w:r>
          <w:rPr>
            <w:rStyle w:val="longtext"/>
            <w:shd w:val="clear" w:color="auto" w:fill="FFFFFF"/>
          </w:rPr>
          <w:t>12 millas</w:t>
        </w:r>
      </w:smartTag>
      <w:r>
        <w:rPr>
          <w:rStyle w:val="longtext"/>
          <w:shd w:val="clear" w:color="auto" w:fill="FFFFFF"/>
        </w:rPr>
        <w:t xml:space="preserve"> de la costa y en otras áreas, que sirven como zonas de desove y cría; el uso obligatorio de rejillas clasificatorias en las artes de pesca, en determinadas pesquerías, para evitar la captura de juveniles; y el cierre temporal de zonas de pesca para proteger el desove de todo tipo de peces</w:t>
      </w:r>
      <w:r>
        <w:rPr>
          <w:rStyle w:val="Refdenotaalpie"/>
          <w:szCs w:val="20"/>
          <w:lang w:val="es-CL" w:eastAsia="es-CL"/>
        </w:rPr>
        <w:footnoteReference w:id="65"/>
      </w:r>
      <w:r>
        <w:rPr>
          <w:rStyle w:val="longtext"/>
          <w:shd w:val="clear" w:color="auto" w:fill="FFFFFF"/>
        </w:rPr>
        <w:t xml:space="preserve">. </w:t>
      </w:r>
      <w:r w:rsidR="00630FCE">
        <w:rPr>
          <w:rStyle w:val="longtext"/>
          <w:shd w:val="clear" w:color="auto" w:fill="FFFFFF"/>
        </w:rPr>
        <w:t xml:space="preserve">También existe una asignación de pequeñas porciones de cuota regionales cuyo criterio de asignación </w:t>
      </w:r>
      <w:r w:rsidR="00630FCE" w:rsidRPr="00630FCE">
        <w:rPr>
          <w:rStyle w:val="longtext"/>
          <w:shd w:val="clear" w:color="auto" w:fill="FFFFFF"/>
        </w:rPr>
        <w:t>se basan en varios factores, como la situación laboral de la ciudad o región en cuestión, si las cuotas se han arrendado o vendido del área, qué tan dependiente es la región de las pesquerías, etc. La idea detrás de las cuotas regionales es ayudar las comunidades en lugar de las empresas directamente.</w:t>
      </w:r>
      <w:r w:rsidR="00630FCE">
        <w:rPr>
          <w:rStyle w:val="Refdenotaalpie"/>
          <w:shd w:val="clear" w:color="auto" w:fill="FFFFFF"/>
        </w:rPr>
        <w:footnoteReference w:id="66"/>
      </w:r>
      <w:r w:rsidR="00630FCE">
        <w:rPr>
          <w:rStyle w:val="longtext"/>
          <w:shd w:val="clear" w:color="auto" w:fill="FFFFFF"/>
        </w:rPr>
        <w:t xml:space="preserve"> </w:t>
      </w:r>
    </w:p>
    <w:p w14:paraId="052BCE38" w14:textId="4E3F57C8" w:rsidR="0011098D" w:rsidRPr="00000F4B" w:rsidRDefault="00EF7361" w:rsidP="0011098D">
      <w:pPr>
        <w:tabs>
          <w:tab w:val="left" w:pos="993"/>
          <w:tab w:val="left" w:pos="1134"/>
        </w:tabs>
        <w:autoSpaceDE w:val="0"/>
        <w:autoSpaceDN w:val="0"/>
        <w:adjustRightInd w:val="0"/>
        <w:rPr>
          <w:rStyle w:val="longtext"/>
          <w:shd w:val="clear" w:color="auto" w:fill="FFFFFF"/>
          <w:lang w:val="es-CL"/>
        </w:rPr>
      </w:pPr>
      <w:r>
        <w:rPr>
          <w:rStyle w:val="hps"/>
        </w:rPr>
        <w:t>La efectiva supervisión del cumplimiento de las normas pesqueras es</w:t>
      </w:r>
      <w:r>
        <w:t xml:space="preserve"> considerada una </w:t>
      </w:r>
      <w:r>
        <w:rPr>
          <w:rStyle w:val="hps"/>
        </w:rPr>
        <w:t>parte inseparable del manejo responsable de la pesquería, a cargo de la Dirección</w:t>
      </w:r>
      <w:r>
        <w:t xml:space="preserve"> </w:t>
      </w:r>
      <w:r>
        <w:rPr>
          <w:rStyle w:val="hps"/>
        </w:rPr>
        <w:t>de Pesca</w:t>
      </w:r>
      <w:r>
        <w:t xml:space="preserve">. </w:t>
      </w:r>
      <w:r>
        <w:rPr>
          <w:rStyle w:val="hps"/>
        </w:rPr>
        <w:t>Islandia tiene</w:t>
      </w:r>
      <w:r>
        <w:t xml:space="preserve"> </w:t>
      </w:r>
      <w:r>
        <w:rPr>
          <w:rStyle w:val="hps"/>
        </w:rPr>
        <w:t>uno de los regímenes</w:t>
      </w:r>
      <w:r>
        <w:t xml:space="preserve"> </w:t>
      </w:r>
      <w:r>
        <w:rPr>
          <w:rStyle w:val="hps"/>
        </w:rPr>
        <w:t>de aplicación</w:t>
      </w:r>
      <w:r>
        <w:t xml:space="preserve"> </w:t>
      </w:r>
      <w:r>
        <w:rPr>
          <w:rStyle w:val="hps"/>
        </w:rPr>
        <w:t>más sofisticados del</w:t>
      </w:r>
      <w:r>
        <w:t xml:space="preserve"> </w:t>
      </w:r>
      <w:r>
        <w:rPr>
          <w:rStyle w:val="hps"/>
        </w:rPr>
        <w:t>mundo</w:t>
      </w:r>
      <w:r>
        <w:t xml:space="preserve">, </w:t>
      </w:r>
      <w:r>
        <w:rPr>
          <w:rStyle w:val="hps"/>
        </w:rPr>
        <w:t>en particular, en relación al control</w:t>
      </w:r>
      <w:r>
        <w:t xml:space="preserve"> portuario </w:t>
      </w:r>
      <w:r>
        <w:rPr>
          <w:rStyle w:val="hps"/>
        </w:rPr>
        <w:t xml:space="preserve">y el </w:t>
      </w:r>
      <w:r>
        <w:rPr>
          <w:rStyle w:val="hps"/>
        </w:rPr>
        <w:lastRenderedPageBreak/>
        <w:t>pesaje de todas las capturas</w:t>
      </w:r>
      <w:r>
        <w:t xml:space="preserve">. </w:t>
      </w:r>
      <w:r>
        <w:rPr>
          <w:rStyle w:val="hps"/>
        </w:rPr>
        <w:t>De acuerdo con</w:t>
      </w:r>
      <w:r>
        <w:t xml:space="preserve"> </w:t>
      </w:r>
      <w:r>
        <w:rPr>
          <w:rStyle w:val="hps"/>
        </w:rPr>
        <w:t>la legislación islandesa</w:t>
      </w:r>
      <w:r>
        <w:t>, se prohíbe el</w:t>
      </w:r>
      <w:r>
        <w:rPr>
          <w:rStyle w:val="hps"/>
        </w:rPr>
        <w:t xml:space="preserve"> descarte y todas las</w:t>
      </w:r>
      <w:r>
        <w:t xml:space="preserve"> </w:t>
      </w:r>
      <w:r>
        <w:rPr>
          <w:rStyle w:val="hps"/>
        </w:rPr>
        <w:t>capturas</w:t>
      </w:r>
      <w:r>
        <w:t xml:space="preserve"> </w:t>
      </w:r>
      <w:r>
        <w:rPr>
          <w:rStyle w:val="hps"/>
        </w:rPr>
        <w:t>deben</w:t>
      </w:r>
      <w:r>
        <w:t xml:space="preserve"> </w:t>
      </w:r>
      <w:r>
        <w:rPr>
          <w:rStyle w:val="hps"/>
        </w:rPr>
        <w:t>ser desembarcadas</w:t>
      </w:r>
      <w:r>
        <w:rPr>
          <w:rStyle w:val="Refdenotaalpie"/>
        </w:rPr>
        <w:footnoteReference w:id="67"/>
      </w:r>
      <w:r>
        <w:t>.</w:t>
      </w:r>
    </w:p>
    <w:p w14:paraId="5068BAA9" w14:textId="4D5867BF" w:rsidR="00EF7361" w:rsidRPr="000073B3" w:rsidRDefault="00EF7361" w:rsidP="000073B3">
      <w:pPr>
        <w:pStyle w:val="Prrafodelista"/>
        <w:numPr>
          <w:ilvl w:val="1"/>
          <w:numId w:val="27"/>
        </w:numPr>
        <w:tabs>
          <w:tab w:val="left" w:pos="851"/>
        </w:tabs>
        <w:autoSpaceDE w:val="0"/>
        <w:autoSpaceDN w:val="0"/>
        <w:adjustRightInd w:val="0"/>
        <w:ind w:left="709" w:hanging="283"/>
      </w:pPr>
      <w:bookmarkStart w:id="29" w:name="_Toc431896947"/>
      <w:r w:rsidRPr="000073B3">
        <w:rPr>
          <w:b/>
        </w:rPr>
        <w:t>La subasta de cuotas pesqueras</w:t>
      </w:r>
      <w:bookmarkEnd w:id="29"/>
    </w:p>
    <w:p w14:paraId="5CCDCB85" w14:textId="381A8D76" w:rsidR="00EF7361" w:rsidRDefault="00EF7361" w:rsidP="00EF7361">
      <w:pPr>
        <w:rPr>
          <w:lang w:val="es-ES_tradnl"/>
        </w:rPr>
      </w:pPr>
      <w:r>
        <w:t xml:space="preserve">De la información disponible del </w:t>
      </w:r>
      <w:r>
        <w:rPr>
          <w:lang w:val="es-ES_tradnl"/>
        </w:rPr>
        <w:t>M</w:t>
      </w:r>
      <w:r w:rsidRPr="001D5747">
        <w:rPr>
          <w:lang w:val="es-ES_tradnl"/>
        </w:rPr>
        <w:t xml:space="preserve">inisterio de </w:t>
      </w:r>
      <w:r>
        <w:rPr>
          <w:lang w:val="es-ES_tradnl"/>
        </w:rPr>
        <w:t xml:space="preserve">Industrias e Innovación y demás documentos explicativos del sistema de </w:t>
      </w:r>
      <w:proofErr w:type="spellStart"/>
      <w:r>
        <w:rPr>
          <w:lang w:val="es-ES_tradnl"/>
        </w:rPr>
        <w:t>CITs</w:t>
      </w:r>
      <w:proofErr w:type="spellEnd"/>
      <w:r>
        <w:rPr>
          <w:lang w:val="es-ES_tradnl"/>
        </w:rPr>
        <w:t xml:space="preserve"> citados, así como la legislación correspondiente, no aparecería el sistema de subasta de cuotas como una forma de asignación de las CIT</w:t>
      </w:r>
      <w:r w:rsidR="007A23F6">
        <w:rPr>
          <w:rStyle w:val="Refdenotaalpie"/>
          <w:lang w:val="es-ES_tradnl"/>
        </w:rPr>
        <w:footnoteReference w:id="68"/>
      </w:r>
      <w:r>
        <w:rPr>
          <w:lang w:val="es-ES_tradnl"/>
        </w:rPr>
        <w:t xml:space="preserve">. </w:t>
      </w:r>
    </w:p>
    <w:p w14:paraId="186ED50E" w14:textId="675D2FBC" w:rsidR="00EF7361" w:rsidRDefault="00EF7361" w:rsidP="000073B3">
      <w:pPr>
        <w:pStyle w:val="Ttulo1"/>
        <w:keepLines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6"/>
        </w:tabs>
        <w:spacing w:before="160" w:after="60" w:line="240" w:lineRule="auto"/>
        <w:ind w:left="426" w:hanging="426"/>
        <w:rPr>
          <w:bCs w:val="0"/>
          <w:color w:val="auto"/>
          <w:sz w:val="24"/>
          <w:szCs w:val="22"/>
        </w:rPr>
      </w:pPr>
      <w:bookmarkStart w:id="30" w:name="_Toc431896948"/>
      <w:bookmarkStart w:id="31" w:name="_Toc157529080"/>
      <w:r w:rsidRPr="00EF7361">
        <w:rPr>
          <w:bCs w:val="0"/>
          <w:color w:val="auto"/>
          <w:sz w:val="24"/>
          <w:szCs w:val="22"/>
        </w:rPr>
        <w:t>Noruega</w:t>
      </w:r>
      <w:bookmarkEnd w:id="30"/>
      <w:bookmarkEnd w:id="31"/>
    </w:p>
    <w:p w14:paraId="6EF03906" w14:textId="7C860855" w:rsidR="00EF7361" w:rsidRPr="002C73A2" w:rsidRDefault="00EF7361" w:rsidP="000073B3">
      <w:pPr>
        <w:pStyle w:val="Ttulo1"/>
        <w:keepLines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709"/>
        </w:tabs>
        <w:spacing w:before="160" w:after="60" w:line="240" w:lineRule="auto"/>
        <w:rPr>
          <w:bCs w:val="0"/>
          <w:color w:val="auto"/>
          <w:sz w:val="22"/>
          <w:szCs w:val="22"/>
        </w:rPr>
      </w:pPr>
      <w:bookmarkStart w:id="32" w:name="_Toc431896949"/>
      <w:bookmarkStart w:id="33" w:name="_Toc157529081"/>
      <w:r w:rsidRPr="002C73A2">
        <w:rPr>
          <w:bCs w:val="0"/>
          <w:color w:val="auto"/>
          <w:sz w:val="22"/>
          <w:szCs w:val="22"/>
        </w:rPr>
        <w:t>Sistemas de manejo de pesquerías</w:t>
      </w:r>
      <w:bookmarkEnd w:id="32"/>
      <w:bookmarkEnd w:id="33"/>
      <w:r w:rsidRPr="002C73A2">
        <w:rPr>
          <w:bCs w:val="0"/>
          <w:color w:val="auto"/>
          <w:sz w:val="22"/>
          <w:szCs w:val="22"/>
        </w:rPr>
        <w:t xml:space="preserve">  </w:t>
      </w:r>
    </w:p>
    <w:p w14:paraId="726B2E0A" w14:textId="77777777" w:rsidR="00883F22" w:rsidRPr="002C73A2" w:rsidRDefault="00883F22" w:rsidP="002C73A2">
      <w:pPr>
        <w:spacing w:after="0"/>
        <w:rPr>
          <w:rStyle w:val="longtext"/>
          <w:bCs/>
          <w:color w:val="000000" w:themeColor="text1"/>
        </w:rPr>
      </w:pPr>
    </w:p>
    <w:p w14:paraId="10C88B33" w14:textId="77777777" w:rsidR="00EF7361" w:rsidRDefault="00EF7361" w:rsidP="00EF7361">
      <w:pPr>
        <w:rPr>
          <w:rStyle w:val="longtext"/>
          <w:shd w:val="clear" w:color="auto" w:fill="FFFFFF"/>
        </w:rPr>
      </w:pPr>
      <w:r>
        <w:rPr>
          <w:rStyle w:val="longtext"/>
        </w:rPr>
        <w:t xml:space="preserve">Las pesquerías noruegas están sujetas a regulaciones anuales respecto del reparto del TAC de todos los </w:t>
      </w:r>
      <w:r w:rsidRPr="006D4C44">
        <w:rPr>
          <w:rStyle w:val="longtext"/>
          <w:i/>
        </w:rPr>
        <w:t>stocks</w:t>
      </w:r>
      <w:r>
        <w:rPr>
          <w:rStyle w:val="longtext"/>
        </w:rPr>
        <w:t xml:space="preserve"> regulados, entre los diferentes grupos y buques participantes. Los reglamentos establecen la división de las cuotas para cada barco pesquero</w:t>
      </w:r>
      <w:r>
        <w:rPr>
          <w:rStyle w:val="Refdenotaalpie"/>
          <w:szCs w:val="20"/>
          <w:lang w:val="es-CL" w:eastAsia="es-CL"/>
        </w:rPr>
        <w:footnoteReference w:id="69"/>
      </w:r>
      <w:r>
        <w:rPr>
          <w:rStyle w:val="longtext"/>
          <w:shd w:val="clear" w:color="auto" w:fill="FFFFFF"/>
        </w:rPr>
        <w:t>.</w:t>
      </w:r>
    </w:p>
    <w:p w14:paraId="7890EC48" w14:textId="77777777" w:rsidR="00EF7361" w:rsidRPr="00F75025" w:rsidRDefault="007550D2" w:rsidP="00EF7361">
      <w:pPr>
        <w:rPr>
          <w:rStyle w:val="longtext"/>
          <w:lang w:val="es-ES_tradnl"/>
        </w:rPr>
      </w:pPr>
      <w:r>
        <w:rPr>
          <w:rStyle w:val="longtext"/>
          <w:lang w:val="es-CL"/>
        </w:rPr>
        <w:t>C</w:t>
      </w:r>
      <w:r w:rsidR="00EF7361" w:rsidRPr="0043541D">
        <w:rPr>
          <w:rStyle w:val="longtext"/>
          <w:lang w:val="es-CL"/>
        </w:rPr>
        <w:t>asi todas las poblaciones con valor comercial están reguladas a través de cuotas y licencias</w:t>
      </w:r>
      <w:r w:rsidR="00EF7361">
        <w:rPr>
          <w:rStyle w:val="Refdenotaalpie"/>
        </w:rPr>
        <w:footnoteReference w:id="70"/>
      </w:r>
      <w:r w:rsidR="00EF7361" w:rsidRPr="0043541D">
        <w:rPr>
          <w:rStyle w:val="longtext"/>
          <w:lang w:val="es-CL"/>
        </w:rPr>
        <w:t>.</w:t>
      </w:r>
      <w:r w:rsidR="00EF7361">
        <w:rPr>
          <w:rStyle w:val="longtext"/>
          <w:lang w:val="es-CL"/>
        </w:rPr>
        <w:t xml:space="preserve"> La norma legal que consagra este sistema es la Ley sobre pesquerías en aguas marinas, de 1983 (</w:t>
      </w:r>
      <w:proofErr w:type="spellStart"/>
      <w:r w:rsidR="00EF7361" w:rsidRPr="00F75025">
        <w:rPr>
          <w:rStyle w:val="longtext"/>
          <w:i/>
          <w:lang w:val="es-CL"/>
        </w:rPr>
        <w:t>Act</w:t>
      </w:r>
      <w:proofErr w:type="spellEnd"/>
      <w:r w:rsidR="00EF7361" w:rsidRPr="00F75025">
        <w:rPr>
          <w:rStyle w:val="longtext"/>
          <w:i/>
          <w:lang w:val="es-CL"/>
        </w:rPr>
        <w:t xml:space="preserve"> No. 40 </w:t>
      </w:r>
      <w:proofErr w:type="spellStart"/>
      <w:r w:rsidR="00EF7361" w:rsidRPr="00F75025">
        <w:rPr>
          <w:rStyle w:val="longtext"/>
          <w:i/>
          <w:lang w:val="es-CL"/>
        </w:rPr>
        <w:t>of</w:t>
      </w:r>
      <w:proofErr w:type="spellEnd"/>
      <w:r w:rsidR="00EF7361" w:rsidRPr="00F75025">
        <w:rPr>
          <w:rStyle w:val="longtext"/>
          <w:i/>
          <w:lang w:val="es-CL"/>
        </w:rPr>
        <w:t xml:space="preserve"> 1983 </w:t>
      </w:r>
      <w:proofErr w:type="spellStart"/>
      <w:r w:rsidR="00EF7361" w:rsidRPr="00F75025">
        <w:rPr>
          <w:rStyle w:val="longtext"/>
          <w:i/>
          <w:lang w:val="es-CL"/>
        </w:rPr>
        <w:t>relating</w:t>
      </w:r>
      <w:proofErr w:type="spellEnd"/>
      <w:r w:rsidR="00EF7361" w:rsidRPr="00F75025">
        <w:rPr>
          <w:rStyle w:val="longtext"/>
          <w:i/>
          <w:lang w:val="es-CL"/>
        </w:rPr>
        <w:t xml:space="preserve"> </w:t>
      </w:r>
      <w:proofErr w:type="spellStart"/>
      <w:r w:rsidR="00EF7361" w:rsidRPr="00F75025">
        <w:rPr>
          <w:rStyle w:val="longtext"/>
          <w:i/>
          <w:lang w:val="es-CL"/>
        </w:rPr>
        <w:t>to</w:t>
      </w:r>
      <w:proofErr w:type="spellEnd"/>
      <w:r w:rsidR="00EF7361" w:rsidRPr="00F75025">
        <w:rPr>
          <w:rStyle w:val="longtext"/>
          <w:i/>
          <w:lang w:val="es-CL"/>
        </w:rPr>
        <w:t xml:space="preserve"> sea-</w:t>
      </w:r>
      <w:proofErr w:type="spellStart"/>
      <w:r w:rsidR="00EF7361" w:rsidRPr="00F75025">
        <w:rPr>
          <w:rStyle w:val="longtext"/>
          <w:i/>
          <w:lang w:val="es-CL"/>
        </w:rPr>
        <w:t>water</w:t>
      </w:r>
      <w:proofErr w:type="spellEnd"/>
      <w:r w:rsidR="00EF7361" w:rsidRPr="00F75025">
        <w:rPr>
          <w:rStyle w:val="longtext"/>
          <w:i/>
          <w:lang w:val="es-CL"/>
        </w:rPr>
        <w:t xml:space="preserve"> </w:t>
      </w:r>
      <w:proofErr w:type="spellStart"/>
      <w:r w:rsidR="00EF7361" w:rsidRPr="00F75025">
        <w:rPr>
          <w:rStyle w:val="longtext"/>
          <w:i/>
          <w:lang w:val="es-CL"/>
        </w:rPr>
        <w:t>fisheries</w:t>
      </w:r>
      <w:proofErr w:type="spellEnd"/>
      <w:r w:rsidR="00EF7361">
        <w:rPr>
          <w:rStyle w:val="longtext"/>
          <w:lang w:val="es-CL"/>
        </w:rPr>
        <w:t>)</w:t>
      </w:r>
      <w:r w:rsidR="00EF7361">
        <w:rPr>
          <w:rStyle w:val="Refdenotaalpie"/>
          <w:lang w:val="es-ES_tradnl"/>
        </w:rPr>
        <w:footnoteReference w:id="71"/>
      </w:r>
      <w:r w:rsidR="00EF7361">
        <w:rPr>
          <w:rStyle w:val="longtext"/>
          <w:lang w:val="es-ES_tradnl"/>
        </w:rPr>
        <w:t xml:space="preserve"> y el decreto de 2009 que la reformó (</w:t>
      </w:r>
      <w:proofErr w:type="spellStart"/>
      <w:r w:rsidR="00EF7361" w:rsidRPr="00F75025">
        <w:rPr>
          <w:rStyle w:val="longtext"/>
          <w:i/>
          <w:lang w:val="es-ES_tradnl"/>
        </w:rPr>
        <w:t>Decree</w:t>
      </w:r>
      <w:proofErr w:type="spellEnd"/>
      <w:r w:rsidR="00EF7361" w:rsidRPr="00F75025">
        <w:rPr>
          <w:rStyle w:val="longtext"/>
          <w:i/>
          <w:lang w:val="es-ES_tradnl"/>
        </w:rPr>
        <w:t xml:space="preserve"> No. 994 </w:t>
      </w:r>
      <w:proofErr w:type="spellStart"/>
      <w:r w:rsidR="00EF7361" w:rsidRPr="00F75025">
        <w:rPr>
          <w:rStyle w:val="longtext"/>
          <w:i/>
          <w:lang w:val="es-ES_tradnl"/>
        </w:rPr>
        <w:t>of</w:t>
      </w:r>
      <w:proofErr w:type="spellEnd"/>
      <w:r w:rsidR="00EF7361" w:rsidRPr="00F75025">
        <w:rPr>
          <w:rStyle w:val="longtext"/>
          <w:i/>
          <w:lang w:val="es-ES_tradnl"/>
        </w:rPr>
        <w:t xml:space="preserve"> 2009 </w:t>
      </w:r>
      <w:proofErr w:type="spellStart"/>
      <w:r w:rsidR="00EF7361" w:rsidRPr="00F75025">
        <w:rPr>
          <w:rStyle w:val="longtext"/>
          <w:i/>
          <w:lang w:val="es-ES_tradnl"/>
        </w:rPr>
        <w:t>to</w:t>
      </w:r>
      <w:proofErr w:type="spellEnd"/>
      <w:r w:rsidR="00EF7361" w:rsidRPr="00F75025">
        <w:rPr>
          <w:rStyle w:val="longtext"/>
          <w:i/>
          <w:lang w:val="es-ES_tradnl"/>
        </w:rPr>
        <w:t xml:space="preserve"> </w:t>
      </w:r>
      <w:proofErr w:type="spellStart"/>
      <w:r w:rsidR="00EF7361" w:rsidRPr="00F75025">
        <w:rPr>
          <w:rStyle w:val="longtext"/>
          <w:i/>
          <w:lang w:val="es-ES_tradnl"/>
        </w:rPr>
        <w:t>amend</w:t>
      </w:r>
      <w:proofErr w:type="spellEnd"/>
      <w:r w:rsidR="00EF7361" w:rsidRPr="00F75025">
        <w:rPr>
          <w:rStyle w:val="longtext"/>
          <w:i/>
          <w:lang w:val="es-ES_tradnl"/>
        </w:rPr>
        <w:t xml:space="preserve"> </w:t>
      </w:r>
      <w:proofErr w:type="spellStart"/>
      <w:r w:rsidR="00EF7361" w:rsidRPr="00F75025">
        <w:rPr>
          <w:rStyle w:val="longtext"/>
          <w:i/>
          <w:lang w:val="es-ES_tradnl"/>
        </w:rPr>
        <w:t>the</w:t>
      </w:r>
      <w:proofErr w:type="spellEnd"/>
      <w:r w:rsidR="00EF7361" w:rsidRPr="00F75025">
        <w:rPr>
          <w:rStyle w:val="longtext"/>
          <w:i/>
          <w:lang w:val="es-ES_tradnl"/>
        </w:rPr>
        <w:t xml:space="preserve"> </w:t>
      </w:r>
      <w:proofErr w:type="spellStart"/>
      <w:r w:rsidR="00EF7361" w:rsidRPr="00F75025">
        <w:rPr>
          <w:rStyle w:val="longtext"/>
          <w:i/>
          <w:lang w:val="es-ES_tradnl"/>
        </w:rPr>
        <w:t>Decree</w:t>
      </w:r>
      <w:proofErr w:type="spellEnd"/>
      <w:r w:rsidR="00EF7361" w:rsidRPr="00F75025">
        <w:rPr>
          <w:rStyle w:val="longtext"/>
          <w:i/>
          <w:lang w:val="es-ES_tradnl"/>
        </w:rPr>
        <w:t xml:space="preserve"> relative </w:t>
      </w:r>
      <w:proofErr w:type="spellStart"/>
      <w:r w:rsidR="00EF7361" w:rsidRPr="00F75025">
        <w:rPr>
          <w:rStyle w:val="longtext"/>
          <w:i/>
          <w:lang w:val="es-ES_tradnl"/>
        </w:rPr>
        <w:t>to</w:t>
      </w:r>
      <w:proofErr w:type="spellEnd"/>
      <w:r w:rsidR="00EF7361" w:rsidRPr="00F75025">
        <w:rPr>
          <w:rStyle w:val="longtext"/>
          <w:i/>
          <w:lang w:val="es-ES_tradnl"/>
        </w:rPr>
        <w:t xml:space="preserve"> </w:t>
      </w:r>
      <w:proofErr w:type="spellStart"/>
      <w:r w:rsidR="00EF7361" w:rsidRPr="00F75025">
        <w:rPr>
          <w:rStyle w:val="longtext"/>
          <w:i/>
          <w:lang w:val="es-ES_tradnl"/>
        </w:rPr>
        <w:t>fishing</w:t>
      </w:r>
      <w:proofErr w:type="spellEnd"/>
      <w:r w:rsidR="00EF7361" w:rsidRPr="00F75025">
        <w:rPr>
          <w:rStyle w:val="longtext"/>
          <w:i/>
          <w:lang w:val="es-ES_tradnl"/>
        </w:rPr>
        <w:t xml:space="preserve"> in marine </w:t>
      </w:r>
      <w:proofErr w:type="spellStart"/>
      <w:r w:rsidR="00EF7361" w:rsidRPr="00F75025">
        <w:rPr>
          <w:rStyle w:val="longtext"/>
          <w:i/>
          <w:lang w:val="es-ES_tradnl"/>
        </w:rPr>
        <w:t>waters</w:t>
      </w:r>
      <w:proofErr w:type="spellEnd"/>
      <w:r w:rsidR="00EF7361">
        <w:rPr>
          <w:rStyle w:val="longtext"/>
          <w:lang w:val="es-ES_tradnl"/>
        </w:rPr>
        <w:t>)</w:t>
      </w:r>
      <w:r w:rsidR="00EF7361">
        <w:rPr>
          <w:rStyle w:val="Refdenotaalpie"/>
          <w:lang w:val="es-ES_tradnl"/>
        </w:rPr>
        <w:footnoteReference w:id="72"/>
      </w:r>
      <w:r w:rsidR="00EF7361">
        <w:rPr>
          <w:rStyle w:val="longtext"/>
          <w:lang w:val="es-ES_tradnl"/>
        </w:rPr>
        <w:t>.</w:t>
      </w:r>
    </w:p>
    <w:p w14:paraId="6AC56E4E" w14:textId="77777777" w:rsidR="00EF7361" w:rsidRDefault="00EF7361" w:rsidP="00EF7361">
      <w:pPr>
        <w:rPr>
          <w:rStyle w:val="longtext"/>
          <w:shd w:val="clear" w:color="auto" w:fill="FFFFFF"/>
          <w:lang w:val="es-CL"/>
        </w:rPr>
      </w:pPr>
      <w:r>
        <w:rPr>
          <w:rStyle w:val="longtext"/>
          <w:shd w:val="clear" w:color="auto" w:fill="FFFFFF"/>
          <w:lang w:val="es-CL"/>
        </w:rPr>
        <w:t>Debido a que l</w:t>
      </w:r>
      <w:r w:rsidRPr="00033B60">
        <w:rPr>
          <w:rStyle w:val="longtext"/>
          <w:shd w:val="clear" w:color="auto" w:fill="FFFFFF"/>
          <w:lang w:val="es-CL"/>
        </w:rPr>
        <w:t xml:space="preserve">as poblaciones de peces más importantes migran entre las aguas de Noruega y </w:t>
      </w:r>
      <w:r>
        <w:rPr>
          <w:rStyle w:val="longtext"/>
          <w:shd w:val="clear" w:color="auto" w:fill="FFFFFF"/>
          <w:lang w:val="es-CL"/>
        </w:rPr>
        <w:t>aguas extranjeras (90% de las pesquerías noruegas son compartidas con otros países)</w:t>
      </w:r>
      <w:r w:rsidRPr="00033B60">
        <w:rPr>
          <w:rStyle w:val="longtext"/>
          <w:shd w:val="clear" w:color="auto" w:fill="FFFFFF"/>
          <w:lang w:val="es-CL"/>
        </w:rPr>
        <w:t xml:space="preserve">, </w:t>
      </w:r>
      <w:r>
        <w:rPr>
          <w:rStyle w:val="longtext"/>
          <w:shd w:val="clear" w:color="auto" w:fill="FFFFFF"/>
          <w:lang w:val="es-CL"/>
        </w:rPr>
        <w:t>se</w:t>
      </w:r>
      <w:r w:rsidRPr="00033B60">
        <w:rPr>
          <w:rStyle w:val="longtext"/>
          <w:shd w:val="clear" w:color="auto" w:fill="FFFFFF"/>
          <w:lang w:val="es-CL"/>
        </w:rPr>
        <w:t xml:space="preserve"> requiere una estrecha cooperación con los países vecinos. Esto significa que la decisión más crítica </w:t>
      </w:r>
      <w:r>
        <w:rPr>
          <w:rStyle w:val="longtext"/>
          <w:shd w:val="clear" w:color="auto" w:fill="FFFFFF"/>
          <w:lang w:val="es-CL"/>
        </w:rPr>
        <w:t xml:space="preserve">de </w:t>
      </w:r>
      <w:r w:rsidRPr="00033B60">
        <w:rPr>
          <w:rStyle w:val="longtext"/>
          <w:shd w:val="clear" w:color="auto" w:fill="FFFFFF"/>
          <w:lang w:val="es-CL"/>
        </w:rPr>
        <w:t>la gestión</w:t>
      </w:r>
      <w:r>
        <w:rPr>
          <w:rStyle w:val="longtext"/>
          <w:shd w:val="clear" w:color="auto" w:fill="FFFFFF"/>
          <w:lang w:val="es-CL"/>
        </w:rPr>
        <w:t xml:space="preserve">, </w:t>
      </w:r>
      <w:r w:rsidRPr="00033B60">
        <w:rPr>
          <w:rStyle w:val="longtext"/>
          <w:shd w:val="clear" w:color="auto" w:fill="FFFFFF"/>
          <w:lang w:val="es-CL"/>
        </w:rPr>
        <w:t xml:space="preserve">la cantidad de peces que pueden ser </w:t>
      </w:r>
      <w:r>
        <w:rPr>
          <w:rStyle w:val="longtext"/>
          <w:shd w:val="clear" w:color="auto" w:fill="FFFFFF"/>
          <w:lang w:val="es-CL"/>
        </w:rPr>
        <w:t>capturados a partir de un determinado</w:t>
      </w:r>
      <w:r w:rsidRPr="00033B60">
        <w:rPr>
          <w:rStyle w:val="longtext"/>
          <w:shd w:val="clear" w:color="auto" w:fill="FFFFFF"/>
          <w:lang w:val="es-CL"/>
        </w:rPr>
        <w:t xml:space="preserve"> </w:t>
      </w:r>
      <w:r w:rsidRPr="006D4C44">
        <w:rPr>
          <w:rStyle w:val="longtext"/>
          <w:i/>
          <w:shd w:val="clear" w:color="auto" w:fill="FFFFFF"/>
          <w:lang w:val="es-CL"/>
        </w:rPr>
        <w:t>stock</w:t>
      </w:r>
      <w:r>
        <w:rPr>
          <w:rStyle w:val="longtext"/>
          <w:shd w:val="clear" w:color="auto" w:fill="FFFFFF"/>
          <w:lang w:val="es-CL"/>
        </w:rPr>
        <w:t xml:space="preserve">, </w:t>
      </w:r>
      <w:r w:rsidRPr="00033B60">
        <w:rPr>
          <w:rStyle w:val="longtext"/>
          <w:shd w:val="clear" w:color="auto" w:fill="FFFFFF"/>
          <w:lang w:val="es-CL"/>
        </w:rPr>
        <w:t xml:space="preserve">es una premisa internacional </w:t>
      </w:r>
      <w:r>
        <w:rPr>
          <w:rStyle w:val="longtext"/>
          <w:shd w:val="clear" w:color="auto" w:fill="FFFFFF"/>
          <w:lang w:val="es-CL"/>
        </w:rPr>
        <w:t>utilizada en el p</w:t>
      </w:r>
      <w:r w:rsidRPr="00033B60">
        <w:rPr>
          <w:rStyle w:val="longtext"/>
          <w:shd w:val="clear" w:color="auto" w:fill="FFFFFF"/>
          <w:lang w:val="es-CL"/>
        </w:rPr>
        <w:t>roceso interno de toma de decisiones</w:t>
      </w:r>
      <w:r>
        <w:rPr>
          <w:rStyle w:val="Refdenotaalpie"/>
        </w:rPr>
        <w:footnoteReference w:id="73"/>
      </w:r>
      <w:r w:rsidRPr="00033B60">
        <w:rPr>
          <w:rStyle w:val="longtext"/>
          <w:shd w:val="clear" w:color="auto" w:fill="FFFFFF"/>
          <w:lang w:val="es-CL"/>
        </w:rPr>
        <w:t>.</w:t>
      </w:r>
    </w:p>
    <w:p w14:paraId="332592C2" w14:textId="77777777" w:rsidR="00EF7361" w:rsidRDefault="00EF7361" w:rsidP="00EF7361">
      <w:pPr>
        <w:rPr>
          <w:rStyle w:val="longtext"/>
          <w:shd w:val="clear" w:color="auto" w:fill="FFFFFF"/>
        </w:rPr>
      </w:pPr>
      <w:r>
        <w:rPr>
          <w:rStyle w:val="longtext"/>
          <w:lang w:val="es-CL"/>
        </w:rPr>
        <w:t xml:space="preserve">La </w:t>
      </w:r>
      <w:r>
        <w:rPr>
          <w:rStyle w:val="longtext"/>
        </w:rPr>
        <w:t xml:space="preserve">base fundamental para determinar las cuotas de pesca son las recomendaciones del Consejo Internacional para </w:t>
      </w:r>
      <w:smartTag w:uri="urn:schemas-microsoft-com:office:smarttags" w:element="PersonName">
        <w:smartTagPr>
          <w:attr w:name="ProductID" w:val="la Exploraci￳n"/>
        </w:smartTagPr>
        <w:r>
          <w:rPr>
            <w:rStyle w:val="longtext"/>
          </w:rPr>
          <w:t>la Exploración</w:t>
        </w:r>
      </w:smartTag>
      <w:r>
        <w:rPr>
          <w:rStyle w:val="longtext"/>
        </w:rPr>
        <w:t xml:space="preserve"> del Mar (</w:t>
      </w:r>
      <w:r w:rsidRPr="00E812DD">
        <w:rPr>
          <w:rStyle w:val="longtext"/>
          <w:i/>
        </w:rPr>
        <w:t xml:space="preserve">International Council </w:t>
      </w:r>
      <w:proofErr w:type="spellStart"/>
      <w:r w:rsidRPr="00E812DD">
        <w:rPr>
          <w:rStyle w:val="longtext"/>
          <w:i/>
        </w:rPr>
        <w:t>for</w:t>
      </w:r>
      <w:proofErr w:type="spellEnd"/>
      <w:r w:rsidRPr="00E812DD">
        <w:rPr>
          <w:rStyle w:val="longtext"/>
          <w:i/>
        </w:rPr>
        <w:t xml:space="preserve"> </w:t>
      </w:r>
      <w:proofErr w:type="spellStart"/>
      <w:r w:rsidRPr="00E812DD">
        <w:rPr>
          <w:rStyle w:val="longtext"/>
          <w:i/>
        </w:rPr>
        <w:t>the</w:t>
      </w:r>
      <w:proofErr w:type="spellEnd"/>
      <w:r>
        <w:rPr>
          <w:rStyle w:val="longtext"/>
          <w:i/>
        </w:rPr>
        <w:t xml:space="preserve"> </w:t>
      </w:r>
      <w:proofErr w:type="spellStart"/>
      <w:r w:rsidRPr="00E812DD">
        <w:rPr>
          <w:rStyle w:val="longtext"/>
          <w:i/>
          <w:lang w:val="es-CL"/>
        </w:rPr>
        <w:t>Exploration</w:t>
      </w:r>
      <w:proofErr w:type="spellEnd"/>
      <w:r w:rsidRPr="00E812DD">
        <w:rPr>
          <w:rStyle w:val="longtext"/>
          <w:i/>
          <w:lang w:val="es-CL"/>
        </w:rPr>
        <w:t xml:space="preserve"> </w:t>
      </w:r>
      <w:proofErr w:type="spellStart"/>
      <w:r w:rsidRPr="00E812DD">
        <w:rPr>
          <w:rStyle w:val="longtext"/>
          <w:i/>
          <w:lang w:val="es-CL"/>
        </w:rPr>
        <w:t>of</w:t>
      </w:r>
      <w:proofErr w:type="spellEnd"/>
      <w:r w:rsidRPr="00E812DD">
        <w:rPr>
          <w:rStyle w:val="longtext"/>
          <w:i/>
          <w:lang w:val="es-CL"/>
        </w:rPr>
        <w:t xml:space="preserve"> </w:t>
      </w:r>
      <w:proofErr w:type="spellStart"/>
      <w:r w:rsidRPr="00E812DD">
        <w:rPr>
          <w:rStyle w:val="longtext"/>
          <w:i/>
          <w:lang w:val="es-CL"/>
        </w:rPr>
        <w:t>the</w:t>
      </w:r>
      <w:proofErr w:type="spellEnd"/>
      <w:r w:rsidRPr="00E812DD">
        <w:rPr>
          <w:rStyle w:val="longtext"/>
          <w:i/>
          <w:lang w:val="es-CL"/>
        </w:rPr>
        <w:t xml:space="preserve"> Sea - ICES</w:t>
      </w:r>
      <w:r w:rsidRPr="00E812DD">
        <w:rPr>
          <w:rStyle w:val="longtext"/>
          <w:lang w:val="es-CL"/>
        </w:rPr>
        <w:t>)</w:t>
      </w:r>
      <w:r>
        <w:rPr>
          <w:rStyle w:val="longtext"/>
          <w:lang w:val="es-CL"/>
        </w:rPr>
        <w:t xml:space="preserve">, formado por </w:t>
      </w:r>
      <w:r>
        <w:rPr>
          <w:rStyle w:val="longtext"/>
          <w:shd w:val="clear" w:color="auto" w:fill="FFFFFF"/>
        </w:rPr>
        <w:t>científicos de diferentes países. Luego que el ICES ha dado sus recomendaciones de cuotas, comienzan las negociaciones sobre el manejo de las pesquerías entre Noruega y los otros estados</w:t>
      </w:r>
      <w:r>
        <w:rPr>
          <w:rStyle w:val="Refdenotaalpie"/>
        </w:rPr>
        <w:footnoteReference w:id="74"/>
      </w:r>
      <w:r>
        <w:rPr>
          <w:rStyle w:val="longtext"/>
          <w:shd w:val="clear" w:color="auto" w:fill="FFFFFF"/>
        </w:rPr>
        <w:t>.</w:t>
      </w:r>
    </w:p>
    <w:p w14:paraId="437BF006" w14:textId="77777777" w:rsidR="00EF7361" w:rsidRPr="00033B60" w:rsidRDefault="00EF7361" w:rsidP="00EF7361">
      <w:pPr>
        <w:rPr>
          <w:rStyle w:val="longtext"/>
          <w:shd w:val="clear" w:color="auto" w:fill="FFFFFF"/>
          <w:lang w:val="es-CL"/>
        </w:rPr>
      </w:pPr>
      <w:r>
        <w:rPr>
          <w:shd w:val="clear" w:color="auto" w:fill="FFFFFF"/>
        </w:rPr>
        <w:t xml:space="preserve">Una vez finalizadas </w:t>
      </w:r>
      <w:r>
        <w:rPr>
          <w:rStyle w:val="longtext"/>
          <w:shd w:val="clear" w:color="auto" w:fill="FFFFFF"/>
        </w:rPr>
        <w:t xml:space="preserve">las negociaciones internacionales, comienza el proceso de reglamentación nacional para la asignación de cuotas, para lo cual </w:t>
      </w:r>
      <w:smartTag w:uri="urn:schemas-microsoft-com:office:smarttags" w:element="PersonName">
        <w:smartTagPr>
          <w:attr w:name="ProductID" w:val="la Direcci￳n"/>
        </w:smartTagPr>
        <w:r>
          <w:rPr>
            <w:rStyle w:val="longtext"/>
            <w:shd w:val="clear" w:color="auto" w:fill="FFFFFF"/>
          </w:rPr>
          <w:t xml:space="preserve">la </w:t>
        </w:r>
        <w:r>
          <w:rPr>
            <w:rStyle w:val="longtext"/>
          </w:rPr>
          <w:t>Dirección</w:t>
        </w:r>
      </w:smartTag>
      <w:r>
        <w:rPr>
          <w:rStyle w:val="longtext"/>
        </w:rPr>
        <w:t xml:space="preserve"> de Pesca (</w:t>
      </w:r>
      <w:proofErr w:type="spellStart"/>
      <w:r w:rsidRPr="00E676B6">
        <w:rPr>
          <w:rStyle w:val="longtext"/>
          <w:i/>
        </w:rPr>
        <w:t>Directorate</w:t>
      </w:r>
      <w:proofErr w:type="spellEnd"/>
      <w:r w:rsidRPr="00E676B6">
        <w:rPr>
          <w:rStyle w:val="longtext"/>
          <w:i/>
        </w:rPr>
        <w:t xml:space="preserve"> </w:t>
      </w:r>
      <w:proofErr w:type="spellStart"/>
      <w:r w:rsidRPr="00E676B6">
        <w:rPr>
          <w:rStyle w:val="longtext"/>
          <w:i/>
        </w:rPr>
        <w:t>of</w:t>
      </w:r>
      <w:proofErr w:type="spellEnd"/>
      <w:r w:rsidRPr="00E676B6">
        <w:rPr>
          <w:rStyle w:val="longtext"/>
          <w:i/>
        </w:rPr>
        <w:t xml:space="preserve"> </w:t>
      </w:r>
      <w:proofErr w:type="spellStart"/>
      <w:r w:rsidRPr="00E676B6">
        <w:rPr>
          <w:rStyle w:val="longtext"/>
          <w:i/>
        </w:rPr>
        <w:t>Fisheries</w:t>
      </w:r>
      <w:proofErr w:type="spellEnd"/>
      <w:r>
        <w:rPr>
          <w:rStyle w:val="longtext"/>
        </w:rPr>
        <w:t xml:space="preserve">) hace una propuesta para regir durante el siguiente año. </w:t>
      </w:r>
      <w:r>
        <w:rPr>
          <w:rStyle w:val="longtext"/>
          <w:shd w:val="clear" w:color="auto" w:fill="FFFFFF"/>
        </w:rPr>
        <w:t xml:space="preserve">La participación de los interesados en las decisiones de </w:t>
      </w:r>
      <w:r>
        <w:rPr>
          <w:rStyle w:val="longtext"/>
          <w:shd w:val="clear" w:color="auto" w:fill="FFFFFF"/>
        </w:rPr>
        <w:lastRenderedPageBreak/>
        <w:t xml:space="preserve">gestión se logra a través de </w:t>
      </w:r>
      <w:smartTag w:uri="urn:schemas-microsoft-com:office:smarttags" w:element="PersonName">
        <w:smartTagPr>
          <w:attr w:name="ProductID" w:val="la Reuni￳n Consultiva"/>
        </w:smartTagPr>
        <w:r>
          <w:rPr>
            <w:rStyle w:val="longtext"/>
            <w:shd w:val="clear" w:color="auto" w:fill="FFFFFF"/>
          </w:rPr>
          <w:t>la Reunión Consultiva</w:t>
        </w:r>
      </w:smartTag>
      <w:r>
        <w:rPr>
          <w:rStyle w:val="longtext"/>
          <w:shd w:val="clear" w:color="auto" w:fill="FFFFFF"/>
        </w:rPr>
        <w:t xml:space="preserve"> para la Regulación Pesquera (realizada en noviembre o diciembre), donde están representadas las asociaciones de pescadores, la industria pesquera, los sindicatos, el Parlamento Sami</w:t>
      </w:r>
      <w:r>
        <w:rPr>
          <w:rStyle w:val="Refdenotaalpie"/>
          <w:shd w:val="clear" w:color="auto" w:fill="FFFFFF"/>
        </w:rPr>
        <w:footnoteReference w:id="75"/>
      </w:r>
      <w:r>
        <w:rPr>
          <w:rStyle w:val="longtext"/>
          <w:shd w:val="clear" w:color="auto" w:fill="FFFFFF"/>
        </w:rPr>
        <w:t>, las autoridades locales, las organizaciones ambientales y otras partes interesadas</w:t>
      </w:r>
      <w:r>
        <w:rPr>
          <w:rStyle w:val="Refdenotaalpie"/>
        </w:rPr>
        <w:footnoteReference w:id="76"/>
      </w:r>
      <w:r>
        <w:rPr>
          <w:rStyle w:val="longtext"/>
          <w:shd w:val="clear" w:color="auto" w:fill="FFFFFF"/>
        </w:rPr>
        <w:t>.</w:t>
      </w:r>
      <w:r w:rsidRPr="0090369E">
        <w:rPr>
          <w:rStyle w:val="longtext"/>
        </w:rPr>
        <w:t xml:space="preserve"> </w:t>
      </w:r>
      <w:r>
        <w:rPr>
          <w:rStyle w:val="longtext"/>
        </w:rPr>
        <w:t xml:space="preserve">También presta asesoría en esta materia </w:t>
      </w:r>
      <w:r w:rsidRPr="005D4BD4">
        <w:rPr>
          <w:rStyle w:val="longtext"/>
        </w:rPr>
        <w:t>el Instituto de Investigación Marina</w:t>
      </w:r>
      <w:r>
        <w:rPr>
          <w:rStyle w:val="longtext"/>
        </w:rPr>
        <w:t xml:space="preserve"> (</w:t>
      </w:r>
      <w:r w:rsidRPr="0090369E">
        <w:rPr>
          <w:rStyle w:val="longtext"/>
          <w:i/>
        </w:rPr>
        <w:t xml:space="preserve">Marine </w:t>
      </w:r>
      <w:proofErr w:type="spellStart"/>
      <w:r w:rsidRPr="0090369E">
        <w:rPr>
          <w:rStyle w:val="longtext"/>
          <w:i/>
        </w:rPr>
        <w:t>Research</w:t>
      </w:r>
      <w:proofErr w:type="spellEnd"/>
      <w:r w:rsidRPr="0090369E">
        <w:rPr>
          <w:rStyle w:val="longtext"/>
          <w:i/>
        </w:rPr>
        <w:t xml:space="preserve"> </w:t>
      </w:r>
      <w:proofErr w:type="spellStart"/>
      <w:r w:rsidRPr="0090369E">
        <w:rPr>
          <w:rStyle w:val="longtext"/>
          <w:i/>
        </w:rPr>
        <w:t>Institute</w:t>
      </w:r>
      <w:proofErr w:type="spellEnd"/>
      <w:r>
        <w:rPr>
          <w:rStyle w:val="longtext"/>
        </w:rPr>
        <w:t xml:space="preserve">), </w:t>
      </w:r>
      <w:r w:rsidRPr="005D4BD4">
        <w:rPr>
          <w:rStyle w:val="longtext"/>
        </w:rPr>
        <w:t>responsable de monitorear las poblaciones de peces y otros recursos marinos vivos en aguas noruegas y adyacentes</w:t>
      </w:r>
      <w:r>
        <w:rPr>
          <w:rStyle w:val="Refdenotaalpie"/>
        </w:rPr>
        <w:footnoteReference w:id="77"/>
      </w:r>
      <w:r>
        <w:rPr>
          <w:rStyle w:val="longtext"/>
        </w:rPr>
        <w:t>.</w:t>
      </w:r>
    </w:p>
    <w:p w14:paraId="04B3DDF7" w14:textId="77777777" w:rsidR="00EF7361" w:rsidRDefault="00EF7361" w:rsidP="00EF7361">
      <w:pPr>
        <w:rPr>
          <w:rStyle w:val="longtext"/>
        </w:rPr>
      </w:pPr>
      <w:r>
        <w:rPr>
          <w:shd w:val="clear" w:color="auto" w:fill="FFFFFF"/>
          <w:lang w:val="es-CL"/>
        </w:rPr>
        <w:t xml:space="preserve">Luego de esta reunión, la Dirección de Pesca recomienda la regulación de pesca para el año entrante Por último, </w:t>
      </w:r>
      <w:r>
        <w:rPr>
          <w:rStyle w:val="longtext"/>
        </w:rPr>
        <w:t>el Ministerio de Comercio, Industria y Pesca (</w:t>
      </w:r>
      <w:proofErr w:type="spellStart"/>
      <w:r w:rsidRPr="00DF1DA7">
        <w:rPr>
          <w:rStyle w:val="longtext"/>
          <w:i/>
        </w:rPr>
        <w:t>Ministry</w:t>
      </w:r>
      <w:proofErr w:type="spellEnd"/>
      <w:r w:rsidRPr="00DF1DA7">
        <w:rPr>
          <w:rStyle w:val="longtext"/>
          <w:i/>
        </w:rPr>
        <w:t xml:space="preserve"> of </w:t>
      </w:r>
      <w:proofErr w:type="spellStart"/>
      <w:r w:rsidRPr="00DF1DA7">
        <w:rPr>
          <w:rStyle w:val="longtext"/>
          <w:i/>
        </w:rPr>
        <w:t>Trade</w:t>
      </w:r>
      <w:proofErr w:type="spellEnd"/>
      <w:r w:rsidRPr="00DF1DA7">
        <w:rPr>
          <w:rStyle w:val="longtext"/>
          <w:i/>
        </w:rPr>
        <w:t xml:space="preserve">, </w:t>
      </w:r>
      <w:proofErr w:type="spellStart"/>
      <w:r w:rsidRPr="00DF1DA7">
        <w:rPr>
          <w:rStyle w:val="longtext"/>
          <w:i/>
        </w:rPr>
        <w:t>Industry</w:t>
      </w:r>
      <w:proofErr w:type="spellEnd"/>
      <w:r w:rsidRPr="00DF1DA7">
        <w:rPr>
          <w:rStyle w:val="longtext"/>
          <w:i/>
        </w:rPr>
        <w:t xml:space="preserve"> and </w:t>
      </w:r>
      <w:proofErr w:type="spellStart"/>
      <w:r w:rsidRPr="00DF1DA7">
        <w:rPr>
          <w:rStyle w:val="longtext"/>
          <w:i/>
        </w:rPr>
        <w:t>Fisheries</w:t>
      </w:r>
      <w:proofErr w:type="spellEnd"/>
      <w:r>
        <w:rPr>
          <w:rStyle w:val="longtext"/>
        </w:rPr>
        <w:t>)</w:t>
      </w:r>
      <w:r>
        <w:rPr>
          <w:rStyle w:val="Refdenotaalpie"/>
        </w:rPr>
        <w:footnoteReference w:id="78"/>
      </w:r>
      <w:r>
        <w:rPr>
          <w:rStyle w:val="longtext"/>
        </w:rPr>
        <w:t xml:space="preserve"> decide cómo asignar las cuotas a cada buque y establece las normas técnicas para la pesca del año siguiente</w:t>
      </w:r>
      <w:r>
        <w:rPr>
          <w:rStyle w:val="Refdenotaalpie"/>
        </w:rPr>
        <w:footnoteReference w:id="79"/>
      </w:r>
      <w:r>
        <w:rPr>
          <w:rStyle w:val="longtext"/>
        </w:rPr>
        <w:t>.</w:t>
      </w:r>
    </w:p>
    <w:p w14:paraId="035700A9" w14:textId="77777777" w:rsidR="00EF7361" w:rsidRDefault="00EF7361" w:rsidP="00EF7361">
      <w:pPr>
        <w:rPr>
          <w:rStyle w:val="longtext"/>
        </w:rPr>
      </w:pPr>
      <w:r w:rsidRPr="0090369E">
        <w:rPr>
          <w:rStyle w:val="longtext"/>
        </w:rPr>
        <w:t>Es importante señalar que las experiencias de la pesca del año anterior son de gran importancia en el proceso de decisión para el año siguiente. Una razón</w:t>
      </w:r>
      <w:r>
        <w:rPr>
          <w:rStyle w:val="longtext"/>
        </w:rPr>
        <w:t xml:space="preserve"> de ello </w:t>
      </w:r>
      <w:r w:rsidRPr="0090369E">
        <w:rPr>
          <w:rStyle w:val="longtext"/>
        </w:rPr>
        <w:t xml:space="preserve">es asegurar la previsibilidad y la estabilidad de la flota pesquera. </w:t>
      </w:r>
      <w:r>
        <w:rPr>
          <w:rStyle w:val="longtext"/>
        </w:rPr>
        <w:t>O</w:t>
      </w:r>
      <w:r w:rsidRPr="0090369E">
        <w:rPr>
          <w:rStyle w:val="longtext"/>
        </w:rPr>
        <w:t>tra reunión abierta se lleva a cabo a principios de</w:t>
      </w:r>
      <w:r>
        <w:rPr>
          <w:rStyle w:val="longtext"/>
        </w:rPr>
        <w:t>l</w:t>
      </w:r>
      <w:r w:rsidRPr="0090369E">
        <w:rPr>
          <w:rStyle w:val="longtext"/>
        </w:rPr>
        <w:t xml:space="preserve"> verano </w:t>
      </w:r>
      <w:r>
        <w:rPr>
          <w:rStyle w:val="longtext"/>
        </w:rPr>
        <w:t xml:space="preserve">para </w:t>
      </w:r>
      <w:r w:rsidRPr="0090369E">
        <w:rPr>
          <w:rStyle w:val="longtext"/>
        </w:rPr>
        <w:t xml:space="preserve">intercambiar puntos de vista </w:t>
      </w:r>
      <w:r>
        <w:rPr>
          <w:rStyle w:val="longtext"/>
        </w:rPr>
        <w:t xml:space="preserve">y </w:t>
      </w:r>
      <w:r w:rsidRPr="0090369E">
        <w:rPr>
          <w:rStyle w:val="longtext"/>
        </w:rPr>
        <w:t xml:space="preserve">evaluar </w:t>
      </w:r>
      <w:r>
        <w:rPr>
          <w:rStyle w:val="longtext"/>
        </w:rPr>
        <w:t>el año pesquero</w:t>
      </w:r>
      <w:r>
        <w:rPr>
          <w:rStyle w:val="Refdenotaalpie"/>
        </w:rPr>
        <w:footnoteReference w:id="80"/>
      </w:r>
      <w:r w:rsidRPr="0090369E">
        <w:rPr>
          <w:rStyle w:val="longtext"/>
        </w:rPr>
        <w:t xml:space="preserve">. </w:t>
      </w:r>
    </w:p>
    <w:p w14:paraId="74648409" w14:textId="0F386B77" w:rsidR="0011098D" w:rsidRDefault="00EF7361" w:rsidP="002C73A2">
      <w:pPr>
        <w:spacing w:after="0"/>
        <w:rPr>
          <w:rStyle w:val="longtext"/>
        </w:rPr>
      </w:pPr>
      <w:r>
        <w:rPr>
          <w:rStyle w:val="longtext"/>
        </w:rPr>
        <w:t>Desde la introducción de las cuotas y licencias como herramientas de gestión, Noruega ha insistido en un régimen de cuotas individuales por buque (</w:t>
      </w:r>
      <w:r w:rsidRPr="003C32E4">
        <w:rPr>
          <w:rStyle w:val="longtext"/>
          <w:i/>
        </w:rPr>
        <w:t xml:space="preserve">Individual </w:t>
      </w:r>
      <w:proofErr w:type="spellStart"/>
      <w:r w:rsidRPr="003C32E4">
        <w:rPr>
          <w:rStyle w:val="longtext"/>
          <w:i/>
        </w:rPr>
        <w:t>Vessel</w:t>
      </w:r>
      <w:proofErr w:type="spellEnd"/>
      <w:r w:rsidRPr="003C32E4">
        <w:rPr>
          <w:rStyle w:val="longtext"/>
          <w:i/>
        </w:rPr>
        <w:t xml:space="preserve"> </w:t>
      </w:r>
      <w:proofErr w:type="spellStart"/>
      <w:r w:rsidRPr="003C32E4">
        <w:rPr>
          <w:rStyle w:val="longtext"/>
          <w:i/>
        </w:rPr>
        <w:t>Quota</w:t>
      </w:r>
      <w:proofErr w:type="spellEnd"/>
      <w:r w:rsidRPr="003C32E4">
        <w:rPr>
          <w:rStyle w:val="longtext"/>
          <w:i/>
        </w:rPr>
        <w:t xml:space="preserve"> - IVQ</w:t>
      </w:r>
      <w:r>
        <w:rPr>
          <w:rStyle w:val="longtext"/>
        </w:rPr>
        <w:t>). El objetivo es garantizar la estabilidad respecto a una estructura de flota diversificada y con una propiedad descentralizada de los escasos recursos de bacalao</w:t>
      </w:r>
      <w:r>
        <w:rPr>
          <w:rStyle w:val="Refdenotaalpie"/>
        </w:rPr>
        <w:footnoteReference w:id="81"/>
      </w:r>
      <w:r>
        <w:rPr>
          <w:rStyle w:val="longtext"/>
        </w:rPr>
        <w:t xml:space="preserve">. </w:t>
      </w:r>
    </w:p>
    <w:p w14:paraId="4F2A5171" w14:textId="77777777" w:rsidR="0011098D" w:rsidRDefault="0011098D" w:rsidP="002C73A2">
      <w:pPr>
        <w:spacing w:after="0"/>
        <w:rPr>
          <w:rStyle w:val="longtext"/>
        </w:rPr>
      </w:pPr>
    </w:p>
    <w:p w14:paraId="1A8285DB" w14:textId="77777777" w:rsidR="00EF7361" w:rsidRPr="000073B3" w:rsidRDefault="00EF7361" w:rsidP="000073B3">
      <w:pPr>
        <w:pStyle w:val="Prrafodelista"/>
        <w:numPr>
          <w:ilvl w:val="0"/>
          <w:numId w:val="28"/>
        </w:numPr>
        <w:ind w:left="709" w:hanging="349"/>
      </w:pPr>
      <w:bookmarkStart w:id="34" w:name="_Toc431896950"/>
      <w:r w:rsidRPr="000073B3">
        <w:rPr>
          <w:b/>
        </w:rPr>
        <w:t>La subasta de cuotas pesqueras</w:t>
      </w:r>
      <w:bookmarkEnd w:id="34"/>
    </w:p>
    <w:p w14:paraId="1C55D955" w14:textId="77777777" w:rsidR="00EF7361" w:rsidRPr="001D5747" w:rsidRDefault="00EF7361" w:rsidP="002C73A2">
      <w:pPr>
        <w:spacing w:after="0"/>
        <w:rPr>
          <w:lang w:val="es-ES_tradnl"/>
        </w:rPr>
      </w:pPr>
      <w:r w:rsidRPr="001D5747">
        <w:rPr>
          <w:lang w:val="es-ES_tradnl"/>
        </w:rPr>
        <w:t>Por lo que se puede desprender</w:t>
      </w:r>
      <w:r>
        <w:rPr>
          <w:lang w:val="es-ES_tradnl"/>
        </w:rPr>
        <w:t xml:space="preserve"> del proceso de asignación de cuotas que realiza el </w:t>
      </w:r>
      <w:r>
        <w:rPr>
          <w:rStyle w:val="longtext"/>
        </w:rPr>
        <w:t xml:space="preserve">Ministerio de Comercio, Industria y Pesca, y de la </w:t>
      </w:r>
      <w:r w:rsidRPr="001D5747">
        <w:rPr>
          <w:lang w:val="es-ES_tradnl"/>
        </w:rPr>
        <w:t>legislación noruega</w:t>
      </w:r>
      <w:r>
        <w:rPr>
          <w:lang w:val="es-ES_tradnl"/>
        </w:rPr>
        <w:t xml:space="preserve"> consultada, no se encontró información que diera cuenta de la existencia de </w:t>
      </w:r>
      <w:r w:rsidRPr="001D5747">
        <w:rPr>
          <w:lang w:val="es-ES_tradnl"/>
        </w:rPr>
        <w:t>subasta</w:t>
      </w:r>
      <w:r>
        <w:rPr>
          <w:lang w:val="es-ES_tradnl"/>
        </w:rPr>
        <w:t>s</w:t>
      </w:r>
      <w:r w:rsidRPr="001D5747">
        <w:rPr>
          <w:lang w:val="es-ES_tradnl"/>
        </w:rPr>
        <w:t xml:space="preserve"> de cuotas </w:t>
      </w:r>
      <w:r>
        <w:rPr>
          <w:lang w:val="es-ES_tradnl"/>
        </w:rPr>
        <w:t>pesqueras</w:t>
      </w:r>
      <w:r w:rsidRPr="001D5747">
        <w:rPr>
          <w:lang w:val="es-ES_tradnl"/>
        </w:rPr>
        <w:t xml:space="preserve">. </w:t>
      </w:r>
    </w:p>
    <w:p w14:paraId="247F6341" w14:textId="77777777" w:rsidR="00EF7361" w:rsidRDefault="00EF7361" w:rsidP="002C73A2">
      <w:pPr>
        <w:spacing w:after="0"/>
        <w:rPr>
          <w:lang w:val="es-ES_tradnl"/>
        </w:rPr>
      </w:pPr>
    </w:p>
    <w:p w14:paraId="460F7221" w14:textId="0641BAA7" w:rsidR="00EF7361" w:rsidRDefault="00EF7361" w:rsidP="000073B3">
      <w:pPr>
        <w:pStyle w:val="Ttulo1"/>
        <w:keepLines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6"/>
        </w:tabs>
        <w:spacing w:before="0"/>
        <w:ind w:left="426" w:hanging="426"/>
        <w:rPr>
          <w:bCs w:val="0"/>
          <w:color w:val="auto"/>
          <w:sz w:val="24"/>
          <w:szCs w:val="22"/>
        </w:rPr>
      </w:pPr>
      <w:bookmarkStart w:id="35" w:name="_Toc428460694"/>
      <w:bookmarkStart w:id="36" w:name="_Toc431896954"/>
      <w:bookmarkStart w:id="37" w:name="_Toc157529082"/>
      <w:r w:rsidRPr="00EF7361">
        <w:rPr>
          <w:bCs w:val="0"/>
          <w:color w:val="auto"/>
          <w:sz w:val="24"/>
          <w:szCs w:val="22"/>
        </w:rPr>
        <w:t>España</w:t>
      </w:r>
      <w:bookmarkEnd w:id="35"/>
      <w:bookmarkEnd w:id="36"/>
      <w:bookmarkEnd w:id="37"/>
    </w:p>
    <w:p w14:paraId="39872F20" w14:textId="77777777" w:rsidR="0011098D" w:rsidRDefault="0011098D" w:rsidP="000073B3">
      <w:pPr>
        <w:pStyle w:val="Ttulo1"/>
        <w:keepLines w:val="0"/>
        <w:pBdr>
          <w:top w:val="none" w:sz="0" w:space="0" w:color="auto"/>
          <w:left w:val="none" w:sz="0" w:space="0" w:color="auto"/>
          <w:bottom w:val="none" w:sz="0" w:space="0" w:color="auto"/>
          <w:right w:val="none" w:sz="0" w:space="0" w:color="auto"/>
          <w:between w:val="none" w:sz="0" w:space="0" w:color="auto"/>
        </w:pBdr>
        <w:tabs>
          <w:tab w:val="left" w:pos="709"/>
        </w:tabs>
        <w:spacing w:before="0"/>
        <w:rPr>
          <w:bCs w:val="0"/>
          <w:color w:val="auto"/>
          <w:sz w:val="22"/>
          <w:szCs w:val="22"/>
        </w:rPr>
      </w:pPr>
      <w:bookmarkStart w:id="38" w:name="_Toc428460696"/>
      <w:bookmarkStart w:id="39" w:name="_Toc431896955"/>
    </w:p>
    <w:p w14:paraId="599A3AB2" w14:textId="1572A638" w:rsidR="00EF7361" w:rsidRPr="002C73A2" w:rsidRDefault="00EF7361" w:rsidP="000073B3">
      <w:pPr>
        <w:pStyle w:val="Ttulo1"/>
        <w:keepLines w:val="0"/>
        <w:numPr>
          <w:ilvl w:val="0"/>
          <w:numId w:val="29"/>
        </w:numPr>
        <w:pBdr>
          <w:top w:val="none" w:sz="0" w:space="0" w:color="auto"/>
          <w:left w:val="none" w:sz="0" w:space="0" w:color="auto"/>
          <w:bottom w:val="none" w:sz="0" w:space="0" w:color="auto"/>
          <w:right w:val="none" w:sz="0" w:space="0" w:color="auto"/>
          <w:between w:val="none" w:sz="0" w:space="0" w:color="auto"/>
        </w:pBdr>
        <w:tabs>
          <w:tab w:val="left" w:pos="709"/>
        </w:tabs>
        <w:spacing w:before="0"/>
        <w:ind w:hanging="294"/>
        <w:rPr>
          <w:bCs w:val="0"/>
          <w:color w:val="auto"/>
          <w:sz w:val="22"/>
          <w:szCs w:val="22"/>
        </w:rPr>
      </w:pPr>
      <w:bookmarkStart w:id="40" w:name="_Toc157529083"/>
      <w:r w:rsidRPr="002C73A2">
        <w:rPr>
          <w:bCs w:val="0"/>
          <w:color w:val="auto"/>
          <w:sz w:val="22"/>
          <w:szCs w:val="22"/>
        </w:rPr>
        <w:t>Sistemas de manejo de pesquerías</w:t>
      </w:r>
      <w:bookmarkEnd w:id="38"/>
      <w:bookmarkEnd w:id="39"/>
      <w:bookmarkEnd w:id="40"/>
      <w:r w:rsidRPr="002C73A2">
        <w:rPr>
          <w:bCs w:val="0"/>
          <w:color w:val="auto"/>
          <w:sz w:val="22"/>
          <w:szCs w:val="22"/>
        </w:rPr>
        <w:t xml:space="preserve">  </w:t>
      </w:r>
    </w:p>
    <w:p w14:paraId="73392683" w14:textId="77777777" w:rsidR="00883F22" w:rsidRDefault="00883F22" w:rsidP="002C73A2">
      <w:pPr>
        <w:spacing w:after="0"/>
        <w:rPr>
          <w:bCs/>
          <w:lang w:val="es-ES_tradnl"/>
        </w:rPr>
      </w:pPr>
      <w:bookmarkStart w:id="41" w:name="a5"/>
    </w:p>
    <w:p w14:paraId="0CCAAF49" w14:textId="77777777" w:rsidR="00EF7361" w:rsidRDefault="00EF7361" w:rsidP="002C73A2">
      <w:pPr>
        <w:spacing w:after="0"/>
        <w:rPr>
          <w:bCs/>
          <w:lang w:val="es-ES_tradnl"/>
        </w:rPr>
      </w:pPr>
      <w:r w:rsidRPr="00234AEC">
        <w:rPr>
          <w:bCs/>
          <w:lang w:val="es-ES_tradnl"/>
        </w:rPr>
        <w:t>La administración pesquera española puede disponer el reparto de las posibilidades de</w:t>
      </w:r>
      <w:r>
        <w:rPr>
          <w:bCs/>
          <w:lang w:val="es-ES_tradnl"/>
        </w:rPr>
        <w:t xml:space="preserve"> </w:t>
      </w:r>
      <w:r w:rsidRPr="00234AEC">
        <w:rPr>
          <w:bCs/>
          <w:lang w:val="es-ES_tradnl"/>
        </w:rPr>
        <w:t>pesca, cifrada en volumen de capturas, esfuerzo de pesca, tiempo de pesca o presencia</w:t>
      </w:r>
      <w:r>
        <w:rPr>
          <w:bCs/>
          <w:lang w:val="es-ES_tradnl"/>
        </w:rPr>
        <w:t xml:space="preserve"> </w:t>
      </w:r>
      <w:r w:rsidRPr="00234AEC">
        <w:rPr>
          <w:bCs/>
          <w:lang w:val="es-ES_tradnl"/>
        </w:rPr>
        <w:t>en zona, entre buques o grupos de buques</w:t>
      </w:r>
      <w:r>
        <w:rPr>
          <w:bCs/>
          <w:lang w:val="es-ES_tradnl"/>
        </w:rPr>
        <w:t>.</w:t>
      </w:r>
      <w:r w:rsidRPr="00234AEC">
        <w:rPr>
          <w:bCs/>
          <w:lang w:val="es-ES_tradnl"/>
        </w:rPr>
        <w:t xml:space="preserve"> Una vez efectuado el reparto, las</w:t>
      </w:r>
      <w:r>
        <w:rPr>
          <w:bCs/>
          <w:lang w:val="es-ES_tradnl"/>
        </w:rPr>
        <w:t xml:space="preserve"> </w:t>
      </w:r>
      <w:r w:rsidRPr="00234AEC">
        <w:rPr>
          <w:bCs/>
          <w:lang w:val="es-ES_tradnl"/>
        </w:rPr>
        <w:t xml:space="preserve">posibilidades </w:t>
      </w:r>
      <w:r>
        <w:rPr>
          <w:bCs/>
          <w:lang w:val="es-ES_tradnl"/>
        </w:rPr>
        <w:t>de pesca pueden ser trasmisibles</w:t>
      </w:r>
      <w:r w:rsidRPr="00234AEC">
        <w:rPr>
          <w:bCs/>
          <w:lang w:val="es-ES_tradnl"/>
        </w:rPr>
        <w:t>.</w:t>
      </w:r>
    </w:p>
    <w:p w14:paraId="2556F1E2" w14:textId="77777777" w:rsidR="00883F22" w:rsidRDefault="00883F22" w:rsidP="002C73A2">
      <w:pPr>
        <w:spacing w:after="0"/>
        <w:rPr>
          <w:bCs/>
          <w:lang w:val="es-ES_tradnl"/>
        </w:rPr>
      </w:pPr>
    </w:p>
    <w:p w14:paraId="56B33738" w14:textId="77777777" w:rsidR="00EF7361" w:rsidRDefault="00EF7361" w:rsidP="00EF7361">
      <w:pPr>
        <w:rPr>
          <w:lang w:val="es-ES_tradnl"/>
        </w:rPr>
      </w:pPr>
      <w:r w:rsidRPr="00B2735A">
        <w:rPr>
          <w:bCs/>
          <w:lang w:val="es-ES_tradnl"/>
        </w:rPr>
        <w:lastRenderedPageBreak/>
        <w:t xml:space="preserve">De acuerdo al artículo 5 de </w:t>
      </w:r>
      <w:smartTag w:uri="urn:schemas-microsoft-com:office:smarttags" w:element="PersonName">
        <w:smartTagPr>
          <w:attr w:name="ProductID" w:val="La Ley"/>
        </w:smartTagPr>
        <w:r w:rsidRPr="00B2735A">
          <w:rPr>
            <w:bCs/>
            <w:lang w:val="es-ES_tradnl"/>
          </w:rPr>
          <w:t>la Ley</w:t>
        </w:r>
      </w:smartTag>
      <w:r w:rsidRPr="00B2735A">
        <w:rPr>
          <w:bCs/>
          <w:lang w:val="es-ES_tradnl"/>
        </w:rPr>
        <w:t xml:space="preserve"> 3/2001, de 26 de marzo, de Pesca Marítima del Estado, </w:t>
      </w:r>
      <w:bookmarkEnd w:id="41"/>
      <w:r w:rsidRPr="00B2735A">
        <w:rPr>
          <w:bCs/>
          <w:lang w:val="es-ES_tradnl"/>
        </w:rPr>
        <w:t>l</w:t>
      </w:r>
      <w:r w:rsidRPr="00B2735A">
        <w:rPr>
          <w:lang w:val="es-ES_tradnl"/>
        </w:rPr>
        <w:t xml:space="preserve">a política de la pesca marítima en aguas exteriores se realiza, entre otras medidas, a través de </w:t>
      </w:r>
      <w:r>
        <w:rPr>
          <w:lang w:val="es-ES_tradnl"/>
        </w:rPr>
        <w:t xml:space="preserve">la </w:t>
      </w:r>
      <w:r w:rsidRPr="00B2735A">
        <w:rPr>
          <w:lang w:val="es-ES_tradnl"/>
        </w:rPr>
        <w:t>gestión de la actividad pesquera, distribuyendo las posibilidades de pesca de modo que se consiga una mayor racionalización del esfuerzo pesquero, en desarrollo del sector.</w:t>
      </w:r>
    </w:p>
    <w:p w14:paraId="345A45EC" w14:textId="77777777" w:rsidR="00EF7361" w:rsidRPr="00D96467" w:rsidRDefault="00EF7361" w:rsidP="00EF7361">
      <w:pPr>
        <w:rPr>
          <w:lang w:val="es-CL"/>
        </w:rPr>
      </w:pPr>
      <w:r>
        <w:rPr>
          <w:lang w:val="es-ES_tradnl"/>
        </w:rPr>
        <w:t xml:space="preserve">De este modo, las cuotas de pesca se denominan “posibilidades de pesca” y se regula su reparto en el </w:t>
      </w:r>
      <w:r w:rsidRPr="00D96467">
        <w:rPr>
          <w:lang w:val="es-CL"/>
        </w:rPr>
        <w:t>artículo 27</w:t>
      </w:r>
      <w:r>
        <w:rPr>
          <w:lang w:val="es-CL"/>
        </w:rPr>
        <w:t xml:space="preserve"> de la misma ley, el que dispone que “</w:t>
      </w:r>
      <w:r w:rsidRPr="00D96467">
        <w:rPr>
          <w:lang w:val="es-CL"/>
        </w:rPr>
        <w:t>el Ministro de Agricultura, Pesca y Alimentación podrá disponer la distribución de las posibilidades de pesca entre buques o grupos de buques habituales en la pesquería</w:t>
      </w:r>
      <w:r>
        <w:rPr>
          <w:lang w:val="es-CL"/>
        </w:rPr>
        <w:t>”</w:t>
      </w:r>
      <w:r w:rsidRPr="00D96467">
        <w:rPr>
          <w:lang w:val="es-CL"/>
        </w:rPr>
        <w:t>.</w:t>
      </w:r>
      <w:r>
        <w:rPr>
          <w:rStyle w:val="Refdenotaalpie"/>
          <w:lang w:val="es-CL"/>
        </w:rPr>
        <w:footnoteReference w:id="82"/>
      </w:r>
    </w:p>
    <w:p w14:paraId="06393BC4" w14:textId="77777777" w:rsidR="00EF7361" w:rsidRDefault="00EF7361" w:rsidP="00EF7361">
      <w:pPr>
        <w:rPr>
          <w:lang w:val="es-CL"/>
        </w:rPr>
      </w:pPr>
      <w:r>
        <w:rPr>
          <w:lang w:val="es-CL"/>
        </w:rPr>
        <w:t>Para efectos de d</w:t>
      </w:r>
      <w:r w:rsidRPr="00D96467">
        <w:rPr>
          <w:lang w:val="es-CL"/>
        </w:rPr>
        <w:t>istribución de las posibilidades de pesca</w:t>
      </w:r>
      <w:r>
        <w:rPr>
          <w:lang w:val="es-CL"/>
        </w:rPr>
        <w:t xml:space="preserve">, éstas pueden </w:t>
      </w:r>
      <w:r w:rsidRPr="00D96467">
        <w:rPr>
          <w:lang w:val="es-CL"/>
        </w:rPr>
        <w:t>cifrarse en volúmenes de capturas, esfuerzo de pesca, tiempo de pesca</w:t>
      </w:r>
      <w:r>
        <w:rPr>
          <w:lang w:val="es-CL"/>
        </w:rPr>
        <w:t>, o presencia en zonas de pesca, siguiendo los c</w:t>
      </w:r>
      <w:r w:rsidRPr="00D96467">
        <w:rPr>
          <w:lang w:val="es-CL"/>
        </w:rPr>
        <w:t xml:space="preserve">riterios </w:t>
      </w:r>
      <w:r>
        <w:rPr>
          <w:lang w:val="es-CL"/>
        </w:rPr>
        <w:t xml:space="preserve">siguientes: </w:t>
      </w:r>
    </w:p>
    <w:p w14:paraId="5CB67730" w14:textId="56F16D41" w:rsidR="00EF7361" w:rsidRPr="002E00FE" w:rsidRDefault="00EF7361" w:rsidP="002C73A2">
      <w:pPr>
        <w:pStyle w:val="Prrafodelista"/>
        <w:numPr>
          <w:ilvl w:val="1"/>
          <w:numId w:val="20"/>
        </w:numPr>
        <w:spacing w:after="0"/>
        <w:ind w:left="851" w:hanging="425"/>
        <w:rPr>
          <w:lang w:val="es-CL"/>
        </w:rPr>
      </w:pPr>
      <w:r w:rsidRPr="009F2E8E">
        <w:rPr>
          <w:lang w:val="es-CL"/>
        </w:rPr>
        <w:t>La actividad pesquera desarrollada históricamente, cifrada en volumen de capturas, esfuerzo de pesca, tiempo o presencia en zona, en cada caso.</w:t>
      </w:r>
    </w:p>
    <w:p w14:paraId="5F0753FD" w14:textId="06F937F3" w:rsidR="00EF7361" w:rsidRPr="001C6FA0" w:rsidRDefault="00EF7361" w:rsidP="002C73A2">
      <w:pPr>
        <w:pStyle w:val="Prrafodelista"/>
        <w:numPr>
          <w:ilvl w:val="1"/>
          <w:numId w:val="20"/>
        </w:numPr>
        <w:spacing w:after="0"/>
        <w:ind w:left="851" w:hanging="425"/>
        <w:rPr>
          <w:lang w:val="es-CL"/>
        </w:rPr>
      </w:pPr>
      <w:r w:rsidRPr="001C6FA0">
        <w:rPr>
          <w:lang w:val="es-CL"/>
        </w:rPr>
        <w:t>Sus características técnicas.</w:t>
      </w:r>
    </w:p>
    <w:p w14:paraId="372DEBCD" w14:textId="21E416E2" w:rsidR="00EF7361" w:rsidRPr="001C6FA0" w:rsidRDefault="00EF7361" w:rsidP="002C73A2">
      <w:pPr>
        <w:pStyle w:val="Prrafodelista"/>
        <w:numPr>
          <w:ilvl w:val="1"/>
          <w:numId w:val="20"/>
        </w:numPr>
        <w:spacing w:after="0"/>
        <w:ind w:left="851" w:hanging="425"/>
        <w:rPr>
          <w:lang w:val="es-CL"/>
        </w:rPr>
      </w:pPr>
      <w:r w:rsidRPr="001C6FA0">
        <w:rPr>
          <w:lang w:val="es-CL"/>
        </w:rPr>
        <w:t>Los demás parámetros del buque, así como otras posibilidades de pesca de que disponga, que optimicen la actividad del conjunto de la flota.</w:t>
      </w:r>
    </w:p>
    <w:p w14:paraId="6F1F09DE" w14:textId="77777777" w:rsidR="001C6FA0" w:rsidRDefault="001C6FA0" w:rsidP="002C73A2">
      <w:pPr>
        <w:spacing w:after="0"/>
        <w:rPr>
          <w:lang w:val="es-CL"/>
        </w:rPr>
      </w:pPr>
    </w:p>
    <w:p w14:paraId="77BBD79C" w14:textId="77777777" w:rsidR="00EF7361" w:rsidRDefault="00EF7361" w:rsidP="00EF7361">
      <w:pPr>
        <w:rPr>
          <w:lang w:val="es-CL"/>
        </w:rPr>
      </w:pPr>
      <w:r w:rsidRPr="00D96467">
        <w:rPr>
          <w:lang w:val="es-CL"/>
        </w:rPr>
        <w:t xml:space="preserve">Asimismo, </w:t>
      </w:r>
      <w:r>
        <w:rPr>
          <w:lang w:val="es-CL"/>
        </w:rPr>
        <w:t xml:space="preserve">además de los anteriores, </w:t>
      </w:r>
      <w:r w:rsidRPr="00D96467">
        <w:rPr>
          <w:lang w:val="es-CL"/>
        </w:rPr>
        <w:t>se valora</w:t>
      </w:r>
      <w:r>
        <w:rPr>
          <w:lang w:val="es-CL"/>
        </w:rPr>
        <w:t xml:space="preserve">n </w:t>
      </w:r>
      <w:r w:rsidRPr="00D96467">
        <w:rPr>
          <w:lang w:val="es-CL"/>
        </w:rPr>
        <w:t>las posibilidades de empleo que se acrediten por el titular del buque así como las condiciones socio-laborales de los trabajadores.</w:t>
      </w:r>
    </w:p>
    <w:p w14:paraId="7C4B6817" w14:textId="77777777" w:rsidR="00EF7361" w:rsidRDefault="00EF7361" w:rsidP="00EF7361">
      <w:pPr>
        <w:rPr>
          <w:lang w:val="es-CL"/>
        </w:rPr>
      </w:pPr>
      <w:r>
        <w:rPr>
          <w:lang w:val="es-CL"/>
        </w:rPr>
        <w:t>El artículo 29 establece que los incrementos y decrementos de cuotas se realizarán proporcionalmente, no alterando las relaciones históricas</w:t>
      </w:r>
    </w:p>
    <w:p w14:paraId="73E53443" w14:textId="77777777" w:rsidR="00EF7361" w:rsidRDefault="00EF7361" w:rsidP="002C73A2">
      <w:pPr>
        <w:spacing w:after="0"/>
        <w:rPr>
          <w:lang w:val="es-CL"/>
        </w:rPr>
      </w:pPr>
      <w:r>
        <w:rPr>
          <w:lang w:val="es-CL"/>
        </w:rPr>
        <w:t>El artículo 31 dispone que p</w:t>
      </w:r>
      <w:r w:rsidRPr="00D96467">
        <w:rPr>
          <w:lang w:val="es-CL"/>
        </w:rPr>
        <w:t>ara la gestión de las posibilidades de pesca, el Ministerio de Agricultura, Pesca y Alimentación previa consulta al sector afectado y a las Comunidades Autónomas, podrá regular planes de pesca para determinadas zonas o pesquerías que contemplen medidas específicas y singulares, cuya excepcionalidad respecto a la normativa general venga justificada en función del estado de los recursos, previo informe del Instituto Español de Oceanografía.</w:t>
      </w:r>
    </w:p>
    <w:p w14:paraId="0F913D46" w14:textId="77777777" w:rsidR="0011098D" w:rsidRDefault="0011098D" w:rsidP="000073B3">
      <w:pPr>
        <w:pStyle w:val="Ttulo1"/>
        <w:keepLines w:val="0"/>
        <w:pBdr>
          <w:top w:val="none" w:sz="0" w:space="0" w:color="auto"/>
          <w:left w:val="none" w:sz="0" w:space="0" w:color="auto"/>
          <w:bottom w:val="none" w:sz="0" w:space="0" w:color="auto"/>
          <w:right w:val="none" w:sz="0" w:space="0" w:color="auto"/>
          <w:between w:val="none" w:sz="0" w:space="0" w:color="auto"/>
        </w:pBdr>
        <w:tabs>
          <w:tab w:val="left" w:pos="709"/>
        </w:tabs>
        <w:spacing w:before="0"/>
        <w:rPr>
          <w:b w:val="0"/>
          <w:bCs w:val="0"/>
          <w:color w:val="auto"/>
          <w:sz w:val="22"/>
          <w:szCs w:val="22"/>
        </w:rPr>
      </w:pPr>
      <w:bookmarkStart w:id="42" w:name="_Toc428460697"/>
      <w:bookmarkStart w:id="43" w:name="_Toc431896956"/>
    </w:p>
    <w:p w14:paraId="5DA43B48" w14:textId="114F3968" w:rsidR="00EF7361" w:rsidRPr="0011098D" w:rsidRDefault="0011098D" w:rsidP="000073B3">
      <w:pPr>
        <w:pStyle w:val="Ttulo1"/>
        <w:keepLines w:val="0"/>
        <w:pBdr>
          <w:top w:val="none" w:sz="0" w:space="0" w:color="auto"/>
          <w:left w:val="none" w:sz="0" w:space="0" w:color="auto"/>
          <w:bottom w:val="none" w:sz="0" w:space="0" w:color="auto"/>
          <w:right w:val="none" w:sz="0" w:space="0" w:color="auto"/>
          <w:between w:val="none" w:sz="0" w:space="0" w:color="auto"/>
        </w:pBdr>
        <w:tabs>
          <w:tab w:val="left" w:pos="709"/>
        </w:tabs>
        <w:spacing w:before="0"/>
        <w:ind w:left="709" w:hanging="283"/>
        <w:rPr>
          <w:bCs w:val="0"/>
          <w:color w:val="auto"/>
          <w:sz w:val="22"/>
          <w:szCs w:val="22"/>
        </w:rPr>
      </w:pPr>
      <w:bookmarkStart w:id="44" w:name="_Toc157529084"/>
      <w:r w:rsidRPr="000073B3">
        <w:rPr>
          <w:bCs w:val="0"/>
          <w:color w:val="auto"/>
          <w:sz w:val="22"/>
          <w:szCs w:val="22"/>
        </w:rPr>
        <w:t>b. L</w:t>
      </w:r>
      <w:r w:rsidR="00EF7361" w:rsidRPr="0011098D">
        <w:rPr>
          <w:bCs w:val="0"/>
          <w:color w:val="auto"/>
          <w:sz w:val="22"/>
          <w:szCs w:val="22"/>
        </w:rPr>
        <w:t>a subasta de cuotas pesqueras</w:t>
      </w:r>
      <w:bookmarkEnd w:id="42"/>
      <w:bookmarkEnd w:id="43"/>
      <w:bookmarkEnd w:id="44"/>
    </w:p>
    <w:p w14:paraId="00831120" w14:textId="77777777" w:rsidR="00B50845" w:rsidRDefault="00B50845" w:rsidP="002C73A2">
      <w:pPr>
        <w:spacing w:after="0"/>
        <w:rPr>
          <w:lang w:val="es-ES_tradnl"/>
        </w:rPr>
      </w:pPr>
    </w:p>
    <w:p w14:paraId="3F34B58B" w14:textId="77777777" w:rsidR="00EF7361" w:rsidRDefault="00EF7361" w:rsidP="002C73A2">
      <w:pPr>
        <w:spacing w:after="0"/>
        <w:rPr>
          <w:lang w:val="es-ES_tradnl"/>
        </w:rPr>
      </w:pPr>
      <w:smartTag w:uri="urn:schemas-microsoft-com:office:smarttags" w:element="PersonName">
        <w:smartTagPr>
          <w:attr w:name="ProductID" w:val="La Ley"/>
        </w:smartTagPr>
        <w:r>
          <w:rPr>
            <w:lang w:val="es-ES_tradnl"/>
          </w:rPr>
          <w:t xml:space="preserve">La </w:t>
        </w:r>
        <w:r w:rsidRPr="001D5747">
          <w:rPr>
            <w:lang w:val="es-ES_tradnl"/>
          </w:rPr>
          <w:t>Ley</w:t>
        </w:r>
      </w:smartTag>
      <w:r>
        <w:rPr>
          <w:lang w:val="es-ES_tradnl"/>
        </w:rPr>
        <w:t xml:space="preserve"> de Pesca Marítima, aunque regula en forma detallada la </w:t>
      </w:r>
      <w:r w:rsidRPr="001D5747">
        <w:rPr>
          <w:lang w:val="es-ES_tradnl"/>
        </w:rPr>
        <w:t>transmisibilidad de las cuotas de pesca (</w:t>
      </w:r>
      <w:r>
        <w:rPr>
          <w:lang w:val="es-ES_tradnl"/>
        </w:rPr>
        <w:t>“</w:t>
      </w:r>
      <w:r w:rsidRPr="001D5747">
        <w:rPr>
          <w:lang w:val="es-ES_tradnl"/>
        </w:rPr>
        <w:t>posibilidades de pesca</w:t>
      </w:r>
      <w:r>
        <w:rPr>
          <w:lang w:val="es-ES_tradnl"/>
        </w:rPr>
        <w:t xml:space="preserve">”) en el </w:t>
      </w:r>
      <w:r w:rsidRPr="00D96467">
        <w:rPr>
          <w:lang w:val="es-CL"/>
        </w:rPr>
        <w:t>artículo 28</w:t>
      </w:r>
      <w:r>
        <w:rPr>
          <w:lang w:val="es-CL"/>
        </w:rPr>
        <w:t>,</w:t>
      </w:r>
      <w:r>
        <w:rPr>
          <w:lang w:val="es-ES_tradnl"/>
        </w:rPr>
        <w:t xml:space="preserve"> no contempla las </w:t>
      </w:r>
      <w:r w:rsidRPr="001D5747">
        <w:rPr>
          <w:lang w:val="es-ES_tradnl"/>
        </w:rPr>
        <w:t xml:space="preserve">subastas. </w:t>
      </w:r>
    </w:p>
    <w:p w14:paraId="04850D10" w14:textId="77777777" w:rsidR="001C6FA0" w:rsidRDefault="001C6FA0" w:rsidP="002C73A2">
      <w:pPr>
        <w:spacing w:after="0"/>
        <w:rPr>
          <w:lang w:val="es-ES_tradnl"/>
        </w:rPr>
      </w:pPr>
    </w:p>
    <w:p w14:paraId="642562D2" w14:textId="77777777" w:rsidR="00EF7361" w:rsidRPr="003477EC" w:rsidRDefault="00EF7361" w:rsidP="00EF7361">
      <w:pPr>
        <w:rPr>
          <w:lang w:val="es-ES_tradnl"/>
        </w:rPr>
      </w:pPr>
      <w:r>
        <w:rPr>
          <w:lang w:val="es-ES_tradnl"/>
        </w:rPr>
        <w:t xml:space="preserve">Señala que </w:t>
      </w:r>
      <w:r w:rsidRPr="003477EC">
        <w:rPr>
          <w:lang w:val="es-ES_tradnl"/>
        </w:rPr>
        <w:t>estas serán transmisibles con autorización previa del Ministerio de Agricultura, Pesca y Alimentación</w:t>
      </w:r>
      <w:r>
        <w:rPr>
          <w:rStyle w:val="Refdenotaalpie"/>
          <w:lang w:val="es-ES_tradnl"/>
        </w:rPr>
        <w:footnoteReference w:id="83"/>
      </w:r>
      <w:r w:rsidRPr="003477EC">
        <w:rPr>
          <w:lang w:val="es-ES_tradnl"/>
        </w:rPr>
        <w:t xml:space="preserve"> y previo informe de la Comunidad Autónoma del puerto base del buque, siguiendo el procedimiento que reglamentariamente se determine y conforme a los siguientes criterios:</w:t>
      </w:r>
    </w:p>
    <w:p w14:paraId="094D08FB" w14:textId="659A9E9E" w:rsidR="00EF7361" w:rsidRPr="002E00FE" w:rsidRDefault="00EF7361" w:rsidP="002C73A2">
      <w:pPr>
        <w:pStyle w:val="Prrafodelista"/>
        <w:numPr>
          <w:ilvl w:val="0"/>
          <w:numId w:val="23"/>
        </w:numPr>
        <w:spacing w:after="0"/>
        <w:ind w:left="851" w:hanging="494"/>
        <w:rPr>
          <w:lang w:val="es-ES_tradnl"/>
        </w:rPr>
      </w:pPr>
      <w:r w:rsidRPr="009F2E8E">
        <w:rPr>
          <w:lang w:val="es-ES_tradnl"/>
        </w:rPr>
        <w:t>Evitar la acumulación de posibilidades de pesca en un buque en volúmenes superior</w:t>
      </w:r>
      <w:r w:rsidRPr="002E00FE">
        <w:rPr>
          <w:lang w:val="es-ES_tradnl"/>
        </w:rPr>
        <w:t>es a los que puedan ser utilizados.</w:t>
      </w:r>
    </w:p>
    <w:p w14:paraId="6B5E2DDE" w14:textId="77C4115A" w:rsidR="00EF7361" w:rsidRPr="001C6FA0" w:rsidRDefault="00EF7361" w:rsidP="002C73A2">
      <w:pPr>
        <w:pStyle w:val="Prrafodelista"/>
        <w:numPr>
          <w:ilvl w:val="0"/>
          <w:numId w:val="23"/>
        </w:numPr>
        <w:spacing w:after="0"/>
        <w:ind w:left="851" w:hanging="494"/>
        <w:rPr>
          <w:lang w:val="es-ES_tradnl"/>
        </w:rPr>
      </w:pPr>
      <w:r w:rsidRPr="001C6FA0">
        <w:rPr>
          <w:lang w:val="es-ES_tradnl"/>
        </w:rPr>
        <w:lastRenderedPageBreak/>
        <w:t>Establecer un límite mínimo de posibilidades, por debajo del cual el buque debe abandonar la pesquería.</w:t>
      </w:r>
    </w:p>
    <w:p w14:paraId="17128FB1" w14:textId="37DA907F" w:rsidR="00EF7361" w:rsidRPr="001C6FA0" w:rsidRDefault="00EF7361" w:rsidP="002C73A2">
      <w:pPr>
        <w:pStyle w:val="Prrafodelista"/>
        <w:numPr>
          <w:ilvl w:val="0"/>
          <w:numId w:val="23"/>
        </w:numPr>
        <w:spacing w:after="0"/>
        <w:ind w:left="851" w:hanging="494"/>
        <w:rPr>
          <w:lang w:val="es-ES_tradnl"/>
        </w:rPr>
      </w:pPr>
      <w:r w:rsidRPr="001C6FA0">
        <w:rPr>
          <w:lang w:val="es-ES_tradnl"/>
        </w:rPr>
        <w:t>Justificar que la transmisibilidad esté restringida a buques o grupos de buques pertenecientes a determinadas categorías o censos. En consideración a las exigencias técnicas de las pesquerías, podrán establecerse los requisitos relativos a las condiciones técnicas de los buques objeto de la transmisión.</w:t>
      </w:r>
    </w:p>
    <w:p w14:paraId="3E1F3E76" w14:textId="56E63A11" w:rsidR="00EF7361" w:rsidRDefault="00EF7361" w:rsidP="002C73A2">
      <w:pPr>
        <w:pStyle w:val="Prrafodelista"/>
        <w:numPr>
          <w:ilvl w:val="0"/>
          <w:numId w:val="23"/>
        </w:numPr>
        <w:spacing w:after="0"/>
        <w:ind w:left="851" w:hanging="494"/>
        <w:rPr>
          <w:lang w:val="es-ES_tradnl"/>
        </w:rPr>
      </w:pPr>
      <w:r w:rsidRPr="001C6FA0">
        <w:rPr>
          <w:lang w:val="es-ES_tradnl"/>
        </w:rPr>
        <w:t>Establecer, a efectos de favorecer la libre competencia, el porcentaje máximo de posibilidades de pesca que pueden ser acumulados por una empresa o grupo de empresas relacionadas societariamente en una misma pesquería</w:t>
      </w:r>
      <w:r>
        <w:rPr>
          <w:rStyle w:val="Refdenotaalpie"/>
          <w:lang w:val="es-ES_tradnl"/>
        </w:rPr>
        <w:footnoteReference w:id="84"/>
      </w:r>
      <w:r w:rsidRPr="009F2E8E">
        <w:rPr>
          <w:lang w:val="es-ES_tradnl"/>
        </w:rPr>
        <w:t>.</w:t>
      </w:r>
    </w:p>
    <w:p w14:paraId="5B15CEE0" w14:textId="56DC0FAA" w:rsidR="002C73A2" w:rsidRDefault="002C73A2">
      <w:pPr>
        <w:jc w:val="left"/>
        <w:rPr>
          <w:lang w:val="es-ES_tradnl"/>
        </w:rPr>
      </w:pPr>
    </w:p>
    <w:p w14:paraId="4FAC0171" w14:textId="77777777" w:rsidR="00D43242" w:rsidRPr="00EF7361" w:rsidRDefault="00D43242" w:rsidP="000073B3">
      <w:pPr>
        <w:pStyle w:val="Ttulo1"/>
        <w:keepLines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426"/>
        </w:tabs>
        <w:spacing w:before="160" w:after="60" w:line="240" w:lineRule="auto"/>
        <w:ind w:left="426" w:hanging="426"/>
        <w:rPr>
          <w:bCs w:val="0"/>
          <w:color w:val="auto"/>
          <w:sz w:val="24"/>
          <w:szCs w:val="22"/>
        </w:rPr>
      </w:pPr>
      <w:bookmarkStart w:id="45" w:name="_Toc157529085"/>
      <w:r>
        <w:rPr>
          <w:bCs w:val="0"/>
          <w:color w:val="auto"/>
          <w:sz w:val="24"/>
          <w:szCs w:val="22"/>
        </w:rPr>
        <w:t>Perú</w:t>
      </w:r>
      <w:bookmarkEnd w:id="45"/>
    </w:p>
    <w:p w14:paraId="14C03E52" w14:textId="324B15ED" w:rsidR="00D43242" w:rsidRPr="002C73A2" w:rsidRDefault="00D43242" w:rsidP="000073B3">
      <w:pPr>
        <w:pStyle w:val="Ttulo1"/>
        <w:keepLines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709"/>
        </w:tabs>
        <w:spacing w:before="160" w:after="60" w:line="240" w:lineRule="auto"/>
        <w:ind w:hanging="1014"/>
        <w:rPr>
          <w:bCs w:val="0"/>
          <w:color w:val="auto"/>
          <w:sz w:val="22"/>
          <w:szCs w:val="22"/>
        </w:rPr>
      </w:pPr>
      <w:bookmarkStart w:id="46" w:name="_Toc157529086"/>
      <w:r w:rsidRPr="002C73A2">
        <w:rPr>
          <w:bCs w:val="0"/>
          <w:color w:val="auto"/>
          <w:sz w:val="22"/>
          <w:szCs w:val="22"/>
        </w:rPr>
        <w:t>Sistemas de manejo de pesquerías</w:t>
      </w:r>
      <w:bookmarkEnd w:id="46"/>
      <w:r w:rsidRPr="002C73A2">
        <w:rPr>
          <w:bCs w:val="0"/>
          <w:color w:val="auto"/>
          <w:sz w:val="22"/>
          <w:szCs w:val="22"/>
        </w:rPr>
        <w:t xml:space="preserve">  </w:t>
      </w:r>
    </w:p>
    <w:p w14:paraId="2E238357" w14:textId="77777777" w:rsidR="009E60FA" w:rsidRDefault="009E60FA" w:rsidP="009E60FA">
      <w:pPr>
        <w:spacing w:after="0"/>
      </w:pPr>
    </w:p>
    <w:p w14:paraId="2372793F" w14:textId="77777777" w:rsidR="009E60FA" w:rsidRDefault="009E60FA" w:rsidP="009E60FA">
      <w:r>
        <w:t>De acuerdo a una publicación de 2017</w:t>
      </w:r>
      <w:r>
        <w:rPr>
          <w:rStyle w:val="Refdenotaalpie"/>
        </w:rPr>
        <w:footnoteReference w:id="85"/>
      </w:r>
      <w:r>
        <w:t xml:space="preserve"> de la Sociedad Peruana de Derecho Ambiental (SPDA) su principal recurso pesquero</w:t>
      </w:r>
      <w:r w:rsidRPr="00472D52">
        <w:t>, la anchoveta fue declarada una pesquería “plenamente explotada”</w:t>
      </w:r>
      <w:r>
        <w:t>(h</w:t>
      </w:r>
      <w:r w:rsidRPr="00472D52">
        <w:t>acia finales de los 90</w:t>
      </w:r>
      <w:r>
        <w:t>)</w:t>
      </w:r>
      <w:r w:rsidRPr="00472D52">
        <w:t xml:space="preserve"> por lo que</w:t>
      </w:r>
      <w:r>
        <w:rPr>
          <w:rStyle w:val="Refdenotaalpie"/>
        </w:rPr>
        <w:footnoteReference w:id="86"/>
      </w:r>
      <w:r w:rsidRPr="00472D52">
        <w:t xml:space="preserve"> se cerró el acceso a nuevas embarcaciones de mayor escala a este recurso con el fin de evitar su sobreexplotación</w:t>
      </w:r>
      <w:r>
        <w:t>. Pese a esta medida de manejo, su escenario era</w:t>
      </w:r>
      <w:r>
        <w:rPr>
          <w:rStyle w:val="Refdenotaalpie"/>
        </w:rPr>
        <w:footnoteReference w:id="87"/>
      </w:r>
      <w:r>
        <w:t>:</w:t>
      </w:r>
    </w:p>
    <w:p w14:paraId="79A23B27" w14:textId="594E8786" w:rsidR="009E60FA" w:rsidRDefault="009E60FA" w:rsidP="002E00FE">
      <w:pPr>
        <w:pStyle w:val="Prrafodelista"/>
        <w:numPr>
          <w:ilvl w:val="0"/>
          <w:numId w:val="17"/>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491"/>
      </w:pPr>
      <w:r>
        <w:t>Una cuota</w:t>
      </w:r>
      <w:r w:rsidRPr="00472D52">
        <w:t xml:space="preserve"> máximo de anchoveta que podía ser extraído (cuota global de captura), que marcaba el límite de lo que todas las embarcaciones de mayor escala</w:t>
      </w:r>
      <w:r w:rsidR="006366AA">
        <w:t>.</w:t>
      </w:r>
    </w:p>
    <w:p w14:paraId="5FC43C21" w14:textId="4FA23B2C" w:rsidR="009E60FA" w:rsidRDefault="009E60FA" w:rsidP="002E00FE">
      <w:pPr>
        <w:pStyle w:val="Prrafodelista"/>
        <w:numPr>
          <w:ilvl w:val="0"/>
          <w:numId w:val="17"/>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491"/>
      </w:pPr>
      <w:r w:rsidRPr="00472D52">
        <w:t>La reducción de las temporadas de pesca de 270 días (1986) a solo 50 (2007)</w:t>
      </w:r>
      <w:r w:rsidR="006366AA">
        <w:t>.</w:t>
      </w:r>
    </w:p>
    <w:p w14:paraId="0643ACA9" w14:textId="77777777" w:rsidR="009E60FA" w:rsidRDefault="009E60FA" w:rsidP="002E00FE">
      <w:pPr>
        <w:pStyle w:val="Prrafodelista"/>
        <w:numPr>
          <w:ilvl w:val="0"/>
          <w:numId w:val="17"/>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491"/>
      </w:pPr>
      <w:r w:rsidRPr="00472D52">
        <w:t>El crecimiento desmesurado de la flota industrial. Se estima que la flota llegó a ser entre 2.5 a 4.6 veces más grande que su tamaño óptimo.</w:t>
      </w:r>
    </w:p>
    <w:p w14:paraId="6D438DBC" w14:textId="4B438816" w:rsidR="009E60FA" w:rsidRDefault="009E60FA" w:rsidP="002E00FE">
      <w:pPr>
        <w:pStyle w:val="Prrafodelista"/>
        <w:numPr>
          <w:ilvl w:val="0"/>
          <w:numId w:val="17"/>
        </w:numPr>
        <w:pBdr>
          <w:top w:val="none" w:sz="0" w:space="0" w:color="auto"/>
          <w:left w:val="none" w:sz="0" w:space="0" w:color="auto"/>
          <w:bottom w:val="none" w:sz="0" w:space="0" w:color="auto"/>
          <w:right w:val="none" w:sz="0" w:space="0" w:color="auto"/>
          <w:between w:val="none" w:sz="0" w:space="0" w:color="auto"/>
        </w:pBdr>
        <w:spacing w:after="160" w:line="259" w:lineRule="auto"/>
        <w:ind w:left="851" w:hanging="491"/>
      </w:pPr>
      <w:r w:rsidRPr="00472D52">
        <w:t>El aumento excesivo en la capacidad de procesamiento de harina y aceite de pescado. La que se calcula era de 3 a 5 veces mayor a su tamaño óptimo</w:t>
      </w:r>
      <w:r w:rsidR="006366AA">
        <w:t>.</w:t>
      </w:r>
    </w:p>
    <w:p w14:paraId="53A143EE" w14:textId="77777777" w:rsidR="009E60FA" w:rsidRDefault="009E60FA" w:rsidP="002C73A2">
      <w:pPr>
        <w:pStyle w:val="Prrafodelista"/>
        <w:numPr>
          <w:ilvl w:val="0"/>
          <w:numId w:val="17"/>
        </w:numPr>
        <w:pBdr>
          <w:top w:val="none" w:sz="0" w:space="0" w:color="auto"/>
          <w:left w:val="none" w:sz="0" w:space="0" w:color="auto"/>
          <w:bottom w:val="none" w:sz="0" w:space="0" w:color="auto"/>
          <w:right w:val="none" w:sz="0" w:space="0" w:color="auto"/>
          <w:between w:val="none" w:sz="0" w:space="0" w:color="auto"/>
        </w:pBdr>
        <w:spacing w:after="0"/>
        <w:ind w:left="851" w:hanging="491"/>
      </w:pPr>
      <w:r w:rsidRPr="00472D52">
        <w:t>El congestionamiento en las plantas procesadoras de harina de pescado.</w:t>
      </w:r>
    </w:p>
    <w:p w14:paraId="55AADD0B" w14:textId="77777777" w:rsidR="006366AA" w:rsidRDefault="006366AA" w:rsidP="002C73A2">
      <w:pPr>
        <w:pStyle w:val="Prrafodelista"/>
        <w:pBdr>
          <w:top w:val="none" w:sz="0" w:space="0" w:color="auto"/>
          <w:left w:val="none" w:sz="0" w:space="0" w:color="auto"/>
          <w:bottom w:val="none" w:sz="0" w:space="0" w:color="auto"/>
          <w:right w:val="none" w:sz="0" w:space="0" w:color="auto"/>
          <w:between w:val="none" w:sz="0" w:space="0" w:color="auto"/>
        </w:pBdr>
        <w:spacing w:after="0"/>
      </w:pPr>
    </w:p>
    <w:p w14:paraId="6CB7EB2F" w14:textId="3A65B8BD" w:rsidR="00CF109C" w:rsidRDefault="009E60FA" w:rsidP="002C73A2">
      <w:pPr>
        <w:spacing w:after="0"/>
      </w:pPr>
      <w:r>
        <w:t xml:space="preserve">Al respecto </w:t>
      </w:r>
      <w:proofErr w:type="spellStart"/>
      <w:r>
        <w:t>Heck</w:t>
      </w:r>
      <w:proofErr w:type="spellEnd"/>
      <w:r>
        <w:t xml:space="preserve"> (2015)</w:t>
      </w:r>
      <w:r>
        <w:rPr>
          <w:rStyle w:val="Refdenotaalpie"/>
        </w:rPr>
        <w:footnoteReference w:id="88"/>
      </w:r>
      <w:r>
        <w:t xml:space="preserve"> señala que las restricciones de acceso a flotas nuevas de mayor escala implicaron que la pesquería fue capaz de aumentar significativamente sus desembarcos hasta 6.6 millones TM en 1999, 9.6 millones TM en el año 2000 y un promedio de 8.0 millones TM en los años 2002, 2004 y 2005. </w:t>
      </w:r>
    </w:p>
    <w:p w14:paraId="16EEC085" w14:textId="77777777" w:rsidR="006366AA" w:rsidRDefault="006366AA" w:rsidP="002C73A2">
      <w:pPr>
        <w:spacing w:after="0"/>
      </w:pPr>
    </w:p>
    <w:p w14:paraId="66C64F3A" w14:textId="77777777" w:rsidR="00CF109C" w:rsidRDefault="00CF109C" w:rsidP="009F2E8E">
      <w:pPr>
        <w:spacing w:after="0"/>
      </w:pPr>
      <w:r>
        <w:t>Hasta antes del 2009, las actividades pesqueras se desarrollaron en función de los permisos de pesca autorizados por el Ministerio de la Producción (PRODUCE), los cuales se daban dentro de las temporadas de pesca establecidas bajo un esquema de cuota global (carrera olímpica)</w:t>
      </w:r>
      <w:r w:rsidR="00B643A5">
        <w:rPr>
          <w:rStyle w:val="Refdenotaalpie"/>
        </w:rPr>
        <w:footnoteReference w:id="89"/>
      </w:r>
      <w:r>
        <w:t>.</w:t>
      </w:r>
    </w:p>
    <w:p w14:paraId="60DA464D" w14:textId="77777777" w:rsidR="00CF109C" w:rsidRDefault="00CF109C" w:rsidP="002C73A2">
      <w:pPr>
        <w:spacing w:after="0"/>
      </w:pPr>
    </w:p>
    <w:p w14:paraId="30C7D6D5" w14:textId="3F593D16" w:rsidR="00CF109C" w:rsidRDefault="00CF109C" w:rsidP="002C73A2">
      <w:pPr>
        <w:spacing w:after="0"/>
      </w:pPr>
      <w:r>
        <w:t>Así</w:t>
      </w:r>
      <w:r w:rsidR="009E60FA">
        <w:t xml:space="preserve">, el </w:t>
      </w:r>
      <w:r w:rsidR="009E60FA" w:rsidRPr="000F6046">
        <w:t>congestionamiento y de la contaminación de bahías por los largos tiempos de esper</w:t>
      </w:r>
      <w:r w:rsidR="009E60FA">
        <w:t>a en que, los aproximadamente 1</w:t>
      </w:r>
      <w:r w:rsidR="009E60FA" w:rsidRPr="000F6046">
        <w:t>200 barcos de la flota anchovetera, coincidían en las plantas pesqueras para descargar el pescado. El deficiente tratamiento de los desechos del proceso de fabricación de la harina de pescado,</w:t>
      </w:r>
      <w:r w:rsidR="009E60FA">
        <w:t xml:space="preserve"> junto con la flota sobredimensionada que competía por la cuota global generó un escenario para una nueva normativa que llega en e</w:t>
      </w:r>
      <w:r w:rsidR="009E60FA" w:rsidRPr="006C57D0">
        <w:t>l año 2008</w:t>
      </w:r>
      <w:r w:rsidR="009E60FA">
        <w:t>.</w:t>
      </w:r>
    </w:p>
    <w:p w14:paraId="7D898191" w14:textId="77777777" w:rsidR="00CF109C" w:rsidRDefault="00CF109C" w:rsidP="002C73A2">
      <w:pPr>
        <w:spacing w:after="0"/>
      </w:pPr>
    </w:p>
    <w:p w14:paraId="1F3C8FDD" w14:textId="77777777" w:rsidR="009E60FA" w:rsidRDefault="009E60FA" w:rsidP="002C73A2">
      <w:pPr>
        <w:spacing w:after="0"/>
      </w:pPr>
      <w:r>
        <w:t xml:space="preserve"> E</w:t>
      </w:r>
      <w:r w:rsidRPr="006C57D0">
        <w:t xml:space="preserve">l Decreto Legislativo </w:t>
      </w:r>
      <w:r>
        <w:t xml:space="preserve"> N°</w:t>
      </w:r>
      <w:r w:rsidRPr="006C57D0">
        <w:t xml:space="preserve">1084, Ley Sobre Límites Máximos </w:t>
      </w:r>
      <w:r>
        <w:t>d</w:t>
      </w:r>
      <w:r w:rsidRPr="006C57D0">
        <w:t xml:space="preserve">e Captura </w:t>
      </w:r>
      <w:r>
        <w:t>p</w:t>
      </w:r>
      <w:r w:rsidRPr="006C57D0">
        <w:t>or Embarcación</w:t>
      </w:r>
      <w:r>
        <w:t xml:space="preserve"> (LMCE)</w:t>
      </w:r>
      <w:r>
        <w:rPr>
          <w:rStyle w:val="Refdenotaalpie"/>
        </w:rPr>
        <w:footnoteReference w:id="90"/>
      </w:r>
      <w:r w:rsidRPr="006C57D0">
        <w:t xml:space="preserve">, </w:t>
      </w:r>
      <w:r w:rsidR="00CF109C">
        <w:t>cuyo</w:t>
      </w:r>
      <w:r w:rsidRPr="006C57D0">
        <w:t xml:space="preserve"> objetivo </w:t>
      </w:r>
      <w:r w:rsidR="00CF109C">
        <w:t>era “</w:t>
      </w:r>
      <w:r w:rsidRPr="006C57D0">
        <w:t>establecer el mecanismo de ordenamiento pesquero aplicable a la extracción de los recursos de anchoveta y anchoveta blanca, con el fin de mejorar las condiciones para su modernización y eficiencia, promover su desarrollo sostenido como fuente de alimentación, empleo e ingresos, y asegurar un aprovechamiento responsable de los recursos hidrobiológicos, en armonía con la preservación del medio ambiente y la conservación de la biodiversidad</w:t>
      </w:r>
      <w:r w:rsidR="00CF109C">
        <w:t>”</w:t>
      </w:r>
      <w:r w:rsidRPr="006C57D0">
        <w:t>.</w:t>
      </w:r>
    </w:p>
    <w:p w14:paraId="7167D23F" w14:textId="77777777" w:rsidR="00D43242" w:rsidRDefault="00D43242" w:rsidP="002C73A2">
      <w:pPr>
        <w:spacing w:after="0"/>
      </w:pPr>
    </w:p>
    <w:p w14:paraId="36F9A73C" w14:textId="1A06B2D8" w:rsidR="00D43242" w:rsidRPr="002C73A2" w:rsidRDefault="00D43242" w:rsidP="000073B3">
      <w:pPr>
        <w:pStyle w:val="Ttulo1"/>
        <w:keepLines w:val="0"/>
        <w:numPr>
          <w:ilvl w:val="1"/>
          <w:numId w:val="28"/>
        </w:numPr>
        <w:pBdr>
          <w:top w:val="none" w:sz="0" w:space="0" w:color="auto"/>
          <w:left w:val="none" w:sz="0" w:space="0" w:color="auto"/>
          <w:bottom w:val="none" w:sz="0" w:space="0" w:color="auto"/>
          <w:right w:val="none" w:sz="0" w:space="0" w:color="auto"/>
          <w:between w:val="none" w:sz="0" w:space="0" w:color="auto"/>
        </w:pBdr>
        <w:tabs>
          <w:tab w:val="left" w:pos="709"/>
        </w:tabs>
        <w:spacing w:before="0"/>
        <w:ind w:hanging="1014"/>
        <w:rPr>
          <w:bCs w:val="0"/>
          <w:color w:val="auto"/>
          <w:sz w:val="22"/>
          <w:szCs w:val="22"/>
        </w:rPr>
      </w:pPr>
      <w:bookmarkStart w:id="47" w:name="_Toc157529087"/>
      <w:r w:rsidRPr="002C73A2">
        <w:rPr>
          <w:bCs w:val="0"/>
          <w:color w:val="auto"/>
          <w:sz w:val="22"/>
          <w:szCs w:val="22"/>
        </w:rPr>
        <w:t>La subasta de cuotas pesqueras</w:t>
      </w:r>
      <w:bookmarkEnd w:id="47"/>
    </w:p>
    <w:p w14:paraId="22917573" w14:textId="77777777" w:rsidR="00CF109C" w:rsidRDefault="00CF109C" w:rsidP="002C73A2">
      <w:pPr>
        <w:spacing w:after="0"/>
        <w:rPr>
          <w:highlight w:val="yellow"/>
        </w:rPr>
      </w:pPr>
    </w:p>
    <w:p w14:paraId="41538FA6" w14:textId="77777777" w:rsidR="00D43242" w:rsidRDefault="00D43242" w:rsidP="002C73A2">
      <w:pPr>
        <w:spacing w:after="0"/>
      </w:pPr>
      <w:r w:rsidRPr="00AD2600">
        <w:t>De acuerdo a lo analizado a partir de la información oficial, se puede desprender del proceso de asignación de cuota, no se encontró información que diera cuenta de la existencia de subastas de cuotas pesqueras.</w:t>
      </w:r>
      <w:r w:rsidR="00980D96" w:rsidRPr="00AD2600">
        <w:t xml:space="preserve"> En este caso, la asignación de cuotas respetó criterio histórico de desembarque y capacidad</w:t>
      </w:r>
      <w:r w:rsidR="00980D96">
        <w:t xml:space="preserve"> de bodega autorizada</w:t>
      </w:r>
      <w:r w:rsidR="00980D96">
        <w:rPr>
          <w:rStyle w:val="Refdenotaalpie"/>
        </w:rPr>
        <w:footnoteReference w:id="91"/>
      </w:r>
      <w:r w:rsidR="00980D96">
        <w:t>.</w:t>
      </w:r>
      <w:r w:rsidR="00980D96">
        <w:cr/>
      </w:r>
    </w:p>
    <w:p w14:paraId="3DBAA919" w14:textId="77777777" w:rsidR="00D43242" w:rsidRDefault="00D43242" w:rsidP="002C73A2">
      <w:pPr>
        <w:spacing w:after="0"/>
      </w:pPr>
      <w:r>
        <w:t>El procedimiento del también llamado sistema de cuotas, permite asignar un límite de captura, expresado en toneladas, a un número finito de embarcaciones pesqueras para cada temporada de pesca. El LMCE es el resultado de multiplicar el Límite Máximo Total de Captura Permisible (LMTCP) por el Porcentaje Máximo de Captura por Embarcación (PMCE). El objetivo principal del sistema de cuotas individuales es reducir la capacidad de la flota con la finalidad de alcanzar una asignación eficiente de los recursos económicos y pesqueros.</w:t>
      </w:r>
    </w:p>
    <w:p w14:paraId="6DCC4DDD" w14:textId="77777777" w:rsidR="006366AA" w:rsidRDefault="006366AA" w:rsidP="002C73A2">
      <w:pPr>
        <w:spacing w:after="0"/>
      </w:pPr>
    </w:p>
    <w:p w14:paraId="3CF5FD19" w14:textId="77777777" w:rsidR="00D43242" w:rsidRDefault="00D43242" w:rsidP="002C73A2">
      <w:pPr>
        <w:spacing w:after="0"/>
      </w:pPr>
      <w:r>
        <w:t>El PMCE fue asignado inicialmente a una embarcación pesquera con permiso de pesca vigente al momento del cálculo del PMCE</w:t>
      </w:r>
      <w:r>
        <w:rPr>
          <w:rStyle w:val="Refdenotaalpie"/>
        </w:rPr>
        <w:footnoteReference w:id="92"/>
      </w:r>
      <w:r>
        <w:t xml:space="preserve">. Para la asignación inicial de los PMCE se consideró la descarga histórica de cada embarcación realizada en un área geográfica, la capacidad de bodega y el régimen del permiso de pesca de cada embarcación. Esta descarga histórica fue en promedio delos 4 años anteriores a la Ley. </w:t>
      </w:r>
    </w:p>
    <w:p w14:paraId="51D3F6F8" w14:textId="77777777" w:rsidR="006366AA" w:rsidRDefault="006366AA" w:rsidP="002C73A2">
      <w:pPr>
        <w:spacing w:after="0"/>
      </w:pPr>
    </w:p>
    <w:p w14:paraId="43FB79D4" w14:textId="77777777" w:rsidR="00D43242" w:rsidRDefault="00D43242" w:rsidP="002C73A2">
      <w:pPr>
        <w:spacing w:after="0"/>
      </w:pPr>
      <w:r>
        <w:t xml:space="preserve">Finalmente, el titular de un permiso de pesca de una embarcación pesquera a la que se ha asignado un PMCE puede transferir, parcial o totalmente, su PMCE o LMCE, a otras embarcaciones que también tengan asignado un LMCE. Estas embarcaciones receptoras de LMCE podrían ser de su propiedad o de un tercero. Es decir, el sistema LMCE permite la transferencia temporal del LMCE de una </w:t>
      </w:r>
      <w:r>
        <w:lastRenderedPageBreak/>
        <w:t>embarcación a fin de alcanzar una eficiencia en la asignación de los recursos, tanto del transferente como del receptor del LMCE</w:t>
      </w:r>
      <w:r>
        <w:rPr>
          <w:rStyle w:val="Refdenotaalpie"/>
        </w:rPr>
        <w:footnoteReference w:id="93"/>
      </w:r>
      <w:r>
        <w:t>.</w:t>
      </w:r>
    </w:p>
    <w:p w14:paraId="4BB66049" w14:textId="77777777" w:rsidR="006366AA" w:rsidRDefault="006366AA" w:rsidP="002C73A2">
      <w:pPr>
        <w:spacing w:after="0"/>
      </w:pPr>
    </w:p>
    <w:p w14:paraId="217D9A60" w14:textId="77777777" w:rsidR="00D43242" w:rsidRDefault="00D43242" w:rsidP="002C73A2">
      <w:pPr>
        <w:spacing w:after="0"/>
      </w:pPr>
      <w:r>
        <w:t>Asimismo, un titular de permiso de pesca puede transferir definitivamente el PMCE de una de embarcación a otras embarcaciones de su propiedad, con permiso de pesca vigente y que estén dentro del alcance del sistema LMCE, con la finalidad de reducir el número de embarcaciones</w:t>
      </w:r>
      <w:r>
        <w:rPr>
          <w:rStyle w:val="Refdenotaalpie"/>
        </w:rPr>
        <w:footnoteReference w:id="94"/>
      </w:r>
      <w:r>
        <w:t>.</w:t>
      </w:r>
    </w:p>
    <w:p w14:paraId="2E98A258" w14:textId="77777777" w:rsidR="006366AA" w:rsidRDefault="006366AA" w:rsidP="002C73A2">
      <w:pPr>
        <w:spacing w:after="0"/>
      </w:pPr>
    </w:p>
    <w:p w14:paraId="6A981EFA" w14:textId="34B2085B" w:rsidR="00D43242" w:rsidRDefault="00D43242" w:rsidP="002C73A2">
      <w:pPr>
        <w:spacing w:after="0"/>
      </w:pPr>
      <w:r>
        <w:t>El D</w:t>
      </w:r>
      <w:r w:rsidR="005B144B">
        <w:t>ecreto Legislativo</w:t>
      </w:r>
      <w:r>
        <w:t xml:space="preserve"> </w:t>
      </w:r>
      <w:proofErr w:type="spellStart"/>
      <w:r>
        <w:t>N°</w:t>
      </w:r>
      <w:proofErr w:type="spellEnd"/>
      <w:r>
        <w:t xml:space="preserve"> 1084 también estipuló que el monto y la fórmula de cálculo del pago que toda persona debe hacer al Estado para poder extraer recursos hidrobiológicos (derecho de pesca) se mantendría igual para los titulares de permisos de pesca durante 10 años, contados a partir de la entrada en vigencia del decreto. Además, creó 2 tipos de aportes a ser pagados durante ese mismo periodo: el aporte al Fondo de Compensación para el Ordenamiento Pesquero (</w:t>
      </w:r>
      <w:proofErr w:type="spellStart"/>
      <w:r>
        <w:t>Foncopes</w:t>
      </w:r>
      <w:proofErr w:type="spellEnd"/>
      <w:r>
        <w:t>) y el aporte al Fondo de Jubilación del Pescador</w:t>
      </w:r>
      <w:r>
        <w:rPr>
          <w:rStyle w:val="Refdenotaalpie"/>
        </w:rPr>
        <w:footnoteReference w:id="95"/>
      </w:r>
      <w:r>
        <w:t>.</w:t>
      </w:r>
    </w:p>
    <w:p w14:paraId="68E94F4F" w14:textId="77777777" w:rsidR="00D43242" w:rsidRDefault="00D43242">
      <w:pPr>
        <w:spacing w:after="0"/>
      </w:pPr>
    </w:p>
    <w:tbl>
      <w:tblPr>
        <w:tblStyle w:val="Tablaconcuadrcula"/>
        <w:tblW w:w="0" w:type="auto"/>
        <w:tblInd w:w="51" w:type="dxa"/>
        <w:tblBorders>
          <w:top w:val="single" w:sz="24" w:space="0" w:color="BFBFBF"/>
          <w:left w:val="none" w:sz="4" w:space="0" w:color="000000"/>
          <w:bottom w:val="none" w:sz="4" w:space="0" w:color="000000"/>
          <w:right w:val="none" w:sz="4" w:space="0" w:color="000000"/>
          <w:insideH w:val="none" w:sz="4" w:space="0" w:color="000000"/>
          <w:insideV w:val="none" w:sz="4" w:space="0" w:color="000000"/>
        </w:tblBorders>
        <w:tblLayout w:type="fixed"/>
        <w:tblCellMar>
          <w:left w:w="0" w:type="dxa"/>
          <w:right w:w="0" w:type="dxa"/>
        </w:tblCellMar>
        <w:tblLook w:val="04A0" w:firstRow="1" w:lastRow="0" w:firstColumn="1" w:lastColumn="0" w:noHBand="0" w:noVBand="1"/>
      </w:tblPr>
      <w:tblGrid>
        <w:gridCol w:w="10063"/>
      </w:tblGrid>
      <w:tr w:rsidR="00271719" w:rsidRPr="0011098D" w14:paraId="75F91031" w14:textId="77777777">
        <w:trPr>
          <w:trHeight w:val="2872"/>
        </w:trPr>
        <w:tc>
          <w:tcPr>
            <w:tcW w:w="10063" w:type="dxa"/>
            <w:tcBorders>
              <w:left w:val="none" w:sz="4" w:space="0" w:color="000000"/>
              <w:bottom w:val="none" w:sz="4" w:space="0" w:color="000000"/>
              <w:right w:val="none" w:sz="4" w:space="0" w:color="000000"/>
            </w:tcBorders>
            <w:shd w:val="clear" w:color="auto" w:fill="FFFFFF" w:themeFill="background1"/>
            <w:tcMar>
              <w:top w:w="170" w:type="dxa"/>
              <w:left w:w="0" w:type="dxa"/>
              <w:bottom w:w="0" w:type="dxa"/>
              <w:right w:w="0" w:type="dxa"/>
            </w:tcMar>
          </w:tcPr>
          <w:p w14:paraId="59947884" w14:textId="77777777" w:rsidR="00271719" w:rsidRDefault="00CF5204">
            <w:pPr>
              <w:rPr>
                <w:b/>
                <w:color w:val="A6A6A6"/>
              </w:rPr>
            </w:pPr>
            <w:r>
              <w:rPr>
                <w:b/>
                <w:color w:val="A6A6A6" w:themeColor="background1" w:themeShade="A6"/>
                <w:lang w:val="es-CL"/>
              </w:rPr>
              <w:t>Nota aclaratoria</w:t>
            </w:r>
          </w:p>
          <w:p w14:paraId="2FE05298" w14:textId="77777777" w:rsidR="00271719" w:rsidRDefault="00D5728F">
            <w:pPr>
              <w:pStyle w:val="Textosecciones"/>
              <w:jc w:val="both"/>
              <w:rPr>
                <w:color w:val="A6A6A6"/>
              </w:rPr>
            </w:pPr>
            <w:r>
              <w:rPr>
                <w:color w:val="A6A6A6" w:themeColor="background1" w:themeShade="A6"/>
              </w:rPr>
              <w:t>Asesoría Técnica Parlamentaria, e</w:t>
            </w:r>
            <w:proofErr w:type="spellStart"/>
            <w:r>
              <w:rPr>
                <w:color w:val="A6A6A6" w:themeColor="background1" w:themeShade="A6"/>
                <w:lang w:val="es-CL"/>
              </w:rPr>
              <w:t>stá</w:t>
            </w:r>
            <w:proofErr w:type="spellEnd"/>
            <w:r>
              <w:rPr>
                <w:color w:val="A6A6A6" w:themeColor="background1" w:themeShade="A6"/>
                <w:lang w:val="es-CL"/>
              </w:rPr>
              <w:t xml:space="preserve"> enfocada en apoyar preferentemente el trabajo de las Comisiones Legislativas de ambas Cámaras, con especial atención al seguimiento de los proyectos de ley. Con lo cual se pretende contribuir a la certeza legislativa y a disminuir la brecha de disponibilidad de información y análisis entre Legislativo y Ejecutivo.</w:t>
            </w:r>
          </w:p>
          <w:p w14:paraId="4BCD679C" w14:textId="77777777" w:rsidR="00271719" w:rsidRDefault="00271719">
            <w:pPr>
              <w:pStyle w:val="Textosecciones"/>
              <w:rPr>
                <w:color w:val="A6A6A6"/>
              </w:rPr>
            </w:pPr>
          </w:p>
          <w:p w14:paraId="220CB612" w14:textId="77777777" w:rsidR="00271719" w:rsidRDefault="00271719">
            <w:pPr>
              <w:pStyle w:val="Textosecciones"/>
              <w:jc w:val="center"/>
              <w:rPr>
                <w:color w:val="A6A6A6"/>
              </w:rPr>
            </w:pPr>
          </w:p>
          <w:p w14:paraId="5CB1A7AE" w14:textId="77777777" w:rsidR="00271719" w:rsidRDefault="00D5728F">
            <w:pPr>
              <w:pStyle w:val="Textosecciones"/>
              <w:jc w:val="center"/>
              <w:rPr>
                <w:color w:val="A6A6A6"/>
              </w:rPr>
            </w:pPr>
            <w:r>
              <w:rPr>
                <w:noProof/>
                <w:color w:val="A6A6A6" w:themeColor="background1" w:themeShade="A6"/>
                <w:lang w:val="es-CL" w:eastAsia="es-CL"/>
              </w:rPr>
              <w:drawing>
                <wp:inline distT="0" distB="0" distL="0" distR="0" wp14:anchorId="6782843F" wp14:editId="1518561B">
                  <wp:extent cx="1009971" cy="35335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1"/>
                          <a:stretch/>
                        </pic:blipFill>
                        <pic:spPr bwMode="auto">
                          <a:xfrm>
                            <a:off x="0" y="0"/>
                            <a:ext cx="1009976" cy="353366"/>
                          </a:xfrm>
                          <a:prstGeom prst="rect">
                            <a:avLst/>
                          </a:prstGeom>
                        </pic:spPr>
                      </pic:pic>
                    </a:graphicData>
                  </a:graphic>
                </wp:inline>
              </w:drawing>
            </w:r>
          </w:p>
          <w:p w14:paraId="267AA191" w14:textId="77777777" w:rsidR="00271719" w:rsidRDefault="00271719">
            <w:pPr>
              <w:pStyle w:val="Textosecciones"/>
              <w:jc w:val="center"/>
              <w:rPr>
                <w:color w:val="A6A6A6"/>
                <w:sz w:val="10"/>
              </w:rPr>
            </w:pPr>
          </w:p>
          <w:p w14:paraId="49950BF8" w14:textId="77777777" w:rsidR="00271719" w:rsidRPr="00694065" w:rsidRDefault="00D5728F">
            <w:pPr>
              <w:pStyle w:val="Textosecciones"/>
              <w:jc w:val="center"/>
              <w:rPr>
                <w:color w:val="A6A6A6"/>
                <w:sz w:val="16"/>
                <w:lang w:val="en-US"/>
              </w:rPr>
            </w:pPr>
            <w:r w:rsidRPr="00694065">
              <w:rPr>
                <w:color w:val="A6A6A6" w:themeColor="background1" w:themeShade="A6"/>
                <w:sz w:val="16"/>
                <w:lang w:val="en-US"/>
              </w:rPr>
              <w:t xml:space="preserve">Creative Commons </w:t>
            </w:r>
            <w:proofErr w:type="spellStart"/>
            <w:r w:rsidRPr="00694065">
              <w:rPr>
                <w:color w:val="A6A6A6" w:themeColor="background1" w:themeShade="A6"/>
                <w:sz w:val="16"/>
                <w:lang w:val="en-US"/>
              </w:rPr>
              <w:t>Atribución</w:t>
            </w:r>
            <w:proofErr w:type="spellEnd"/>
            <w:r w:rsidRPr="00694065">
              <w:rPr>
                <w:color w:val="A6A6A6" w:themeColor="background1" w:themeShade="A6"/>
                <w:sz w:val="16"/>
                <w:lang w:val="en-US"/>
              </w:rPr>
              <w:t xml:space="preserve"> 3.0 </w:t>
            </w:r>
            <w:r w:rsidRPr="00694065">
              <w:rPr>
                <w:color w:val="A6A6A6" w:themeColor="background1" w:themeShade="A6"/>
                <w:sz w:val="16"/>
                <w:lang w:val="en-US"/>
              </w:rPr>
              <w:br/>
              <w:t>(CC BY 3.0 CL)</w:t>
            </w:r>
          </w:p>
        </w:tc>
      </w:tr>
    </w:tbl>
    <w:p w14:paraId="6EEF259A" w14:textId="77777777" w:rsidR="00271719" w:rsidRPr="00694065" w:rsidRDefault="00271719">
      <w:pPr>
        <w:rPr>
          <w:highlight w:val="white"/>
          <w:lang w:val="en-US"/>
        </w:rPr>
      </w:pPr>
    </w:p>
    <w:sectPr w:rsidR="00271719" w:rsidRPr="00694065">
      <w:headerReference w:type="default" r:id="rId12"/>
      <w:footerReference w:type="default" r:id="rId13"/>
      <w:headerReference w:type="first" r:id="rId14"/>
      <w:pgSz w:w="12240" w:h="15840"/>
      <w:pgMar w:top="1417" w:right="1083" w:bottom="1440" w:left="1083" w:header="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4F55" w14:textId="77777777" w:rsidR="00CC40C5" w:rsidRDefault="00CC40C5">
      <w:pPr>
        <w:spacing w:after="0" w:line="240" w:lineRule="auto"/>
      </w:pPr>
      <w:r>
        <w:separator/>
      </w:r>
    </w:p>
  </w:endnote>
  <w:endnote w:type="continuationSeparator" w:id="0">
    <w:p w14:paraId="7713BCDB" w14:textId="77777777" w:rsidR="00CC40C5" w:rsidRDefault="00CC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6D8E" w14:textId="77777777" w:rsidR="009F2E8E" w:rsidRDefault="009F2E8E">
    <w:pPr>
      <w:pStyle w:val="Piedepgina"/>
      <w:jc w:val="right"/>
    </w:pPr>
    <w:r>
      <w:fldChar w:fldCharType="begin"/>
    </w:r>
    <w:r>
      <w:instrText>PAGE \* MERGEFORMAT</w:instrText>
    </w:r>
    <w:r>
      <w:fldChar w:fldCharType="separate"/>
    </w:r>
    <w:r w:rsidR="00290DA4">
      <w:rPr>
        <w:noProof/>
      </w:rPr>
      <w:t>20</w:t>
    </w:r>
    <w:r>
      <w:fldChar w:fldCharType="end"/>
    </w:r>
  </w:p>
  <w:p w14:paraId="74FFC42A" w14:textId="77777777" w:rsidR="009F2E8E" w:rsidRDefault="009F2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1074" w14:textId="77777777" w:rsidR="00CC40C5" w:rsidRDefault="00CC40C5">
      <w:pPr>
        <w:spacing w:after="0" w:line="240" w:lineRule="auto"/>
      </w:pPr>
      <w:r>
        <w:separator/>
      </w:r>
    </w:p>
  </w:footnote>
  <w:footnote w:type="continuationSeparator" w:id="0">
    <w:p w14:paraId="46F90B88" w14:textId="77777777" w:rsidR="00CC40C5" w:rsidRDefault="00CC40C5">
      <w:pPr>
        <w:spacing w:after="0" w:line="240" w:lineRule="auto"/>
      </w:pPr>
      <w:r>
        <w:continuationSeparator/>
      </w:r>
    </w:p>
  </w:footnote>
  <w:footnote w:id="1">
    <w:p w14:paraId="4AF60131" w14:textId="7701936D"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Hatcher, A., Pascoe S., Banks R., y Arnason, R (2002).</w:t>
      </w:r>
      <w:r w:rsidR="0067496F"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n-US"/>
        </w:rPr>
        <w:t xml:space="preserve">Future options for UK fish quota management, CEMARE Report 58. </w:t>
      </w:r>
      <w:r w:rsidRPr="000073B3">
        <w:rPr>
          <w:rFonts w:asciiTheme="minorHAnsi" w:hAnsiTheme="minorHAnsi" w:cstheme="minorHAnsi"/>
          <w:sz w:val="18"/>
          <w:szCs w:val="18"/>
          <w:lang w:val="es-CL"/>
        </w:rPr>
        <w:t xml:space="preserve">Junio, 2002. Disponible en: </w:t>
      </w:r>
      <w:hyperlink r:id="rId1" w:history="1">
        <w:r w:rsidRPr="000073B3">
          <w:rPr>
            <w:rStyle w:val="Hipervnculo"/>
            <w:rFonts w:asciiTheme="minorHAnsi" w:hAnsiTheme="minorHAnsi" w:cstheme="minorHAnsi"/>
            <w:sz w:val="18"/>
            <w:szCs w:val="18"/>
          </w:rPr>
          <w:t>http://bcn.cl/1s48w</w:t>
        </w:r>
      </w:hyperlink>
      <w:r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2">
    <w:p w14:paraId="713A809A" w14:textId="01C677C3" w:rsidR="0011098D" w:rsidRPr="000073B3" w:rsidRDefault="0011098D">
      <w:pPr>
        <w:pStyle w:val="Textonotapie"/>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Carrera Olímpica en Pesca”</w:t>
      </w:r>
      <w:r w:rsidRPr="000073B3">
        <w:rPr>
          <w:rFonts w:asciiTheme="minorHAnsi" w:hAnsiTheme="minorHAnsi" w:cstheme="minorHAnsi"/>
          <w:sz w:val="18"/>
          <w:szCs w:val="18"/>
          <w:lang w:val="es-ES_tradnl"/>
        </w:rPr>
        <w:t xml:space="preserve"> consiste en que todos los armadores que participan en esa pesquería se esfuerzan por capturar el mayor número de especies con los medios de que disponen. Ver: Informe de la Comisión de Pesca, Acuicultura e Intereses Marítimos (2022:2) acerca del proyecto de ley que modifica la Ley </w:t>
      </w:r>
      <w:r w:rsidRPr="000073B3">
        <w:rPr>
          <w:rFonts w:asciiTheme="minorHAnsi" w:hAnsiTheme="minorHAnsi" w:cstheme="minorHAnsi"/>
          <w:sz w:val="18"/>
          <w:szCs w:val="18"/>
          <w:lang w:val="es-ES_tradnl"/>
        </w:rPr>
        <w:t>Nº 19.713, que establece como medida de administración el límite máximo de captura por armador, incorporando a las unidades de pesquería que indica en las zonas que señala el citado régimen de administración, (boletín Nº 2777-03-S).</w:t>
      </w:r>
    </w:p>
  </w:footnote>
  <w:footnote w:id="3">
    <w:p w14:paraId="5A988905" w14:textId="13BE97A5"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Buck, Eugene H. </w:t>
      </w:r>
      <w:r w:rsidR="0067496F" w:rsidRPr="000073B3">
        <w:rPr>
          <w:rFonts w:asciiTheme="minorHAnsi" w:hAnsiTheme="minorHAnsi" w:cstheme="minorHAnsi"/>
          <w:sz w:val="18"/>
          <w:szCs w:val="18"/>
          <w:lang w:val="es-CL"/>
        </w:rPr>
        <w:t xml:space="preserve">(1995). </w:t>
      </w:r>
      <w:r w:rsidRPr="000073B3">
        <w:rPr>
          <w:rFonts w:asciiTheme="minorHAnsi" w:hAnsiTheme="minorHAnsi" w:cstheme="minorHAnsi"/>
          <w:sz w:val="18"/>
          <w:szCs w:val="18"/>
          <w:lang w:val="en-US"/>
        </w:rPr>
        <w:t xml:space="preserve">Individual Transferable Quotas in Fishery Management. </w:t>
      </w:r>
      <w:r w:rsidRPr="000073B3">
        <w:rPr>
          <w:rFonts w:asciiTheme="minorHAnsi" w:hAnsiTheme="minorHAnsi" w:cstheme="minorHAnsi"/>
          <w:sz w:val="18"/>
          <w:szCs w:val="18"/>
          <w:lang w:val="es-CL"/>
        </w:rPr>
        <w:t xml:space="preserve">CRS </w:t>
      </w:r>
      <w:r w:rsidRPr="000073B3">
        <w:rPr>
          <w:rFonts w:asciiTheme="minorHAnsi" w:hAnsiTheme="minorHAnsi" w:cstheme="minorHAnsi"/>
          <w:sz w:val="18"/>
          <w:szCs w:val="18"/>
          <w:lang w:val="es-CL"/>
        </w:rPr>
        <w:t>Report for Congress. Septiembre</w:t>
      </w:r>
      <w:r w:rsidR="0067496F" w:rsidRPr="000073B3">
        <w:rPr>
          <w:rFonts w:asciiTheme="minorHAnsi" w:hAnsiTheme="minorHAnsi" w:cstheme="minorHAnsi"/>
          <w:sz w:val="18"/>
          <w:szCs w:val="18"/>
          <w:lang w:val="es-CL"/>
        </w:rPr>
        <w:t>.</w:t>
      </w:r>
      <w:r w:rsidRPr="000073B3">
        <w:rPr>
          <w:rFonts w:asciiTheme="minorHAnsi" w:hAnsiTheme="minorHAnsi" w:cstheme="minorHAnsi"/>
          <w:sz w:val="18"/>
          <w:szCs w:val="18"/>
          <w:lang w:val="es-CL"/>
        </w:rPr>
        <w:t xml:space="preserve"> Disponible en: </w:t>
      </w:r>
      <w:hyperlink r:id="rId2" w:history="1">
        <w:r w:rsidRPr="000073B3">
          <w:rPr>
            <w:rStyle w:val="Hipervnculo"/>
            <w:rFonts w:asciiTheme="minorHAnsi" w:hAnsiTheme="minorHAnsi" w:cstheme="minorHAnsi"/>
            <w:sz w:val="18"/>
            <w:szCs w:val="18"/>
          </w:rPr>
          <w:t>http://bcn.cl/1s48f</w:t>
        </w:r>
      </w:hyperlink>
      <w:r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4">
    <w:p w14:paraId="28CD64F3" w14:textId="6439CB98"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Ministry of Food, Agriculture and Fisheries Denmark. (2009). A check list for ITQ fisheries management. </w:t>
      </w:r>
      <w:r w:rsidRPr="000073B3">
        <w:rPr>
          <w:rFonts w:asciiTheme="minorHAnsi" w:hAnsiTheme="minorHAnsi" w:cstheme="minorHAnsi"/>
          <w:sz w:val="18"/>
          <w:szCs w:val="18"/>
          <w:lang w:val="es-CL"/>
        </w:rPr>
        <w:t xml:space="preserve">Febrero. Pág. 1. Disponible en: </w:t>
      </w:r>
      <w:hyperlink r:id="rId3" w:history="1">
        <w:r w:rsidRPr="000073B3">
          <w:rPr>
            <w:rStyle w:val="Hipervnculo"/>
            <w:rFonts w:asciiTheme="minorHAnsi" w:hAnsiTheme="minorHAnsi" w:cstheme="minorHAnsi"/>
            <w:sz w:val="18"/>
            <w:szCs w:val="18"/>
          </w:rPr>
          <w:t>http://bcn.cl/1s494</w:t>
        </w:r>
      </w:hyperlink>
      <w:r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5">
    <w:p w14:paraId="6AA699D6" w14:textId="77777777" w:rsidR="009F2E8E" w:rsidRPr="000073B3" w:rsidRDefault="009F2E8E" w:rsidP="000073B3">
      <w:pPr>
        <w:spacing w:after="0" w:line="240" w:lineRule="auto"/>
        <w:rPr>
          <w:rFonts w:asciiTheme="minorHAnsi" w:hAnsiTheme="minorHAnsi" w:cstheme="minorHAnsi"/>
          <w:sz w:val="18"/>
          <w:szCs w:val="18"/>
          <w:lang w:val="de-DE"/>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de-DE"/>
        </w:rPr>
        <w:t xml:space="preserve"> Buck, Eugene H. Op. cit.</w:t>
      </w:r>
    </w:p>
  </w:footnote>
  <w:footnote w:id="6">
    <w:p w14:paraId="1468A599" w14:textId="77777777"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n-US"/>
        </w:rPr>
        <w:t xml:space="preserve">Ibídem. </w:t>
      </w:r>
    </w:p>
  </w:footnote>
  <w:footnote w:id="7">
    <w:p w14:paraId="0DA5A5EB" w14:textId="0DCD30BE"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w:t>
      </w:r>
      <w:r w:rsidRPr="000073B3">
        <w:rPr>
          <w:rFonts w:asciiTheme="minorHAnsi" w:hAnsiTheme="minorHAnsi" w:cstheme="minorHAnsi"/>
          <w:sz w:val="18"/>
          <w:szCs w:val="18"/>
          <w:lang w:val="en-US"/>
        </w:rPr>
        <w:t>Op. cit.</w:t>
      </w:r>
      <w:r w:rsidRPr="000073B3">
        <w:rPr>
          <w:rFonts w:asciiTheme="minorHAnsi" w:hAnsiTheme="minorHAnsi" w:cstheme="minorHAnsi"/>
          <w:sz w:val="18"/>
          <w:szCs w:val="18"/>
          <w:lang w:val="en-GB"/>
        </w:rPr>
        <w:t xml:space="preserve"> A check list for ITQ fisheries management. </w:t>
      </w:r>
    </w:p>
  </w:footnote>
  <w:footnote w:id="8">
    <w:p w14:paraId="26DAD8DA" w14:textId="699AB723"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w:t>
      </w:r>
      <w:r w:rsidR="004D3563" w:rsidRPr="000073B3">
        <w:rPr>
          <w:rFonts w:asciiTheme="minorHAnsi" w:hAnsiTheme="minorHAnsi" w:cstheme="minorHAnsi"/>
          <w:sz w:val="18"/>
          <w:szCs w:val="18"/>
        </w:rPr>
        <w:t xml:space="preserve">Fisheries Act. </w:t>
      </w:r>
      <w:r w:rsidRPr="000073B3">
        <w:rPr>
          <w:rFonts w:asciiTheme="minorHAnsi" w:hAnsiTheme="minorHAnsi" w:cstheme="minorHAnsi"/>
          <w:sz w:val="18"/>
          <w:szCs w:val="18"/>
        </w:rPr>
        <w:t xml:space="preserve">Disponible en: </w:t>
      </w:r>
      <w:hyperlink r:id="rId4" w:history="1">
        <w:r w:rsidRPr="000073B3">
          <w:rPr>
            <w:rStyle w:val="Hipervnculo"/>
            <w:rFonts w:asciiTheme="minorHAnsi" w:hAnsiTheme="minorHAnsi" w:cstheme="minorHAnsi"/>
            <w:sz w:val="18"/>
            <w:szCs w:val="18"/>
          </w:rPr>
          <w:t>http://bcn.cl/104xl</w:t>
        </w:r>
      </w:hyperlink>
      <w:r w:rsidRPr="000073B3">
        <w:rPr>
          <w:rFonts w:asciiTheme="minorHAnsi" w:hAnsiTheme="minorHAnsi" w:cstheme="minorHAnsi"/>
          <w:sz w:val="18"/>
          <w:szCs w:val="18"/>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9">
    <w:p w14:paraId="34BDEAAE" w14:textId="746D489C"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Ver también la Ley de Validación de las Operaciones de Cuota Pesqueras (</w:t>
      </w:r>
      <w:r w:rsidRPr="000073B3">
        <w:rPr>
          <w:rFonts w:asciiTheme="minorHAnsi" w:hAnsiTheme="minorHAnsi" w:cstheme="minorHAnsi"/>
          <w:i/>
          <w:sz w:val="18"/>
          <w:szCs w:val="18"/>
          <w:lang w:val="es-CL"/>
        </w:rPr>
        <w:t>Fisheries (Quota Operations Validation) Act 1997 No 31</w:t>
      </w:r>
      <w:r w:rsidRPr="000073B3">
        <w:rPr>
          <w:rFonts w:asciiTheme="minorHAnsi" w:hAnsiTheme="minorHAnsi" w:cstheme="minorHAnsi"/>
          <w:sz w:val="18"/>
          <w:szCs w:val="18"/>
          <w:lang w:val="es-CL"/>
        </w:rPr>
        <w:t xml:space="preserve">). Disponible en: </w:t>
      </w:r>
      <w:hyperlink r:id="rId5" w:history="1">
        <w:r w:rsidRPr="000073B3">
          <w:rPr>
            <w:rStyle w:val="Hipervnculo"/>
            <w:rFonts w:asciiTheme="minorHAnsi" w:hAnsiTheme="minorHAnsi" w:cstheme="minorHAnsi"/>
            <w:sz w:val="18"/>
            <w:szCs w:val="18"/>
            <w:lang w:val="es-CL"/>
          </w:rPr>
          <w:t>http://bcn.cl/104xo</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10">
    <w:p w14:paraId="74E0D3A0" w14:textId="2C41DAA4"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 xml:space="preserve">Fisheries New Zealand. </w:t>
      </w:r>
      <w:r w:rsidRPr="000073B3">
        <w:rPr>
          <w:rFonts w:asciiTheme="minorHAnsi" w:hAnsiTheme="minorHAnsi" w:cstheme="minorHAnsi"/>
          <w:sz w:val="18"/>
          <w:szCs w:val="18"/>
          <w:lang w:val="en-US"/>
        </w:rPr>
        <w:t xml:space="preserve">Introduction of species into quota management system. </w:t>
      </w:r>
      <w:r w:rsidRPr="000073B3">
        <w:rPr>
          <w:rFonts w:asciiTheme="minorHAnsi" w:hAnsiTheme="minorHAnsi" w:cstheme="minorHAnsi"/>
          <w:sz w:val="18"/>
          <w:szCs w:val="18"/>
          <w:lang w:val="es-CL"/>
        </w:rPr>
        <w:t xml:space="preserve">Disponible en: </w:t>
      </w:r>
      <w:hyperlink r:id="rId6" w:history="1">
        <w:r w:rsidRPr="000073B3">
          <w:rPr>
            <w:rStyle w:val="Hipervnculo"/>
            <w:rFonts w:asciiTheme="minorHAnsi" w:hAnsiTheme="minorHAnsi" w:cstheme="minorHAnsi"/>
            <w:sz w:val="18"/>
            <w:szCs w:val="18"/>
            <w:lang w:val="es-CL"/>
          </w:rPr>
          <w:t>http://bcn.cl/1s9m6</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11">
    <w:p w14:paraId="702386BA"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Ibídem.</w:t>
      </w:r>
    </w:p>
  </w:footnote>
  <w:footnote w:id="12">
    <w:p w14:paraId="1DF4731A"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Ibídem.</w:t>
      </w:r>
    </w:p>
  </w:footnote>
  <w:footnote w:id="13">
    <w:p w14:paraId="45F064B7"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Ibídem</w:t>
      </w:r>
    </w:p>
  </w:footnote>
  <w:footnote w:id="14">
    <w:p w14:paraId="3254AA21" w14:textId="77777777" w:rsidR="009F2E8E" w:rsidRPr="000073B3" w:rsidRDefault="009F2E8E" w:rsidP="000073B3">
      <w:pPr>
        <w:spacing w:after="0" w:line="240" w:lineRule="auto"/>
        <w:rPr>
          <w:rFonts w:asciiTheme="minorHAnsi" w:hAnsiTheme="minorHAnsi" w:cstheme="minorHAnsi"/>
          <w: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Ibídem</w:t>
      </w:r>
    </w:p>
  </w:footnote>
  <w:footnote w:id="15">
    <w:p w14:paraId="750F922C" w14:textId="09E2B98A"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Lock, Kelly; Leslie, Stefan. (2007). New Zealand’s Quota Management System: A History of the First 20 Years. Motu Economic and Public Policy Research Trust / Government of New Zealand - Ministry of Fisheries. </w:t>
      </w:r>
      <w:r w:rsidRPr="000073B3">
        <w:rPr>
          <w:rFonts w:asciiTheme="minorHAnsi" w:hAnsiTheme="minorHAnsi" w:cstheme="minorHAnsi"/>
          <w:sz w:val="18"/>
          <w:szCs w:val="18"/>
          <w:lang w:val="es-CL"/>
        </w:rPr>
        <w:t xml:space="preserve">Motu </w:t>
      </w:r>
      <w:r w:rsidRPr="000073B3">
        <w:rPr>
          <w:rFonts w:asciiTheme="minorHAnsi" w:hAnsiTheme="minorHAnsi" w:cstheme="minorHAnsi"/>
          <w:sz w:val="18"/>
          <w:szCs w:val="18"/>
          <w:lang w:val="es-CL"/>
        </w:rPr>
        <w:t>Working Paper No. 07-02. Abril. Pág. 18. Disponible en:</w:t>
      </w:r>
      <w:r w:rsidRPr="000073B3">
        <w:rPr>
          <w:rFonts w:asciiTheme="minorHAnsi" w:hAnsiTheme="minorHAnsi" w:cstheme="minorHAnsi"/>
          <w:sz w:val="18"/>
          <w:szCs w:val="18"/>
        </w:rPr>
        <w:t xml:space="preserve"> </w:t>
      </w:r>
      <w:hyperlink r:id="rId7" w:history="1">
        <w:r w:rsidRPr="000073B3">
          <w:rPr>
            <w:rStyle w:val="Hipervnculo"/>
            <w:rFonts w:asciiTheme="minorHAnsi" w:hAnsiTheme="minorHAnsi" w:cstheme="minorHAnsi"/>
            <w:sz w:val="18"/>
            <w:szCs w:val="18"/>
            <w:lang w:val="es-CL"/>
          </w:rPr>
          <w:t>http://bcn.cl/1s9mc</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16">
    <w:p w14:paraId="7167882F"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rPr>
        <w:t>Ibídem</w:t>
      </w:r>
    </w:p>
  </w:footnote>
  <w:footnote w:id="17">
    <w:p w14:paraId="2BE069FD" w14:textId="4BB7C189"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 xml:space="preserve">Fishserve. Disponible en: </w:t>
      </w:r>
      <w:hyperlink r:id="rId8" w:history="1">
        <w:r w:rsidR="004D3563" w:rsidRPr="000073B3">
          <w:rPr>
            <w:rStyle w:val="Hipervnculo"/>
            <w:rFonts w:asciiTheme="minorHAnsi" w:hAnsiTheme="minorHAnsi" w:cstheme="minorHAnsi"/>
            <w:sz w:val="18"/>
            <w:szCs w:val="18"/>
          </w:rPr>
          <w:t>http://bcn.cl/3hsad</w:t>
        </w:r>
      </w:hyperlink>
      <w:r w:rsidR="004D3563"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18">
    <w:p w14:paraId="5B4ECC93" w14:textId="1E68E211"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nl-NL"/>
        </w:rPr>
        <w:t xml:space="preserve"> Op. cit. Lock, Kelly; Leslie, Stefan.</w:t>
      </w:r>
      <w:r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s-CL"/>
        </w:rPr>
        <w:t>Pág. 19.</w:t>
      </w:r>
    </w:p>
  </w:footnote>
  <w:footnote w:id="19">
    <w:p w14:paraId="790B100C" w14:textId="39C9A5DB"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Ver también la Ley de Pesca Maorí (</w:t>
      </w:r>
      <w:r w:rsidRPr="000073B3">
        <w:rPr>
          <w:rFonts w:asciiTheme="minorHAnsi" w:hAnsiTheme="minorHAnsi" w:cstheme="minorHAnsi"/>
          <w:sz w:val="18"/>
          <w:szCs w:val="18"/>
          <w:lang w:val="es-ES_tradnl"/>
        </w:rPr>
        <w:t xml:space="preserve">Maori Fisheries Act 2004), disponible en: </w:t>
      </w:r>
      <w:hyperlink r:id="rId9" w:history="1">
        <w:r w:rsidRPr="000073B3">
          <w:rPr>
            <w:rStyle w:val="Hipervnculo"/>
            <w:rFonts w:asciiTheme="minorHAnsi" w:hAnsiTheme="minorHAnsi" w:cstheme="minorHAnsi"/>
            <w:sz w:val="18"/>
            <w:szCs w:val="18"/>
            <w:lang w:val="es-ES_tradnl"/>
          </w:rPr>
          <w:t>http://bcn.cl/104xr</w:t>
        </w:r>
      </w:hyperlink>
      <w:r w:rsidRPr="000073B3">
        <w:rPr>
          <w:rFonts w:asciiTheme="minorHAnsi" w:hAnsiTheme="minorHAnsi" w:cstheme="minorHAnsi"/>
          <w:sz w:val="18"/>
          <w:szCs w:val="18"/>
          <w:lang w:val="es-ES_tradn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ES_tradnl"/>
        </w:rPr>
        <w:t>).</w:t>
      </w:r>
    </w:p>
  </w:footnote>
  <w:footnote w:id="20">
    <w:p w14:paraId="387384BC" w14:textId="2392E6EF"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nl-NL"/>
        </w:rPr>
        <w:t xml:space="preserve"> Op. cit Lock, Kelly; Leslie, Stefan. </w:t>
      </w:r>
      <w:r w:rsidRPr="000073B3">
        <w:rPr>
          <w:rFonts w:asciiTheme="minorHAnsi" w:hAnsiTheme="minorHAnsi" w:cstheme="minorHAnsi"/>
          <w:sz w:val="18"/>
          <w:szCs w:val="18"/>
          <w:lang w:val="en-US"/>
        </w:rPr>
        <w:t>Pág. 19 y 20.</w:t>
      </w:r>
    </w:p>
  </w:footnote>
  <w:footnote w:id="21">
    <w:p w14:paraId="42B7FB2F" w14:textId="76E8C435"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009C1E5C" w:rsidRPr="000073B3">
        <w:rPr>
          <w:rFonts w:asciiTheme="minorHAnsi" w:hAnsiTheme="minorHAnsi" w:cstheme="minorHAnsi"/>
          <w:sz w:val="18"/>
          <w:szCs w:val="18"/>
          <w:lang w:val="en-US"/>
        </w:rPr>
        <w:t xml:space="preserve">Lynham, J. 2014 How have catch shares been </w:t>
      </w:r>
      <w:r w:rsidR="009C1E5C" w:rsidRPr="000073B3">
        <w:rPr>
          <w:rFonts w:asciiTheme="minorHAnsi" w:hAnsiTheme="minorHAnsi" w:cstheme="minorHAnsi"/>
          <w:sz w:val="18"/>
          <w:szCs w:val="18"/>
          <w:lang w:val="en-US"/>
        </w:rPr>
        <w:t>allocated?, Marine Policy, Volume 44, 2014, Pages 42-48,</w:t>
      </w:r>
      <w:r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s-CL"/>
        </w:rPr>
        <w:t xml:space="preserve">Disponible en: </w:t>
      </w:r>
      <w:hyperlink r:id="rId10" w:history="1">
        <w:r w:rsidR="004D3563" w:rsidRPr="000073B3">
          <w:rPr>
            <w:rStyle w:val="Hipervnculo"/>
            <w:rFonts w:asciiTheme="minorHAnsi" w:hAnsiTheme="minorHAnsi" w:cstheme="minorHAnsi"/>
            <w:sz w:val="18"/>
            <w:szCs w:val="18"/>
          </w:rPr>
          <w:t>http://bcn.cl/3hsaa</w:t>
        </w:r>
      </w:hyperlink>
      <w:r w:rsidR="004D3563"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22">
    <w:p w14:paraId="272C2094"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Fonts w:asciiTheme="minorHAnsi" w:hAnsiTheme="minorHAnsi" w:cstheme="minorHAnsi"/>
          <w:sz w:val="18"/>
          <w:szCs w:val="18"/>
          <w:vertAlign w:val="superscript"/>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Ibídem.</w:t>
      </w:r>
    </w:p>
  </w:footnote>
  <w:footnote w:id="23">
    <w:p w14:paraId="62EA93D2" w14:textId="77777777" w:rsidR="009F2E8E" w:rsidRPr="000073B3" w:rsidRDefault="009F2E8E" w:rsidP="000073B3">
      <w:pPr>
        <w:spacing w:after="0" w:line="240" w:lineRule="auto"/>
        <w:rPr>
          <w:rFonts w:asciiTheme="minorHAnsi" w:hAnsiTheme="minorHAnsi" w:cstheme="minorHAnsi"/>
          <w:i/>
          <w:sz w:val="18"/>
          <w:szCs w:val="18"/>
        </w:rPr>
      </w:pPr>
      <w:r w:rsidRPr="000073B3">
        <w:rPr>
          <w:rFonts w:asciiTheme="minorHAnsi" w:hAnsiTheme="minorHAnsi" w:cstheme="minorHAnsi"/>
          <w:sz w:val="18"/>
          <w:szCs w:val="18"/>
          <w:vertAlign w:val="superscript"/>
        </w:rPr>
        <w:footnoteRef/>
      </w:r>
      <w:r w:rsidRPr="000073B3">
        <w:rPr>
          <w:rFonts w:asciiTheme="minorHAnsi" w:hAnsiTheme="minorHAnsi" w:cstheme="minorHAnsi"/>
          <w:sz w:val="18"/>
          <w:szCs w:val="18"/>
          <w:vertAlign w:val="superscript"/>
        </w:rPr>
        <w:t xml:space="preserve"> </w:t>
      </w:r>
      <w:r w:rsidRPr="000073B3">
        <w:rPr>
          <w:rFonts w:asciiTheme="minorHAnsi" w:hAnsiTheme="minorHAnsi" w:cstheme="minorHAnsi"/>
          <w:sz w:val="18"/>
          <w:szCs w:val="18"/>
        </w:rPr>
        <w:t>Ibídem.</w:t>
      </w:r>
    </w:p>
  </w:footnote>
  <w:footnote w:id="24">
    <w:p w14:paraId="5C35D91F" w14:textId="77777777" w:rsidR="009F2E8E" w:rsidRPr="000073B3" w:rsidRDefault="009F2E8E" w:rsidP="000073B3">
      <w:pPr>
        <w:spacing w:after="0" w:line="240" w:lineRule="auto"/>
        <w:rPr>
          <w:rFonts w:asciiTheme="minorHAnsi" w:hAnsiTheme="minorHAnsi" w:cstheme="minorHAnsi"/>
          <w:i/>
          <w:sz w:val="18"/>
          <w:szCs w:val="18"/>
          <w:lang w:val="es-CL"/>
        </w:rPr>
      </w:pPr>
      <w:r w:rsidRPr="000073B3">
        <w:rPr>
          <w:rFonts w:asciiTheme="minorHAnsi" w:hAnsiTheme="minorHAnsi" w:cstheme="minorHAnsi"/>
          <w:sz w:val="18"/>
          <w:szCs w:val="18"/>
          <w:vertAlign w:val="superscript"/>
        </w:rPr>
        <w:footnoteRef/>
      </w:r>
      <w:r w:rsidRPr="000073B3">
        <w:rPr>
          <w:rFonts w:asciiTheme="minorHAnsi" w:hAnsiTheme="minorHAnsi" w:cstheme="minorHAnsi"/>
          <w:sz w:val="18"/>
          <w:szCs w:val="18"/>
        </w:rPr>
        <w:t xml:space="preserve"> </w:t>
      </w:r>
      <w:r w:rsidRPr="000073B3">
        <w:rPr>
          <w:rFonts w:asciiTheme="minorHAnsi" w:hAnsiTheme="minorHAnsi" w:cstheme="minorHAnsi"/>
          <w:sz w:val="18"/>
          <w:szCs w:val="18"/>
        </w:rPr>
        <w:t>Ibídem.</w:t>
      </w:r>
    </w:p>
  </w:footnote>
  <w:footnote w:id="25">
    <w:p w14:paraId="18D76171" w14:textId="77777777"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Te </w:t>
      </w:r>
      <w:r w:rsidRPr="000073B3">
        <w:rPr>
          <w:rFonts w:asciiTheme="minorHAnsi" w:hAnsiTheme="minorHAnsi" w:cstheme="minorHAnsi"/>
          <w:sz w:val="18"/>
          <w:szCs w:val="18"/>
        </w:rPr>
        <w:t>Ohu Kai Moana (</w:t>
      </w:r>
      <w:r w:rsidRPr="000073B3">
        <w:rPr>
          <w:rStyle w:val="shorttext"/>
          <w:rFonts w:asciiTheme="minorHAnsi" w:hAnsiTheme="minorHAnsi" w:cstheme="minorHAnsi"/>
          <w:sz w:val="18"/>
          <w:szCs w:val="18"/>
        </w:rPr>
        <w:t>TOKM) es el ente administrador de los activos pesqueros de los maoríes.</w:t>
      </w:r>
    </w:p>
  </w:footnote>
  <w:footnote w:id="26">
    <w:p w14:paraId="19C1E41A" w14:textId="446E8DA1"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Lock, Kelly; Leslie, Stefan. </w:t>
      </w:r>
      <w:r w:rsidRPr="000073B3">
        <w:rPr>
          <w:rFonts w:asciiTheme="minorHAnsi" w:hAnsiTheme="minorHAnsi" w:cstheme="minorHAnsi"/>
          <w:sz w:val="18"/>
          <w:szCs w:val="18"/>
          <w:lang w:val="en-US"/>
        </w:rPr>
        <w:t xml:space="preserve">Pág. 21. </w:t>
      </w:r>
    </w:p>
  </w:footnote>
  <w:footnote w:id="27">
    <w:p w14:paraId="6093F433" w14:textId="09A4DABD"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Fisheries New Zealand. Crown Quota. </w:t>
      </w:r>
      <w:r w:rsidRPr="000073B3">
        <w:rPr>
          <w:rFonts w:asciiTheme="minorHAnsi" w:hAnsiTheme="minorHAnsi" w:cstheme="minorHAnsi"/>
          <w:sz w:val="18"/>
          <w:szCs w:val="18"/>
          <w:lang w:val="es-CL"/>
        </w:rPr>
        <w:t xml:space="preserve">Disponible en: </w:t>
      </w:r>
      <w:hyperlink r:id="rId11" w:history="1">
        <w:r w:rsidRPr="000073B3">
          <w:rPr>
            <w:rStyle w:val="Hipervnculo"/>
            <w:rFonts w:asciiTheme="minorHAnsi" w:hAnsiTheme="minorHAnsi" w:cstheme="minorHAnsi"/>
            <w:sz w:val="18"/>
            <w:szCs w:val="18"/>
            <w:lang w:val="es-CL"/>
          </w:rPr>
          <w:t>http://bcn.cl/1s9mj</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28">
    <w:p w14:paraId="270C2D9C" w14:textId="1F2AAF45"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Pr="000073B3">
        <w:rPr>
          <w:rFonts w:asciiTheme="minorHAnsi" w:hAnsiTheme="minorHAnsi" w:cstheme="minorHAnsi"/>
          <w:i/>
          <w:sz w:val="18"/>
          <w:szCs w:val="18"/>
          <w:lang w:val="en-US"/>
        </w:rPr>
        <w:t>Op. cit</w:t>
      </w:r>
      <w:r w:rsidRPr="000073B3">
        <w:rPr>
          <w:rFonts w:asciiTheme="minorHAnsi" w:hAnsiTheme="minorHAnsi" w:cstheme="minorHAnsi"/>
          <w:sz w:val="18"/>
          <w:szCs w:val="18"/>
          <w:lang w:val="en-US"/>
        </w:rPr>
        <w:t xml:space="preserve">. Lock, Kelly; Leslie, Stefan. </w:t>
      </w:r>
      <w:r w:rsidRPr="000073B3">
        <w:rPr>
          <w:rFonts w:asciiTheme="minorHAnsi" w:hAnsiTheme="minorHAnsi" w:cstheme="minorHAnsi"/>
          <w:sz w:val="18"/>
          <w:szCs w:val="18"/>
          <w:lang w:val="en-US"/>
        </w:rPr>
        <w:t>Pág. 22.</w:t>
      </w:r>
    </w:p>
  </w:footnote>
  <w:footnote w:id="29">
    <w:p w14:paraId="193E6E6D" w14:textId="77777777"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Pr="000073B3">
        <w:rPr>
          <w:rFonts w:asciiTheme="minorHAnsi" w:hAnsiTheme="minorHAnsi" w:cstheme="minorHAnsi"/>
          <w:iCs/>
          <w:sz w:val="18"/>
          <w:szCs w:val="18"/>
          <w:lang w:val="en-US"/>
        </w:rPr>
        <w:t>Ibídem</w:t>
      </w:r>
      <w:r w:rsidRPr="000073B3">
        <w:rPr>
          <w:rFonts w:asciiTheme="minorHAnsi" w:hAnsiTheme="minorHAnsi" w:cstheme="minorHAnsi"/>
          <w:sz w:val="18"/>
          <w:szCs w:val="18"/>
          <w:lang w:val="en-US"/>
        </w:rPr>
        <w:t>.</w:t>
      </w:r>
    </w:p>
  </w:footnote>
  <w:footnote w:id="30">
    <w:p w14:paraId="086913B5" w14:textId="024A4F9F" w:rsidR="00A9596A" w:rsidRPr="000073B3" w:rsidRDefault="00A9596A">
      <w:pPr>
        <w:pStyle w:val="Textonotapie"/>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Crown fishing quota and ACE tenders. </w:t>
      </w:r>
      <w:r w:rsidRPr="000073B3">
        <w:rPr>
          <w:rFonts w:asciiTheme="minorHAnsi" w:hAnsiTheme="minorHAnsi" w:cstheme="minorHAnsi"/>
          <w:sz w:val="18"/>
          <w:szCs w:val="18"/>
        </w:rPr>
        <w:t xml:space="preserve">Disponible: </w:t>
      </w:r>
      <w:hyperlink r:id="rId12" w:history="1">
        <w:r w:rsidRPr="000073B3">
          <w:rPr>
            <w:rStyle w:val="Hipervnculo"/>
            <w:rFonts w:asciiTheme="minorHAnsi" w:hAnsiTheme="minorHAnsi" w:cstheme="minorHAnsi"/>
            <w:sz w:val="18"/>
            <w:szCs w:val="18"/>
          </w:rPr>
          <w:t>http://bcn.cl/3hs4e</w:t>
        </w:r>
      </w:hyperlink>
      <w:r w:rsidRPr="000073B3">
        <w:rPr>
          <w:rFonts w:asciiTheme="minorHAnsi" w:hAnsiTheme="minorHAnsi" w:cstheme="minorHAnsi"/>
          <w:sz w:val="18"/>
          <w:szCs w:val="18"/>
        </w:rPr>
        <w:t xml:space="preserve"> (enero 2024)</w:t>
      </w:r>
    </w:p>
  </w:footnote>
  <w:footnote w:id="31">
    <w:p w14:paraId="0B1EFA48"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Por ejemplo, hubo restricciones en el número de licencias de pesca que se emitieron en determinadas pesquerías, el número de barcos que podrían pescar, el tamaño neto y así sucesivamente</w:t>
      </w:r>
    </w:p>
  </w:footnote>
  <w:footnote w:id="32">
    <w:p w14:paraId="3E7455DA" w14:textId="7DC2A26F"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Introduction of species into quota management system </w:t>
      </w:r>
      <w:hyperlink r:id="rId13" w:history="1">
        <w:r w:rsidRPr="000073B3">
          <w:rPr>
            <w:rStyle w:val="Hipervnculo"/>
            <w:rFonts w:asciiTheme="minorHAnsi" w:hAnsiTheme="minorHAnsi" w:cstheme="minorHAnsi"/>
            <w:sz w:val="18"/>
            <w:szCs w:val="18"/>
            <w:lang w:val="en-US"/>
          </w:rPr>
          <w:t>http://bcn.cl/1s9m6</w:t>
        </w:r>
      </w:hyperlink>
      <w:r w:rsidRPr="000073B3">
        <w:rPr>
          <w:rFonts w:asciiTheme="minorHAnsi" w:hAnsiTheme="minorHAnsi" w:cstheme="minorHAnsi"/>
          <w:sz w:val="18"/>
          <w:szCs w:val="18"/>
          <w:lang w:val="en-US"/>
        </w:rPr>
        <w:t xml:space="preserve"> (</w:t>
      </w:r>
      <w:r w:rsidR="00F33671" w:rsidRPr="000073B3">
        <w:rPr>
          <w:rFonts w:asciiTheme="minorHAnsi" w:hAnsiTheme="minorHAnsi" w:cstheme="minorHAnsi"/>
          <w:sz w:val="18"/>
          <w:szCs w:val="18"/>
          <w:lang w:val="en-US"/>
        </w:rPr>
        <w:t>enero 2024</w:t>
      </w:r>
      <w:r w:rsidRPr="000073B3">
        <w:rPr>
          <w:rFonts w:asciiTheme="minorHAnsi" w:hAnsiTheme="minorHAnsi" w:cstheme="minorHAnsi"/>
          <w:sz w:val="18"/>
          <w:szCs w:val="18"/>
          <w:lang w:val="en-US"/>
        </w:rPr>
        <w:t>)</w:t>
      </w:r>
    </w:p>
  </w:footnote>
  <w:footnote w:id="33">
    <w:p w14:paraId="3BA995D5" w14:textId="1E0E0ACF" w:rsidR="00A42FA0" w:rsidRPr="000073B3" w:rsidRDefault="00A42FA0">
      <w:pPr>
        <w:pStyle w:val="Textonotapie"/>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Fish stock status. Disponible </w:t>
      </w:r>
      <w:r w:rsidRPr="000073B3">
        <w:rPr>
          <w:rFonts w:asciiTheme="minorHAnsi" w:hAnsiTheme="minorHAnsi" w:cstheme="minorHAnsi"/>
          <w:sz w:val="18"/>
          <w:szCs w:val="18"/>
          <w:lang w:val="en-US"/>
        </w:rPr>
        <w:t xml:space="preserve">en: </w:t>
      </w:r>
      <w:hyperlink r:id="rId14" w:history="1">
        <w:r w:rsidRPr="000073B3">
          <w:rPr>
            <w:rStyle w:val="Hipervnculo"/>
            <w:rFonts w:asciiTheme="minorHAnsi" w:hAnsiTheme="minorHAnsi" w:cstheme="minorHAnsi"/>
            <w:sz w:val="18"/>
            <w:szCs w:val="18"/>
            <w:lang w:val="en-US"/>
          </w:rPr>
          <w:t>http://bcn.cl/3hs4a</w:t>
        </w:r>
      </w:hyperlink>
      <w:r w:rsidRPr="000073B3">
        <w:rPr>
          <w:rFonts w:asciiTheme="minorHAnsi" w:hAnsiTheme="minorHAnsi" w:cstheme="minorHAnsi"/>
          <w:sz w:val="18"/>
          <w:szCs w:val="18"/>
          <w:lang w:val="en-US"/>
        </w:rPr>
        <w:t xml:space="preserve"> (enero 2024)</w:t>
      </w:r>
    </w:p>
  </w:footnote>
  <w:footnote w:id="34">
    <w:p w14:paraId="38ED5A98" w14:textId="7512F6FD" w:rsidR="009F2E8E" w:rsidRPr="000073B3" w:rsidRDefault="009F2E8E" w:rsidP="000073B3">
      <w:pPr>
        <w:spacing w:after="0" w:line="240" w:lineRule="auto"/>
        <w:rPr>
          <w:rFonts w:asciiTheme="minorHAnsi" w:hAnsiTheme="minorHAnsi" w:cstheme="minorHAnsi"/>
          <w:sz w:val="18"/>
          <w:szCs w:val="18"/>
          <w:lang w:val="fr-FR"/>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fr-FR"/>
        </w:rPr>
        <w:t xml:space="preserve"> </w:t>
      </w:r>
      <w:r w:rsidRPr="000073B3">
        <w:rPr>
          <w:rFonts w:asciiTheme="minorHAnsi" w:hAnsiTheme="minorHAnsi" w:cstheme="minorHAnsi"/>
          <w:sz w:val="18"/>
          <w:szCs w:val="18"/>
          <w:lang w:val="en-US"/>
        </w:rPr>
        <w:t>Fisheries New Zealand</w:t>
      </w:r>
      <w:r w:rsidRPr="000073B3">
        <w:rPr>
          <w:rFonts w:asciiTheme="minorHAnsi" w:hAnsiTheme="minorHAnsi" w:cstheme="minorHAnsi"/>
          <w:sz w:val="18"/>
          <w:szCs w:val="18"/>
          <w:lang w:val="fr-FR"/>
        </w:rPr>
        <w:t xml:space="preserve">. Quota Management System. </w:t>
      </w:r>
      <w:hyperlink r:id="rId15" w:history="1">
        <w:r w:rsidR="00875E77" w:rsidRPr="000073B3">
          <w:rPr>
            <w:rStyle w:val="Hipervnculo"/>
            <w:rFonts w:asciiTheme="minorHAnsi" w:hAnsiTheme="minorHAnsi" w:cstheme="minorHAnsi"/>
            <w:sz w:val="18"/>
            <w:szCs w:val="18"/>
            <w:lang w:val="en-US"/>
          </w:rPr>
          <w:t>http://bcn.cl/3hs43</w:t>
        </w:r>
      </w:hyperlink>
      <w:r w:rsidR="00875E77" w:rsidRPr="000073B3">
        <w:rPr>
          <w:rFonts w:asciiTheme="minorHAnsi" w:hAnsiTheme="minorHAnsi" w:cstheme="minorHAnsi"/>
          <w:sz w:val="18"/>
          <w:szCs w:val="18"/>
          <w:lang w:val="en-US"/>
        </w:rPr>
        <w:t xml:space="preserve"> </w:t>
      </w:r>
      <w:r w:rsidR="00A722FF" w:rsidRPr="000073B3">
        <w:rPr>
          <w:rFonts w:asciiTheme="minorHAnsi" w:hAnsiTheme="minorHAnsi" w:cstheme="minorHAnsi"/>
          <w:sz w:val="18"/>
          <w:szCs w:val="18"/>
          <w:lang w:val="fr-FR"/>
        </w:rPr>
        <w:t xml:space="preserve"> </w:t>
      </w:r>
      <w:r w:rsidRPr="000073B3">
        <w:rPr>
          <w:rFonts w:asciiTheme="minorHAnsi" w:hAnsiTheme="minorHAnsi" w:cstheme="minorHAnsi"/>
          <w:sz w:val="18"/>
          <w:szCs w:val="18"/>
          <w:lang w:val="fr-FR"/>
        </w:rPr>
        <w:t>(</w:t>
      </w:r>
      <w:r w:rsidR="00F33671" w:rsidRPr="000073B3">
        <w:rPr>
          <w:rFonts w:asciiTheme="minorHAnsi" w:hAnsiTheme="minorHAnsi" w:cstheme="minorHAnsi"/>
          <w:sz w:val="18"/>
          <w:szCs w:val="18"/>
          <w:lang w:val="en-US"/>
        </w:rPr>
        <w:t>enero 2024</w:t>
      </w:r>
      <w:r w:rsidRPr="000073B3">
        <w:rPr>
          <w:rFonts w:asciiTheme="minorHAnsi" w:hAnsiTheme="minorHAnsi" w:cstheme="minorHAnsi"/>
          <w:sz w:val="18"/>
          <w:szCs w:val="18"/>
          <w:lang w:val="fr-FR"/>
        </w:rPr>
        <w:t>)</w:t>
      </w:r>
    </w:p>
  </w:footnote>
  <w:footnote w:id="35">
    <w:p w14:paraId="5BE7DAAE" w14:textId="392B5FB5" w:rsidR="00875E77" w:rsidRPr="000073B3" w:rsidRDefault="00875E77">
      <w:pPr>
        <w:pStyle w:val="Textonotapie"/>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n-US"/>
        </w:rPr>
        <w:t>Ibídem</w:t>
      </w:r>
    </w:p>
  </w:footnote>
  <w:footnote w:id="36">
    <w:p w14:paraId="04B95396" w14:textId="41AB03CA"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Fisheries New Zealand. New Zealand’s Sustainable Fisheries. </w:t>
      </w:r>
      <w:r w:rsidRPr="000073B3">
        <w:rPr>
          <w:rFonts w:asciiTheme="minorHAnsi" w:hAnsiTheme="minorHAnsi" w:cstheme="minorHAnsi"/>
          <w:sz w:val="18"/>
          <w:szCs w:val="18"/>
          <w:lang w:val="es-CL"/>
        </w:rPr>
        <w:t xml:space="preserve">Disponible en: </w:t>
      </w:r>
      <w:hyperlink r:id="rId16" w:history="1">
        <w:r w:rsidRPr="000073B3">
          <w:rPr>
            <w:rStyle w:val="Hipervnculo"/>
            <w:rFonts w:asciiTheme="minorHAnsi" w:hAnsiTheme="minorHAnsi" w:cstheme="minorHAnsi"/>
            <w:sz w:val="18"/>
            <w:szCs w:val="18"/>
            <w:lang w:val="es-CL"/>
          </w:rPr>
          <w:t>http://bcn.cl/1s9mv</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37">
    <w:p w14:paraId="54C85737" w14:textId="6DB65BCD"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bookmarkStart w:id="13" w:name="OLE_LINK15"/>
      <w:bookmarkStart w:id="14" w:name="OLE_LINK16"/>
      <w:bookmarkStart w:id="15" w:name="OLE_LINK17"/>
      <w:r w:rsidRPr="000073B3">
        <w:rPr>
          <w:rFonts w:asciiTheme="minorHAnsi" w:hAnsiTheme="minorHAnsi" w:cstheme="minorHAnsi"/>
          <w:sz w:val="18"/>
          <w:szCs w:val="18"/>
          <w:lang w:val="en-US"/>
        </w:rPr>
        <w:t xml:space="preserve">. Park, Caroline S. (2012). More with Less: Exploring Service Delivery Models for New Zealand Marine Fisheries. Published by Fulbright New Zealand, August. </w:t>
      </w:r>
      <w:bookmarkEnd w:id="13"/>
      <w:bookmarkEnd w:id="14"/>
      <w:bookmarkEnd w:id="15"/>
      <w:r w:rsidRPr="000073B3">
        <w:rPr>
          <w:rFonts w:asciiTheme="minorHAnsi" w:hAnsiTheme="minorHAnsi" w:cstheme="minorHAnsi"/>
          <w:sz w:val="18"/>
          <w:szCs w:val="18"/>
          <w:lang w:val="en-US"/>
        </w:rPr>
        <w:t xml:space="preserve">Disponible </w:t>
      </w:r>
      <w:r w:rsidRPr="000073B3">
        <w:rPr>
          <w:rFonts w:asciiTheme="minorHAnsi" w:hAnsiTheme="minorHAnsi" w:cstheme="minorHAnsi"/>
          <w:sz w:val="18"/>
          <w:szCs w:val="18"/>
          <w:lang w:val="en-US"/>
        </w:rPr>
        <w:t xml:space="preserve">en: </w:t>
      </w:r>
      <w:hyperlink r:id="rId17" w:history="1">
        <w:r w:rsidRPr="000073B3">
          <w:rPr>
            <w:rStyle w:val="Hipervnculo"/>
            <w:rFonts w:asciiTheme="minorHAnsi" w:hAnsiTheme="minorHAnsi" w:cstheme="minorHAnsi"/>
            <w:sz w:val="18"/>
            <w:szCs w:val="18"/>
            <w:lang w:val="en-US"/>
          </w:rPr>
          <w:t>http://bcn.cl/1s9mw</w:t>
        </w:r>
      </w:hyperlink>
      <w:r w:rsidRPr="000073B3">
        <w:rPr>
          <w:rFonts w:asciiTheme="minorHAnsi" w:hAnsiTheme="minorHAnsi" w:cstheme="minorHAnsi"/>
          <w:sz w:val="18"/>
          <w:szCs w:val="18"/>
          <w:lang w:val="en-US"/>
        </w:rPr>
        <w:t xml:space="preserve"> (</w:t>
      </w:r>
      <w:r w:rsidR="00F33671" w:rsidRPr="000073B3">
        <w:rPr>
          <w:rFonts w:asciiTheme="minorHAnsi" w:hAnsiTheme="minorHAnsi" w:cstheme="minorHAnsi"/>
          <w:sz w:val="18"/>
          <w:szCs w:val="18"/>
          <w:lang w:val="en-US"/>
        </w:rPr>
        <w:t>enero 2024</w:t>
      </w:r>
      <w:r w:rsidRPr="000073B3">
        <w:rPr>
          <w:rFonts w:asciiTheme="minorHAnsi" w:hAnsiTheme="minorHAnsi" w:cstheme="minorHAnsi"/>
          <w:sz w:val="18"/>
          <w:szCs w:val="18"/>
          <w:lang w:val="en-US"/>
        </w:rPr>
        <w:t>)</w:t>
      </w:r>
    </w:p>
  </w:footnote>
  <w:footnote w:id="38">
    <w:p w14:paraId="24C6BBE3" w14:textId="77777777"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Pr="000073B3">
        <w:rPr>
          <w:rFonts w:asciiTheme="minorHAnsi" w:hAnsiTheme="minorHAnsi" w:cstheme="minorHAnsi"/>
          <w:iCs/>
          <w:sz w:val="18"/>
          <w:szCs w:val="18"/>
          <w:lang w:val="en-US"/>
        </w:rPr>
        <w:t>Ibídem</w:t>
      </w:r>
      <w:r w:rsidRPr="000073B3">
        <w:rPr>
          <w:rFonts w:asciiTheme="minorHAnsi" w:hAnsiTheme="minorHAnsi" w:cstheme="minorHAnsi"/>
          <w:sz w:val="18"/>
          <w:szCs w:val="18"/>
          <w:lang w:val="en-US"/>
        </w:rPr>
        <w:t>.</w:t>
      </w:r>
    </w:p>
  </w:footnote>
  <w:footnote w:id="39">
    <w:p w14:paraId="7722C44F" w14:textId="1CEF60A3"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Observer Services 2013-2014 Annual Plan </w:t>
      </w:r>
      <w:hyperlink r:id="rId18" w:history="1">
        <w:r w:rsidRPr="000073B3">
          <w:rPr>
            <w:rStyle w:val="Hipervnculo"/>
            <w:rFonts w:asciiTheme="minorHAnsi" w:hAnsiTheme="minorHAnsi" w:cstheme="minorHAnsi"/>
            <w:sz w:val="18"/>
            <w:szCs w:val="18"/>
            <w:lang w:val="en-US"/>
          </w:rPr>
          <w:t>http://bcn.cl/1s9n3</w:t>
        </w:r>
      </w:hyperlink>
      <w:r w:rsidRPr="000073B3">
        <w:rPr>
          <w:rFonts w:asciiTheme="minorHAnsi" w:hAnsiTheme="minorHAnsi" w:cstheme="minorHAnsi"/>
          <w:sz w:val="18"/>
          <w:szCs w:val="18"/>
          <w:lang w:val="en-US"/>
        </w:rPr>
        <w:t xml:space="preserve"> (</w:t>
      </w:r>
      <w:r w:rsidR="00F33671" w:rsidRPr="000073B3">
        <w:rPr>
          <w:rFonts w:asciiTheme="minorHAnsi" w:hAnsiTheme="minorHAnsi" w:cstheme="minorHAnsi"/>
          <w:sz w:val="18"/>
          <w:szCs w:val="18"/>
          <w:lang w:val="en-US"/>
        </w:rPr>
        <w:t>enero 2024</w:t>
      </w:r>
      <w:r w:rsidRPr="000073B3">
        <w:rPr>
          <w:rFonts w:asciiTheme="minorHAnsi" w:hAnsiTheme="minorHAnsi" w:cstheme="minorHAnsi"/>
          <w:sz w:val="18"/>
          <w:szCs w:val="18"/>
          <w:lang w:val="en-US"/>
        </w:rPr>
        <w:t>).</w:t>
      </w:r>
    </w:p>
  </w:footnote>
  <w:footnote w:id="40">
    <w:p w14:paraId="0BD20A88" w14:textId="6C5387EA"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n-US"/>
        </w:rPr>
        <w:t xml:space="preserve">Op.cit More with Less: Exploring Service Delivery Models for New Zealand Marine Fisheries. </w:t>
      </w:r>
    </w:p>
  </w:footnote>
  <w:footnote w:id="41">
    <w:p w14:paraId="15B9B15F" w14:textId="70FDEAC5"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00A9596A" w:rsidRPr="000073B3">
        <w:rPr>
          <w:rFonts w:asciiTheme="minorHAnsi" w:hAnsiTheme="minorHAnsi" w:cstheme="minorHAnsi"/>
          <w:sz w:val="18"/>
          <w:szCs w:val="18"/>
          <w:lang w:val="es-CL"/>
        </w:rPr>
        <w:t>La política pesquera común: orígenes y evolución</w:t>
      </w:r>
      <w:r w:rsidRPr="000073B3">
        <w:rPr>
          <w:rFonts w:asciiTheme="minorHAnsi" w:hAnsiTheme="minorHAnsi" w:cstheme="minorHAnsi"/>
          <w:sz w:val="18"/>
          <w:szCs w:val="18"/>
          <w:lang w:val="fr-FR"/>
        </w:rPr>
        <w:t xml:space="preserve">. </w:t>
      </w:r>
      <w:r w:rsidRPr="000073B3">
        <w:rPr>
          <w:rFonts w:asciiTheme="minorHAnsi" w:hAnsiTheme="minorHAnsi" w:cstheme="minorHAnsi"/>
          <w:sz w:val="18"/>
          <w:szCs w:val="18"/>
          <w:lang w:val="es-CL"/>
        </w:rPr>
        <w:t xml:space="preserve">Disponible en: </w:t>
      </w:r>
      <w:hyperlink r:id="rId19" w:history="1">
        <w:r w:rsidR="00615C71" w:rsidRPr="000073B3">
          <w:rPr>
            <w:rStyle w:val="Hipervnculo"/>
            <w:rFonts w:asciiTheme="minorHAnsi" w:hAnsiTheme="minorHAnsi" w:cstheme="minorHAnsi"/>
            <w:sz w:val="18"/>
            <w:szCs w:val="18"/>
          </w:rPr>
          <w:t>http://bcn.cl/3hs4k</w:t>
        </w:r>
      </w:hyperlink>
      <w:r w:rsidR="00615C71"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42">
    <w:p w14:paraId="370F7530" w14:textId="556B2B71" w:rsidR="00615C71" w:rsidRPr="000073B3" w:rsidRDefault="00615C71">
      <w:pPr>
        <w:pStyle w:val="Textonotapie"/>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La gestión de la pesca en la Unión Europea. Disponible en: </w:t>
      </w:r>
      <w:hyperlink r:id="rId20" w:history="1">
        <w:r w:rsidRPr="000073B3">
          <w:rPr>
            <w:rStyle w:val="Hipervnculo"/>
            <w:rFonts w:asciiTheme="minorHAnsi" w:hAnsiTheme="minorHAnsi" w:cstheme="minorHAnsi"/>
            <w:sz w:val="18"/>
            <w:szCs w:val="18"/>
          </w:rPr>
          <w:t>http://bcn.cl/3hs4l</w:t>
        </w:r>
      </w:hyperlink>
      <w:r w:rsidRPr="000073B3">
        <w:rPr>
          <w:rFonts w:asciiTheme="minorHAnsi" w:hAnsiTheme="minorHAnsi" w:cstheme="minorHAnsi"/>
          <w:sz w:val="18"/>
          <w:szCs w:val="18"/>
        </w:rPr>
        <w:t xml:space="preserve"> (enero 2024)</w:t>
      </w:r>
    </w:p>
  </w:footnote>
  <w:footnote w:id="43">
    <w:p w14:paraId="6B411212" w14:textId="26FB82DC" w:rsidR="00603FEF" w:rsidRPr="000073B3" w:rsidRDefault="00603FEF">
      <w:pPr>
        <w:pStyle w:val="Textonotapie"/>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OCDE 2022. Fisheries and Aquaculture in Denmark. </w:t>
      </w:r>
      <w:r w:rsidRPr="000073B3">
        <w:rPr>
          <w:rFonts w:asciiTheme="minorHAnsi" w:hAnsiTheme="minorHAnsi" w:cstheme="minorHAnsi"/>
          <w:sz w:val="18"/>
          <w:szCs w:val="18"/>
        </w:rPr>
        <w:t xml:space="preserve">January 2021. Disponible en: </w:t>
      </w:r>
      <w:hyperlink r:id="rId21" w:history="1">
        <w:r w:rsidRPr="000073B3">
          <w:rPr>
            <w:rStyle w:val="Hipervnculo"/>
            <w:rFonts w:asciiTheme="minorHAnsi" w:hAnsiTheme="minorHAnsi" w:cstheme="minorHAnsi"/>
            <w:sz w:val="18"/>
            <w:szCs w:val="18"/>
          </w:rPr>
          <w:t>http://bcn.cl/3c5hz</w:t>
        </w:r>
      </w:hyperlink>
      <w:r w:rsidRPr="000073B3">
        <w:rPr>
          <w:rFonts w:asciiTheme="minorHAnsi" w:hAnsiTheme="minorHAnsi" w:cstheme="minorHAnsi"/>
          <w:sz w:val="18"/>
          <w:szCs w:val="18"/>
        </w:rPr>
        <w:t xml:space="preserve"> (enero 2024)</w:t>
      </w:r>
    </w:p>
  </w:footnote>
  <w:footnote w:id="44">
    <w:p w14:paraId="14F0759B" w14:textId="77777777" w:rsidR="00603FEF" w:rsidRPr="000073B3" w:rsidRDefault="00603FEF"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European Parliament. (2013). Fisheries in Denmark. </w:t>
      </w:r>
      <w:r w:rsidRPr="000073B3">
        <w:rPr>
          <w:rFonts w:asciiTheme="minorHAnsi" w:hAnsiTheme="minorHAnsi" w:cstheme="minorHAnsi"/>
          <w:sz w:val="18"/>
          <w:szCs w:val="18"/>
          <w:lang w:val="es-CL"/>
        </w:rPr>
        <w:t xml:space="preserve">Septiembre, Disponible en: </w:t>
      </w:r>
      <w:hyperlink r:id="rId22" w:history="1">
        <w:r w:rsidRPr="000073B3">
          <w:rPr>
            <w:rStyle w:val="Hipervnculo"/>
            <w:rFonts w:asciiTheme="minorHAnsi" w:hAnsiTheme="minorHAnsi" w:cstheme="minorHAnsi"/>
            <w:sz w:val="18"/>
            <w:szCs w:val="18"/>
            <w:lang w:val="es-CL"/>
          </w:rPr>
          <w:t>http://bcn.cl/1sahy</w:t>
        </w:r>
      </w:hyperlink>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45">
    <w:p w14:paraId="0ABDD6B8" w14:textId="160F4DC8"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 xml:space="preserve">Ibídem, </w:t>
      </w:r>
    </w:p>
  </w:footnote>
  <w:footnote w:id="46">
    <w:p w14:paraId="2FE30465" w14:textId="77777777"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Antes de 2007, las cuotas en Dinamarca se dividían en raciones de 14 días que se ajustaban de forma continua, basado en la cantidad de cuota restante. En 2007 el sistema fue cambiado a uno de derechos (porciones de cuotas de buques o FKA), que se puede caracterizar como un sistema de cuotas individuales transferibles (CIT), ya que los pescadores pueden vender y comprar derechos de pesca. </w:t>
      </w:r>
      <w:r w:rsidRPr="000073B3">
        <w:rPr>
          <w:rFonts w:asciiTheme="minorHAnsi" w:hAnsiTheme="minorHAnsi" w:cstheme="minorHAnsi"/>
          <w:sz w:val="18"/>
          <w:szCs w:val="18"/>
          <w:lang w:val="en-US"/>
        </w:rPr>
        <w:t xml:space="preserve">Ver </w:t>
      </w:r>
      <w:r w:rsidRPr="000073B3">
        <w:rPr>
          <w:rFonts w:asciiTheme="minorHAnsi" w:hAnsiTheme="minorHAnsi" w:cstheme="minorHAnsi"/>
          <w:sz w:val="18"/>
          <w:szCs w:val="18"/>
          <w:lang w:val="en-US"/>
        </w:rPr>
        <w:t>en “Fisheries in Denmark”, op. cit.</w:t>
      </w:r>
    </w:p>
  </w:footnote>
  <w:footnote w:id="47">
    <w:p w14:paraId="332C6F55" w14:textId="59ED6B59"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Op. cit. OECD. </w:t>
      </w:r>
    </w:p>
  </w:footnote>
  <w:footnote w:id="48">
    <w:p w14:paraId="4AB7E526" w14:textId="649C310D"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Ministerio de Alimentación, Agricultura y Pesca (</w:t>
      </w:r>
      <w:r w:rsidRPr="000073B3">
        <w:rPr>
          <w:rFonts w:asciiTheme="minorHAnsi" w:hAnsiTheme="minorHAnsi" w:cstheme="minorHAnsi"/>
          <w:i/>
          <w:sz w:val="18"/>
          <w:szCs w:val="18"/>
          <w:lang w:val="es-CL"/>
        </w:rPr>
        <w:t>Ministry of Food, Agriculture and Fisheries</w:t>
      </w:r>
      <w:r w:rsidRPr="000073B3">
        <w:rPr>
          <w:rFonts w:asciiTheme="minorHAnsi" w:hAnsiTheme="minorHAnsi" w:cstheme="minorHAnsi"/>
          <w:sz w:val="18"/>
          <w:szCs w:val="18"/>
          <w:lang w:val="es-CL"/>
        </w:rPr>
        <w:t xml:space="preserve">). Ministerio disponible en: </w:t>
      </w:r>
      <w:hyperlink r:id="rId23" w:history="1">
        <w:r w:rsidR="009C1E5C" w:rsidRPr="000073B3">
          <w:rPr>
            <w:rStyle w:val="Hipervnculo"/>
            <w:rFonts w:asciiTheme="minorHAnsi" w:hAnsiTheme="minorHAnsi" w:cstheme="minorHAnsi"/>
            <w:sz w:val="18"/>
            <w:szCs w:val="18"/>
          </w:rPr>
          <w:t>http://bcn.cl/3hs9x</w:t>
        </w:r>
      </w:hyperlink>
      <w:r w:rsidR="009C1E5C" w:rsidRPr="000073B3">
        <w:rPr>
          <w:rFonts w:asciiTheme="minorHAnsi" w:hAnsiTheme="minorHAnsi" w:cstheme="minorHAnsi"/>
          <w:sz w:val="18"/>
          <w:szCs w:val="18"/>
        </w:rPr>
        <w:t xml:space="preserve"> </w:t>
      </w:r>
      <w:r w:rsidRPr="000073B3">
        <w:rPr>
          <w:rFonts w:asciiTheme="minorHAnsi" w:hAnsiTheme="minorHAnsi" w:cstheme="minorHAnsi"/>
          <w:sz w:val="18"/>
          <w:szCs w:val="18"/>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49">
    <w:p w14:paraId="0BDEB168" w14:textId="77777777"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Op. cit. OECD. </w:t>
      </w:r>
      <w:r w:rsidRPr="000073B3">
        <w:rPr>
          <w:rFonts w:asciiTheme="minorHAnsi" w:hAnsiTheme="minorHAnsi" w:cstheme="minorHAnsi"/>
          <w:sz w:val="18"/>
          <w:szCs w:val="18"/>
          <w:lang w:val="en-GB"/>
        </w:rPr>
        <w:t xml:space="preserve">“Country Note on National Fisheries Management Systems – Denmark”. </w:t>
      </w:r>
    </w:p>
  </w:footnote>
  <w:footnote w:id="50">
    <w:p w14:paraId="7948AB02" w14:textId="043C0A88" w:rsidR="009F2E8E" w:rsidRPr="000073B3" w:rsidRDefault="009F2E8E" w:rsidP="000073B3">
      <w:pPr>
        <w:spacing w:after="0" w:line="240" w:lineRule="auto"/>
        <w:rPr>
          <w:rFonts w:asciiTheme="minorHAnsi" w:hAnsiTheme="minorHAnsi" w:cstheme="minorHAnsi"/>
          <w:sz w:val="18"/>
          <w:szCs w:val="18"/>
          <w:lang w:val="en-GB"/>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w:t>
      </w:r>
      <w:r w:rsidRPr="000073B3">
        <w:rPr>
          <w:rFonts w:asciiTheme="minorHAnsi" w:hAnsiTheme="minorHAnsi" w:cstheme="minorHAnsi"/>
          <w:sz w:val="18"/>
          <w:szCs w:val="18"/>
          <w:lang w:val="en-GB"/>
        </w:rPr>
        <w:t xml:space="preserve">Ibídem. </w:t>
      </w:r>
    </w:p>
  </w:footnote>
  <w:footnote w:id="51">
    <w:p w14:paraId="73D56FD3" w14:textId="274CE1B2"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Ministry of Food, Agriculture and Fisheries. (2009). </w:t>
      </w:r>
      <w:r w:rsidRPr="000073B3">
        <w:rPr>
          <w:rFonts w:asciiTheme="minorHAnsi" w:hAnsiTheme="minorHAnsi" w:cstheme="minorHAnsi"/>
          <w:sz w:val="18"/>
          <w:szCs w:val="18"/>
          <w:lang w:val="en-US"/>
        </w:rPr>
        <w:t>A New Fisheries Policy Re-thinking the TAC/quota machine</w:t>
      </w:r>
      <w:r w:rsidRPr="000073B3">
        <w:rPr>
          <w:rFonts w:asciiTheme="minorHAnsi" w:hAnsiTheme="minorHAnsi" w:cstheme="minorHAnsi"/>
          <w:sz w:val="18"/>
          <w:szCs w:val="18"/>
          <w:lang w:val="en-GB"/>
        </w:rPr>
        <w:t xml:space="preserve">. </w:t>
      </w:r>
      <w:r w:rsidRPr="000073B3">
        <w:rPr>
          <w:rFonts w:asciiTheme="minorHAnsi" w:hAnsiTheme="minorHAnsi" w:cstheme="minorHAnsi"/>
          <w:sz w:val="18"/>
          <w:szCs w:val="18"/>
          <w:lang w:val="en-US"/>
        </w:rPr>
        <w:t xml:space="preserve">Disponible </w:t>
      </w:r>
      <w:r w:rsidRPr="000073B3">
        <w:rPr>
          <w:rFonts w:asciiTheme="minorHAnsi" w:hAnsiTheme="minorHAnsi" w:cstheme="minorHAnsi"/>
          <w:sz w:val="18"/>
          <w:szCs w:val="18"/>
          <w:lang w:val="en-US"/>
        </w:rPr>
        <w:t xml:space="preserve">en:  </w:t>
      </w:r>
      <w:hyperlink r:id="rId24" w:history="1">
        <w:r w:rsidRPr="000073B3">
          <w:rPr>
            <w:rStyle w:val="Hipervnculo"/>
            <w:rFonts w:asciiTheme="minorHAnsi" w:hAnsiTheme="minorHAnsi" w:cstheme="minorHAnsi"/>
            <w:sz w:val="18"/>
            <w:szCs w:val="18"/>
            <w:lang w:val="en-US"/>
          </w:rPr>
          <w:t>http://bcn.cl/1s494</w:t>
        </w:r>
      </w:hyperlink>
      <w:r w:rsidRPr="000073B3">
        <w:rPr>
          <w:rFonts w:asciiTheme="minorHAnsi" w:hAnsiTheme="minorHAnsi" w:cstheme="minorHAnsi"/>
          <w:sz w:val="18"/>
          <w:szCs w:val="18"/>
          <w:lang w:val="en-US"/>
        </w:rPr>
        <w:t xml:space="preserve"> (</w:t>
      </w:r>
      <w:r w:rsidR="00F33671" w:rsidRPr="000073B3">
        <w:rPr>
          <w:rFonts w:asciiTheme="minorHAnsi" w:hAnsiTheme="minorHAnsi" w:cstheme="minorHAnsi"/>
          <w:sz w:val="18"/>
          <w:szCs w:val="18"/>
          <w:lang w:val="en-US"/>
        </w:rPr>
        <w:t>enero 2024</w:t>
      </w:r>
      <w:r w:rsidRPr="000073B3">
        <w:rPr>
          <w:rFonts w:asciiTheme="minorHAnsi" w:hAnsiTheme="minorHAnsi" w:cstheme="minorHAnsi"/>
          <w:sz w:val="18"/>
          <w:szCs w:val="18"/>
          <w:lang w:val="en-US"/>
        </w:rPr>
        <w:t>).</w:t>
      </w:r>
    </w:p>
  </w:footnote>
  <w:footnote w:id="52">
    <w:p w14:paraId="5E2FD47B" w14:textId="6D57CFA6"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Ministry of Food, Agriculture and Fisheries - European Fisheries Fund. (2007). Operational Programme for development of the Danish fisheries and aquaculture sector 2007-2013. </w:t>
      </w:r>
      <w:r w:rsidRPr="000073B3">
        <w:rPr>
          <w:rFonts w:asciiTheme="minorHAnsi" w:hAnsiTheme="minorHAnsi" w:cstheme="minorHAnsi"/>
          <w:sz w:val="18"/>
          <w:szCs w:val="18"/>
          <w:lang w:val="es-CL"/>
        </w:rPr>
        <w:t xml:space="preserve">Diciembre. Disponible en: </w:t>
      </w:r>
      <w:hyperlink r:id="rId25" w:history="1">
        <w:r w:rsidRPr="000073B3">
          <w:rPr>
            <w:rStyle w:val="Hipervnculo"/>
            <w:rFonts w:asciiTheme="minorHAnsi" w:hAnsiTheme="minorHAnsi" w:cstheme="minorHAnsi"/>
            <w:sz w:val="18"/>
            <w:szCs w:val="18"/>
            <w:lang w:val="es-CL"/>
          </w:rPr>
          <w:t>http://bcn.cl/1sdo3</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 xml:space="preserve">). </w:t>
      </w:r>
    </w:p>
  </w:footnote>
  <w:footnote w:id="53">
    <w:p w14:paraId="6BF76300" w14:textId="334EB3E3"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FAOLEX. </w:t>
      </w:r>
      <w:r w:rsidRPr="000073B3">
        <w:rPr>
          <w:rFonts w:asciiTheme="minorHAnsi" w:hAnsiTheme="minorHAnsi" w:cstheme="minorHAnsi"/>
          <w:sz w:val="18"/>
          <w:szCs w:val="18"/>
          <w:lang w:val="es-CL"/>
        </w:rPr>
        <w:t xml:space="preserve">Denmark: Order No. 1423 on fishery regulation in 2014-2020. Disponible en: </w:t>
      </w:r>
      <w:hyperlink r:id="rId26" w:history="1">
        <w:r w:rsidRPr="000073B3">
          <w:rPr>
            <w:rStyle w:val="Hipervnculo"/>
            <w:rFonts w:asciiTheme="minorHAnsi" w:hAnsiTheme="minorHAnsi" w:cstheme="minorHAnsi"/>
            <w:sz w:val="18"/>
            <w:szCs w:val="18"/>
          </w:rPr>
          <w:t>http://bcn.cl/1sahw</w:t>
        </w:r>
      </w:hyperlink>
      <w:r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54">
    <w:p w14:paraId="0C9DDB8F"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FAOLEX. Denmark: Order No. 1423 on fishery regulation in 2014-2020. </w:t>
      </w:r>
      <w:r w:rsidRPr="000073B3">
        <w:rPr>
          <w:rFonts w:asciiTheme="minorHAnsi" w:hAnsiTheme="minorHAnsi" w:cstheme="minorHAnsi"/>
          <w:sz w:val="18"/>
          <w:szCs w:val="18"/>
          <w:lang w:val="es-CL"/>
        </w:rPr>
        <w:t>Op. cit.</w:t>
      </w:r>
    </w:p>
  </w:footnote>
  <w:footnote w:id="55">
    <w:p w14:paraId="1EFCA770"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Ibídem.</w:t>
      </w:r>
    </w:p>
  </w:footnote>
  <w:footnote w:id="56">
    <w:p w14:paraId="5DB026CA" w14:textId="31D6A2CA"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Ley disponible en (danés): </w:t>
      </w:r>
      <w:hyperlink r:id="rId27" w:history="1">
        <w:r w:rsidR="00A722FF" w:rsidRPr="000073B3">
          <w:rPr>
            <w:rStyle w:val="Hipervnculo"/>
            <w:rFonts w:asciiTheme="minorHAnsi" w:hAnsiTheme="minorHAnsi" w:cstheme="minorHAnsi"/>
            <w:sz w:val="18"/>
            <w:szCs w:val="18"/>
            <w:lang w:val="es-CL"/>
          </w:rPr>
          <w:t>http://bcn.cl/2bcna</w:t>
        </w:r>
      </w:hyperlink>
      <w:r w:rsidR="00A722FF"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57">
    <w:p w14:paraId="49CCE893" w14:textId="77777777"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Op. cit. Ministry of Food, Agriculture and Fisheries (2009). </w:t>
      </w:r>
    </w:p>
  </w:footnote>
  <w:footnote w:id="58">
    <w:p w14:paraId="55033D65" w14:textId="55CC2DA1" w:rsidR="009F2E8E" w:rsidRPr="000073B3" w:rsidRDefault="009F2E8E">
      <w:pPr>
        <w:pStyle w:val="Textonotapie"/>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OECD (2017). Denmark, in: OECD Review of Fisheries: Policies and Summary Statistics 2017, OECD Publishing, Paris. </w:t>
      </w:r>
      <w:r w:rsidRPr="000073B3">
        <w:rPr>
          <w:rFonts w:asciiTheme="minorHAnsi" w:hAnsiTheme="minorHAnsi" w:cstheme="minorHAnsi"/>
          <w:sz w:val="18"/>
          <w:szCs w:val="18"/>
          <w:lang w:val="es-CL"/>
        </w:rPr>
        <w:t xml:space="preserve">Disponible en: </w:t>
      </w:r>
      <w:hyperlink r:id="rId28" w:history="1">
        <w:r w:rsidRPr="000073B3">
          <w:rPr>
            <w:rStyle w:val="Hipervnculo"/>
            <w:rFonts w:asciiTheme="minorHAnsi" w:hAnsiTheme="minorHAnsi" w:cstheme="minorHAnsi"/>
            <w:sz w:val="18"/>
            <w:szCs w:val="18"/>
            <w:lang w:val="es-CL"/>
          </w:rPr>
          <w:t>http://bcn.cl/2b3rv</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59">
    <w:p w14:paraId="78573E67" w14:textId="5F18BAA8"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OECD. (s/f). </w:t>
      </w:r>
      <w:r w:rsidRPr="000073B3">
        <w:rPr>
          <w:rFonts w:asciiTheme="minorHAnsi" w:hAnsiTheme="minorHAnsi" w:cstheme="minorHAnsi"/>
          <w:sz w:val="18"/>
          <w:szCs w:val="18"/>
          <w:lang w:val="en-GB"/>
        </w:rPr>
        <w:t xml:space="preserve">Country Note on National Fisheries Management Systems – Iceland. </w:t>
      </w:r>
      <w:r w:rsidRPr="000073B3">
        <w:rPr>
          <w:rFonts w:asciiTheme="minorHAnsi" w:hAnsiTheme="minorHAnsi" w:cstheme="minorHAnsi"/>
          <w:sz w:val="18"/>
          <w:szCs w:val="18"/>
          <w:lang w:val="es-CL"/>
        </w:rPr>
        <w:t xml:space="preserve">Disponible en: </w:t>
      </w:r>
      <w:hyperlink r:id="rId29" w:history="1">
        <w:r w:rsidRPr="000073B3">
          <w:rPr>
            <w:rStyle w:val="Hipervnculo"/>
            <w:rFonts w:asciiTheme="minorHAnsi" w:hAnsiTheme="minorHAnsi" w:cstheme="minorHAnsi"/>
            <w:sz w:val="18"/>
            <w:szCs w:val="18"/>
            <w:lang w:val="es-CL"/>
          </w:rPr>
          <w:t>http://bcn.cl/1sdo2</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lang w:val="es-CL"/>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60">
    <w:p w14:paraId="4601F924" w14:textId="3D46419A"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Ley disponible</w:t>
      </w:r>
      <w:r w:rsidRPr="000073B3">
        <w:rPr>
          <w:rFonts w:asciiTheme="minorHAnsi" w:hAnsiTheme="minorHAnsi" w:cstheme="minorHAnsi"/>
          <w:sz w:val="18"/>
          <w:szCs w:val="18"/>
        </w:rPr>
        <w:t xml:space="preserve"> en (inglés): </w:t>
      </w:r>
      <w:hyperlink r:id="rId30" w:history="1">
        <w:r w:rsidR="007A23F6" w:rsidRPr="000073B3">
          <w:rPr>
            <w:rStyle w:val="Hipervnculo"/>
            <w:rFonts w:asciiTheme="minorHAnsi" w:hAnsiTheme="minorHAnsi" w:cstheme="minorHAnsi"/>
            <w:sz w:val="18"/>
            <w:szCs w:val="18"/>
          </w:rPr>
          <w:t>http://bcn.cl/3hs8n</w:t>
        </w:r>
      </w:hyperlink>
      <w:r w:rsidR="007A23F6" w:rsidRPr="000073B3">
        <w:rPr>
          <w:rFonts w:asciiTheme="minorHAnsi" w:hAnsiTheme="minorHAnsi" w:cstheme="minorHAnsi"/>
          <w:sz w:val="18"/>
          <w:szCs w:val="18"/>
        </w:rPr>
        <w:t xml:space="preserve"> </w:t>
      </w:r>
      <w:r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61">
    <w:p w14:paraId="54BFC081" w14:textId="6D10C3E8"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w:t>
      </w:r>
      <w:r w:rsidRPr="000073B3">
        <w:rPr>
          <w:rFonts w:asciiTheme="minorHAnsi" w:hAnsiTheme="minorHAnsi" w:cstheme="minorHAnsi"/>
          <w:sz w:val="18"/>
          <w:szCs w:val="18"/>
          <w:lang w:val="en-US"/>
        </w:rPr>
        <w:t xml:space="preserve">Op. </w:t>
      </w:r>
      <w:r w:rsidRPr="000073B3">
        <w:rPr>
          <w:rFonts w:asciiTheme="minorHAnsi" w:hAnsiTheme="minorHAnsi" w:cstheme="minorHAnsi"/>
          <w:sz w:val="18"/>
          <w:szCs w:val="18"/>
          <w:lang w:val="en-US"/>
        </w:rPr>
        <w:t>cit.</w:t>
      </w:r>
      <w:r w:rsidRPr="000073B3">
        <w:rPr>
          <w:rFonts w:asciiTheme="minorHAnsi" w:hAnsiTheme="minorHAnsi" w:cstheme="minorHAnsi"/>
          <w:sz w:val="18"/>
          <w:szCs w:val="18"/>
          <w:lang w:val="en-GB"/>
        </w:rPr>
        <w:t xml:space="preserve">OECD. Country Note on National Fisheries Management Systems – Iceland. </w:t>
      </w:r>
    </w:p>
  </w:footnote>
  <w:footnote w:id="62">
    <w:p w14:paraId="5B48FA51" w14:textId="38232A4D"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007A23F6" w:rsidRPr="000073B3">
        <w:rPr>
          <w:rFonts w:asciiTheme="minorHAnsi" w:hAnsiTheme="minorHAnsi" w:cstheme="minorHAnsi"/>
          <w:sz w:val="18"/>
          <w:szCs w:val="18"/>
          <w:lang w:val="en-US"/>
        </w:rPr>
        <w:t>Ministry of Food, Agriculture and Fisheries</w:t>
      </w:r>
      <w:r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s-CL"/>
        </w:rPr>
        <w:t xml:space="preserve">Ministerio disponible en: </w:t>
      </w:r>
      <w:hyperlink r:id="rId31" w:history="1">
        <w:r w:rsidR="007A23F6" w:rsidRPr="000073B3">
          <w:rPr>
            <w:rStyle w:val="Hipervnculo"/>
            <w:rFonts w:asciiTheme="minorHAnsi" w:hAnsiTheme="minorHAnsi" w:cstheme="minorHAnsi"/>
            <w:sz w:val="18"/>
            <w:szCs w:val="18"/>
          </w:rPr>
          <w:t>http://bcn.cl/3hs8t</w:t>
        </w:r>
      </w:hyperlink>
      <w:r w:rsidR="007A23F6" w:rsidRPr="000073B3">
        <w:rPr>
          <w:rFonts w:asciiTheme="minorHAnsi" w:hAnsiTheme="minorHAnsi" w:cstheme="minorHAnsi"/>
          <w:sz w:val="18"/>
          <w:szCs w:val="18"/>
        </w:rPr>
        <w:t xml:space="preserve">; </w:t>
      </w:r>
      <w:r w:rsidR="007A23F6" w:rsidRPr="000073B3">
        <w:rPr>
          <w:rFonts w:asciiTheme="minorHAnsi" w:hAnsiTheme="minorHAnsi" w:cstheme="minorHAnsi"/>
          <w:sz w:val="18"/>
          <w:szCs w:val="18"/>
        </w:rPr>
        <w:t xml:space="preserve">Fiskitofa . </w:t>
      </w:r>
      <w:r w:rsidR="007A23F6" w:rsidRPr="000073B3">
        <w:rPr>
          <w:rFonts w:asciiTheme="minorHAnsi" w:hAnsiTheme="minorHAnsi" w:cstheme="minorHAnsi"/>
          <w:sz w:val="18"/>
          <w:szCs w:val="18"/>
          <w:lang w:val="en-US"/>
        </w:rPr>
        <w:t xml:space="preserve">Disponible en: </w:t>
      </w:r>
      <w:hyperlink r:id="rId32" w:history="1">
        <w:r w:rsidR="007A23F6" w:rsidRPr="000073B3">
          <w:rPr>
            <w:rStyle w:val="Hipervnculo"/>
            <w:rFonts w:asciiTheme="minorHAnsi" w:hAnsiTheme="minorHAnsi" w:cstheme="minorHAnsi"/>
            <w:sz w:val="18"/>
            <w:szCs w:val="18"/>
            <w:lang w:val="en-US"/>
          </w:rPr>
          <w:t>https://island.is/s/fiskistofa</w:t>
        </w:r>
      </w:hyperlink>
      <w:r w:rsidR="007A23F6" w:rsidRPr="000073B3">
        <w:rPr>
          <w:rFonts w:asciiTheme="minorHAnsi" w:hAnsiTheme="minorHAnsi" w:cstheme="minorHAnsi"/>
          <w:sz w:val="18"/>
          <w:szCs w:val="18"/>
          <w:lang w:val="en-US"/>
        </w:rPr>
        <w:t xml:space="preserve"> </w:t>
      </w:r>
      <w:r w:rsidR="00A722FF"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n-US"/>
        </w:rPr>
        <w:t>(</w:t>
      </w:r>
      <w:r w:rsidR="00F33671" w:rsidRPr="000073B3">
        <w:rPr>
          <w:rFonts w:asciiTheme="minorHAnsi" w:hAnsiTheme="minorHAnsi" w:cstheme="minorHAnsi"/>
          <w:sz w:val="18"/>
          <w:szCs w:val="18"/>
          <w:lang w:val="en-US"/>
        </w:rPr>
        <w:t>enero 2024</w:t>
      </w:r>
      <w:r w:rsidRPr="000073B3">
        <w:rPr>
          <w:rFonts w:asciiTheme="minorHAnsi" w:hAnsiTheme="minorHAnsi" w:cstheme="minorHAnsi"/>
          <w:sz w:val="18"/>
          <w:szCs w:val="18"/>
          <w:lang w:val="en-US"/>
        </w:rPr>
        <w:t>).</w:t>
      </w:r>
    </w:p>
  </w:footnote>
  <w:footnote w:id="63">
    <w:p w14:paraId="19B7CD05" w14:textId="4706D87F"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002C73A2" w:rsidRPr="000073B3">
        <w:rPr>
          <w:rFonts w:asciiTheme="minorHAnsi" w:hAnsiTheme="minorHAnsi" w:cstheme="minorHAnsi"/>
          <w:sz w:val="18"/>
          <w:szCs w:val="18"/>
          <w:lang w:val="fr-FR"/>
        </w:rPr>
        <w:t xml:space="preserve"> </w:t>
      </w:r>
      <w:r w:rsidR="007A23F6" w:rsidRPr="000073B3">
        <w:rPr>
          <w:rFonts w:asciiTheme="minorHAnsi" w:hAnsiTheme="minorHAnsi" w:cstheme="minorHAnsi"/>
          <w:sz w:val="18"/>
          <w:szCs w:val="18"/>
          <w:lang w:val="fr-FR"/>
        </w:rPr>
        <w:t xml:space="preserve">The </w:t>
      </w:r>
      <w:r w:rsidR="007A23F6" w:rsidRPr="000073B3">
        <w:rPr>
          <w:rFonts w:asciiTheme="minorHAnsi" w:hAnsiTheme="minorHAnsi" w:cstheme="minorHAnsi"/>
          <w:sz w:val="18"/>
          <w:szCs w:val="18"/>
          <w:lang w:val="fr-FR"/>
        </w:rPr>
        <w:t>Fisheries Management System</w:t>
      </w:r>
      <w:r w:rsidRPr="000073B3">
        <w:rPr>
          <w:rFonts w:asciiTheme="minorHAnsi" w:hAnsiTheme="minorHAnsi" w:cstheme="minorHAnsi"/>
          <w:sz w:val="18"/>
          <w:szCs w:val="18"/>
          <w:lang w:val="fr-FR"/>
        </w:rPr>
        <w:t xml:space="preserve">. </w:t>
      </w:r>
      <w:r w:rsidRPr="000073B3">
        <w:rPr>
          <w:rFonts w:asciiTheme="minorHAnsi" w:hAnsiTheme="minorHAnsi" w:cstheme="minorHAnsi"/>
          <w:sz w:val="18"/>
          <w:szCs w:val="18"/>
          <w:lang w:val="es-CL"/>
        </w:rPr>
        <w:t xml:space="preserve">Disponible en: </w:t>
      </w:r>
      <w:hyperlink r:id="rId33" w:history="1">
        <w:r w:rsidR="009C1E5C" w:rsidRPr="000073B3">
          <w:rPr>
            <w:rStyle w:val="Hipervnculo"/>
            <w:rFonts w:asciiTheme="minorHAnsi" w:hAnsiTheme="minorHAnsi" w:cstheme="minorHAnsi"/>
            <w:sz w:val="18"/>
            <w:szCs w:val="18"/>
          </w:rPr>
          <w:t>http://bcn.cl/3hs9h</w:t>
        </w:r>
      </w:hyperlink>
      <w:r w:rsidR="009C1E5C" w:rsidRPr="000073B3">
        <w:rPr>
          <w:rFonts w:asciiTheme="minorHAnsi" w:hAnsiTheme="minorHAnsi" w:cstheme="minorHAnsi"/>
          <w:sz w:val="18"/>
          <w:szCs w:val="18"/>
        </w:rPr>
        <w:t xml:space="preserve"> </w:t>
      </w:r>
      <w:r w:rsidR="00A722FF"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64">
    <w:p w14:paraId="3B40F941" w14:textId="7C52FE72"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fr-FR"/>
        </w:rPr>
        <w:t xml:space="preserve"> </w:t>
      </w:r>
      <w:r w:rsidRPr="000073B3">
        <w:rPr>
          <w:rFonts w:asciiTheme="minorHAnsi" w:hAnsiTheme="minorHAnsi" w:cstheme="minorHAnsi"/>
          <w:sz w:val="18"/>
          <w:szCs w:val="18"/>
          <w:lang w:val="fr-FR"/>
        </w:rPr>
        <w:t>Fiskis</w:t>
      </w:r>
      <w:r w:rsidRPr="000073B3">
        <w:rPr>
          <w:rFonts w:asciiTheme="minorHAnsi" w:hAnsiTheme="minorHAnsi" w:cstheme="minorHAnsi"/>
          <w:sz w:val="18"/>
          <w:szCs w:val="18"/>
          <w:lang w:val="de-DE"/>
        </w:rPr>
        <w:t>tofa.</w:t>
      </w:r>
      <w:r w:rsidR="0043044F" w:rsidRPr="000073B3">
        <w:rPr>
          <w:rFonts w:asciiTheme="minorHAnsi" w:hAnsiTheme="minorHAnsi" w:cstheme="minorHAnsi"/>
          <w:sz w:val="18"/>
          <w:szCs w:val="18"/>
          <w:lang w:val="de-DE"/>
        </w:rPr>
        <w:t xml:space="preserve"> (s/f). </w:t>
      </w:r>
      <w:r w:rsidRPr="000073B3">
        <w:rPr>
          <w:rFonts w:asciiTheme="minorHAnsi" w:hAnsiTheme="minorHAnsi" w:cstheme="minorHAnsi"/>
          <w:sz w:val="18"/>
          <w:szCs w:val="18"/>
          <w:lang w:val="fr-FR"/>
        </w:rPr>
        <w:t xml:space="preserve">Fisheries management. </w:t>
      </w:r>
      <w:r w:rsidRPr="000073B3">
        <w:rPr>
          <w:rFonts w:asciiTheme="minorHAnsi" w:hAnsiTheme="minorHAnsi" w:cstheme="minorHAnsi"/>
          <w:sz w:val="18"/>
          <w:szCs w:val="18"/>
          <w:lang w:val="es-CL"/>
        </w:rPr>
        <w:t xml:space="preserve">Disponible en: </w:t>
      </w:r>
      <w:hyperlink r:id="rId34" w:history="1">
        <w:r w:rsidRPr="000073B3">
          <w:rPr>
            <w:rStyle w:val="Hipervnculo"/>
            <w:rFonts w:asciiTheme="minorHAnsi" w:hAnsiTheme="minorHAnsi" w:cstheme="minorHAnsi"/>
            <w:sz w:val="18"/>
            <w:szCs w:val="18"/>
            <w:lang w:val="es-CL"/>
          </w:rPr>
          <w:t>http://bcn.cl/1r9c8</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65">
    <w:p w14:paraId="46A7148B" w14:textId="1193B018"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Op. cit. OECD. </w:t>
      </w:r>
      <w:r w:rsidRPr="000073B3">
        <w:rPr>
          <w:rFonts w:asciiTheme="minorHAnsi" w:hAnsiTheme="minorHAnsi" w:cstheme="minorHAnsi"/>
          <w:sz w:val="18"/>
          <w:szCs w:val="18"/>
          <w:lang w:val="en-GB"/>
        </w:rPr>
        <w:t xml:space="preserve">Country Note on National Fisheries Management Systems – Iceland. </w:t>
      </w:r>
    </w:p>
  </w:footnote>
  <w:footnote w:id="66">
    <w:p w14:paraId="12CC01D9" w14:textId="134BA3C6" w:rsidR="009F2E8E" w:rsidRPr="000073B3" w:rsidRDefault="009F2E8E">
      <w:pPr>
        <w:pStyle w:val="Textonotapie"/>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OECD</w:t>
      </w:r>
      <w:r w:rsidR="0043044F" w:rsidRPr="000073B3">
        <w:rPr>
          <w:rFonts w:asciiTheme="minorHAnsi" w:hAnsiTheme="minorHAnsi" w:cstheme="minorHAnsi"/>
          <w:sz w:val="18"/>
          <w:szCs w:val="18"/>
          <w:lang w:val="en-US"/>
        </w:rPr>
        <w:t>. (</w:t>
      </w:r>
      <w:r w:rsidRPr="000073B3">
        <w:rPr>
          <w:rFonts w:asciiTheme="minorHAnsi" w:hAnsiTheme="minorHAnsi" w:cstheme="minorHAnsi"/>
          <w:sz w:val="18"/>
          <w:szCs w:val="18"/>
          <w:lang w:val="en-US"/>
        </w:rPr>
        <w:t>2017</w:t>
      </w:r>
      <w:r w:rsidR="0043044F" w:rsidRPr="000073B3">
        <w:rPr>
          <w:rFonts w:asciiTheme="minorHAnsi" w:hAnsiTheme="minorHAnsi" w:cstheme="minorHAnsi"/>
          <w:sz w:val="18"/>
          <w:szCs w:val="18"/>
          <w:lang w:val="en-US"/>
        </w:rPr>
        <w:t>)</w:t>
      </w:r>
      <w:r w:rsidRPr="000073B3">
        <w:rPr>
          <w:rFonts w:asciiTheme="minorHAnsi" w:hAnsiTheme="minorHAnsi" w:cstheme="minorHAnsi"/>
          <w:sz w:val="18"/>
          <w:szCs w:val="18"/>
          <w:lang w:val="en-US"/>
        </w:rPr>
        <w:t xml:space="preserve">. Sustaining Iceland’s fisheries through tradeable quotas. </w:t>
      </w:r>
      <w:r w:rsidR="0043044F" w:rsidRPr="000073B3">
        <w:rPr>
          <w:rFonts w:asciiTheme="minorHAnsi" w:hAnsiTheme="minorHAnsi" w:cstheme="minorHAnsi"/>
          <w:sz w:val="18"/>
          <w:szCs w:val="18"/>
          <w:lang w:val="es-CL"/>
        </w:rPr>
        <w:t xml:space="preserve">OECD </w:t>
      </w:r>
      <w:r w:rsidR="0043044F" w:rsidRPr="000073B3">
        <w:rPr>
          <w:rFonts w:asciiTheme="minorHAnsi" w:hAnsiTheme="minorHAnsi" w:cstheme="minorHAnsi"/>
          <w:sz w:val="18"/>
          <w:szCs w:val="18"/>
          <w:lang w:val="es-CL"/>
        </w:rPr>
        <w:t>environment policy paper N°</w:t>
      </w:r>
      <w:r w:rsidRPr="000073B3">
        <w:rPr>
          <w:rFonts w:asciiTheme="minorHAnsi" w:hAnsiTheme="minorHAnsi" w:cstheme="minorHAnsi"/>
          <w:sz w:val="18"/>
          <w:szCs w:val="18"/>
          <w:lang w:val="es-CL"/>
        </w:rPr>
        <w:t xml:space="preserve">. 9 </w:t>
      </w:r>
      <w:r w:rsidRPr="000073B3">
        <w:rPr>
          <w:rFonts w:asciiTheme="minorHAnsi" w:hAnsiTheme="minorHAnsi" w:cstheme="minorHAnsi"/>
          <w:sz w:val="18"/>
          <w:szCs w:val="18"/>
          <w:lang w:val="es-CL"/>
        </w:rPr>
        <w:t xml:space="preserve">Disponible en: </w:t>
      </w:r>
      <w:hyperlink r:id="rId35" w:history="1">
        <w:r w:rsidR="00A722FF" w:rsidRPr="000073B3">
          <w:rPr>
            <w:rStyle w:val="Hipervnculo"/>
            <w:rFonts w:asciiTheme="minorHAnsi" w:hAnsiTheme="minorHAnsi" w:cstheme="minorHAnsi"/>
            <w:sz w:val="18"/>
            <w:szCs w:val="18"/>
            <w:lang w:val="es-CL"/>
          </w:rPr>
          <w:t>http://bcn.cl/2bcnk</w:t>
        </w:r>
      </w:hyperlink>
      <w:r w:rsidR="00A722FF"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r w:rsidR="00BA1A74">
        <w:rPr>
          <w:rFonts w:asciiTheme="minorHAnsi" w:hAnsiTheme="minorHAnsi" w:cstheme="minorHAnsi"/>
          <w:sz w:val="18"/>
          <w:szCs w:val="18"/>
          <w:lang w:val="es-CL"/>
        </w:rPr>
        <w:t>.</w:t>
      </w:r>
    </w:p>
  </w:footnote>
  <w:footnote w:id="67">
    <w:p w14:paraId="376FA425" w14:textId="2384B9CC"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OECD</w:t>
      </w:r>
      <w:r w:rsidR="0043044F" w:rsidRPr="000073B3">
        <w:rPr>
          <w:rFonts w:asciiTheme="minorHAnsi" w:hAnsiTheme="minorHAnsi" w:cstheme="minorHAnsi"/>
          <w:sz w:val="18"/>
          <w:szCs w:val="18"/>
          <w:lang w:val="en-US"/>
        </w:rPr>
        <w:t xml:space="preserve"> (2013). </w:t>
      </w:r>
      <w:r w:rsidRPr="000073B3">
        <w:rPr>
          <w:rFonts w:asciiTheme="minorHAnsi" w:hAnsiTheme="minorHAnsi" w:cstheme="minorHAnsi"/>
          <w:sz w:val="18"/>
          <w:szCs w:val="18"/>
          <w:lang w:val="en-US"/>
        </w:rPr>
        <w:t>Iceland</w:t>
      </w:r>
      <w:r w:rsidR="0043044F"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n-US"/>
        </w:rPr>
        <w:t xml:space="preserve">en OECD Review of Fisheries: Policies and Summary Statistics 2013. </w:t>
      </w:r>
      <w:r w:rsidRPr="000073B3">
        <w:rPr>
          <w:rFonts w:asciiTheme="minorHAnsi" w:hAnsiTheme="minorHAnsi" w:cstheme="minorHAnsi"/>
          <w:sz w:val="18"/>
          <w:szCs w:val="18"/>
          <w:lang w:val="es-CL"/>
        </w:rPr>
        <w:t>OECD Publishing, Paris</w:t>
      </w:r>
      <w:r w:rsidR="0043044F"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 xml:space="preserve">Disponible en: </w:t>
      </w:r>
      <w:hyperlink r:id="rId36" w:history="1">
        <w:r w:rsidR="002F3D64" w:rsidRPr="000073B3">
          <w:rPr>
            <w:rStyle w:val="Hipervnculo"/>
            <w:rFonts w:asciiTheme="minorHAnsi" w:hAnsiTheme="minorHAnsi" w:cstheme="minorHAnsi"/>
            <w:sz w:val="18"/>
            <w:szCs w:val="18"/>
          </w:rPr>
          <w:t>http://bcn.cl/3hsb2</w:t>
        </w:r>
      </w:hyperlink>
      <w:r w:rsidR="002F3D64"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68">
    <w:p w14:paraId="6DB1B843" w14:textId="57D6ACBC" w:rsidR="007A23F6" w:rsidRPr="000073B3" w:rsidRDefault="007A23F6">
      <w:pPr>
        <w:pStyle w:val="Textonotapie"/>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w:t>
      </w:r>
      <w:r w:rsidRPr="000073B3">
        <w:rPr>
          <w:rFonts w:asciiTheme="minorHAnsi" w:hAnsiTheme="minorHAnsi" w:cstheme="minorHAnsi"/>
          <w:sz w:val="18"/>
          <w:szCs w:val="18"/>
        </w:rPr>
        <w:t xml:space="preserve">Quota system. Disponible en: </w:t>
      </w:r>
      <w:hyperlink r:id="rId37" w:history="1">
        <w:r w:rsidRPr="000073B3">
          <w:rPr>
            <w:rStyle w:val="Hipervnculo"/>
            <w:rFonts w:asciiTheme="minorHAnsi" w:hAnsiTheme="minorHAnsi" w:cstheme="minorHAnsi"/>
            <w:sz w:val="18"/>
            <w:szCs w:val="18"/>
          </w:rPr>
          <w:t>http://bcn.cl/3hs93</w:t>
        </w:r>
      </w:hyperlink>
      <w:r w:rsidRPr="000073B3">
        <w:rPr>
          <w:rFonts w:asciiTheme="minorHAnsi" w:hAnsiTheme="minorHAnsi" w:cstheme="minorHAnsi"/>
          <w:sz w:val="18"/>
          <w:szCs w:val="18"/>
        </w:rPr>
        <w:t xml:space="preserve"> (enero 2024)</w:t>
      </w:r>
      <w:r w:rsidR="00BA1A74">
        <w:rPr>
          <w:rFonts w:asciiTheme="minorHAnsi" w:hAnsiTheme="minorHAnsi" w:cstheme="minorHAnsi"/>
          <w:sz w:val="18"/>
          <w:szCs w:val="18"/>
        </w:rPr>
        <w:t>.</w:t>
      </w:r>
    </w:p>
  </w:footnote>
  <w:footnote w:id="69">
    <w:p w14:paraId="50F8EFC4" w14:textId="7B60E285"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OECD.</w:t>
      </w:r>
      <w:r w:rsidR="0043044F" w:rsidRPr="000073B3">
        <w:rPr>
          <w:rFonts w:asciiTheme="minorHAnsi" w:hAnsiTheme="minorHAnsi" w:cstheme="minorHAnsi"/>
          <w:sz w:val="18"/>
          <w:szCs w:val="18"/>
          <w:lang w:val="en-GB"/>
        </w:rPr>
        <w:t xml:space="preserve"> (s/f). </w:t>
      </w:r>
      <w:r w:rsidRPr="000073B3">
        <w:rPr>
          <w:rFonts w:asciiTheme="minorHAnsi" w:hAnsiTheme="minorHAnsi" w:cstheme="minorHAnsi"/>
          <w:sz w:val="18"/>
          <w:szCs w:val="18"/>
          <w:lang w:val="en-GB"/>
        </w:rPr>
        <w:t xml:space="preserve">Country Note on National Fisheries Management Systems – Norway. </w:t>
      </w:r>
      <w:r w:rsidRPr="000073B3">
        <w:rPr>
          <w:rFonts w:asciiTheme="minorHAnsi" w:hAnsiTheme="minorHAnsi" w:cstheme="minorHAnsi"/>
          <w:sz w:val="18"/>
          <w:szCs w:val="18"/>
          <w:lang w:val="en-US"/>
        </w:rPr>
        <w:t xml:space="preserve">Disponible </w:t>
      </w:r>
      <w:r w:rsidRPr="000073B3">
        <w:rPr>
          <w:rFonts w:asciiTheme="minorHAnsi" w:hAnsiTheme="minorHAnsi" w:cstheme="minorHAnsi"/>
          <w:sz w:val="18"/>
          <w:szCs w:val="18"/>
          <w:lang w:val="en-US"/>
        </w:rPr>
        <w:t xml:space="preserve">en: </w:t>
      </w:r>
      <w:hyperlink r:id="rId38" w:history="1">
        <w:r w:rsidRPr="000073B3">
          <w:rPr>
            <w:rStyle w:val="Hipervnculo"/>
            <w:rFonts w:asciiTheme="minorHAnsi" w:hAnsiTheme="minorHAnsi" w:cstheme="minorHAnsi"/>
            <w:sz w:val="18"/>
            <w:szCs w:val="18"/>
            <w:lang w:val="en-US"/>
          </w:rPr>
          <w:t>http://bcn.cl/1sdo5</w:t>
        </w:r>
      </w:hyperlink>
      <w:r w:rsidRPr="000073B3">
        <w:rPr>
          <w:rFonts w:asciiTheme="minorHAnsi" w:hAnsiTheme="minorHAnsi" w:cstheme="minorHAnsi"/>
          <w:sz w:val="18"/>
          <w:szCs w:val="18"/>
          <w:lang w:val="en-US"/>
        </w:rPr>
        <w:t xml:space="preserve"> (</w:t>
      </w:r>
      <w:r w:rsidR="00F33671" w:rsidRPr="000073B3">
        <w:rPr>
          <w:rFonts w:asciiTheme="minorHAnsi" w:hAnsiTheme="minorHAnsi" w:cstheme="minorHAnsi"/>
          <w:sz w:val="18"/>
          <w:szCs w:val="18"/>
          <w:lang w:val="en-US"/>
        </w:rPr>
        <w:t>enero 2024</w:t>
      </w:r>
      <w:r w:rsidRPr="000073B3">
        <w:rPr>
          <w:rFonts w:asciiTheme="minorHAnsi" w:hAnsiTheme="minorHAnsi" w:cstheme="minorHAnsi"/>
          <w:sz w:val="18"/>
          <w:szCs w:val="18"/>
          <w:lang w:val="en-US"/>
        </w:rPr>
        <w:t>).</w:t>
      </w:r>
    </w:p>
  </w:footnote>
  <w:footnote w:id="70">
    <w:p w14:paraId="79130140" w14:textId="5DEC2156"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n-GB"/>
        </w:rPr>
        <w:t>Norwegian Ministry of Fisheries and Coastal Affairs.</w:t>
      </w:r>
      <w:r w:rsidR="0043044F" w:rsidRPr="000073B3">
        <w:rPr>
          <w:rFonts w:asciiTheme="minorHAnsi" w:hAnsiTheme="minorHAnsi" w:cstheme="minorHAnsi"/>
          <w:sz w:val="18"/>
          <w:szCs w:val="18"/>
          <w:lang w:val="en-GB"/>
        </w:rPr>
        <w:t xml:space="preserve"> </w:t>
      </w:r>
      <w:r w:rsidR="0043044F" w:rsidRPr="000073B3">
        <w:rPr>
          <w:rFonts w:asciiTheme="minorHAnsi" w:hAnsiTheme="minorHAnsi" w:cstheme="minorHAnsi"/>
          <w:sz w:val="18"/>
          <w:szCs w:val="18"/>
          <w:lang w:val="es-CL"/>
        </w:rPr>
        <w:t>(2007).</w:t>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 xml:space="preserve">Norwegian fisheries management. (2007). Disponible en: </w:t>
      </w:r>
      <w:hyperlink r:id="rId39" w:history="1">
        <w:r w:rsidRPr="000073B3">
          <w:rPr>
            <w:rStyle w:val="Hipervnculo"/>
            <w:rFonts w:asciiTheme="minorHAnsi" w:hAnsiTheme="minorHAnsi" w:cstheme="minorHAnsi"/>
            <w:sz w:val="18"/>
            <w:szCs w:val="18"/>
            <w:lang w:val="es-CL"/>
          </w:rPr>
          <w:t>http://bcn.cl/1saji</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71">
    <w:p w14:paraId="6923E64A" w14:textId="7A9602A1"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Ley disponible en: </w:t>
      </w:r>
      <w:hyperlink r:id="rId40" w:history="1">
        <w:r w:rsidRPr="000073B3">
          <w:rPr>
            <w:rStyle w:val="Hipervnculo"/>
            <w:rFonts w:asciiTheme="minorHAnsi" w:hAnsiTheme="minorHAnsi" w:cstheme="minorHAnsi"/>
            <w:sz w:val="18"/>
            <w:szCs w:val="18"/>
            <w:lang w:val="es-CL"/>
          </w:rPr>
          <w:t>http://bcn.cl/1057r</w:t>
        </w:r>
      </w:hyperlink>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72">
    <w:p w14:paraId="21469068" w14:textId="0D8DA1E8"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w:t>
      </w:r>
      <w:r w:rsidR="002F3D64" w:rsidRPr="000073B3">
        <w:rPr>
          <w:rFonts w:asciiTheme="minorHAnsi" w:hAnsiTheme="minorHAnsi" w:cstheme="minorHAnsi"/>
          <w:sz w:val="18"/>
          <w:szCs w:val="18"/>
          <w:lang w:val="en-US"/>
        </w:rPr>
        <w:t>Decree No. 994 of 2009 to amend the Decree relative to fishing in marine waters. D</w:t>
      </w:r>
      <w:r w:rsidRPr="000073B3">
        <w:rPr>
          <w:rFonts w:asciiTheme="minorHAnsi" w:hAnsiTheme="minorHAnsi" w:cstheme="minorHAnsi"/>
          <w:sz w:val="18"/>
          <w:szCs w:val="18"/>
          <w:lang w:val="en-US"/>
        </w:rPr>
        <w:t xml:space="preserve">isponible </w:t>
      </w:r>
      <w:r w:rsidRPr="000073B3">
        <w:rPr>
          <w:rFonts w:asciiTheme="minorHAnsi" w:hAnsiTheme="minorHAnsi" w:cstheme="minorHAnsi"/>
          <w:sz w:val="18"/>
          <w:szCs w:val="18"/>
          <w:lang w:val="en-US"/>
        </w:rPr>
        <w:t xml:space="preserve">en: </w:t>
      </w:r>
      <w:hyperlink r:id="rId41" w:history="1">
        <w:r w:rsidR="002F3D64" w:rsidRPr="000073B3">
          <w:rPr>
            <w:rStyle w:val="Hipervnculo"/>
            <w:rFonts w:asciiTheme="minorHAnsi" w:hAnsiTheme="minorHAnsi" w:cstheme="minorHAnsi"/>
            <w:sz w:val="18"/>
            <w:szCs w:val="18"/>
            <w:lang w:val="en-US"/>
          </w:rPr>
          <w:t>http://bcn.cl/3hsb9</w:t>
        </w:r>
      </w:hyperlink>
      <w:r w:rsidR="002F3D64"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lang w:val="en-US"/>
        </w:rPr>
        <w:t xml:space="preserve">  (</w:t>
      </w:r>
      <w:r w:rsidR="00F33671" w:rsidRPr="000073B3">
        <w:rPr>
          <w:rFonts w:asciiTheme="minorHAnsi" w:hAnsiTheme="minorHAnsi" w:cstheme="minorHAnsi"/>
          <w:sz w:val="18"/>
          <w:szCs w:val="18"/>
          <w:lang w:val="en-US"/>
        </w:rPr>
        <w:t>enero 2024</w:t>
      </w:r>
      <w:r w:rsidRPr="000073B3">
        <w:rPr>
          <w:rFonts w:asciiTheme="minorHAnsi" w:hAnsiTheme="minorHAnsi" w:cstheme="minorHAnsi"/>
          <w:sz w:val="18"/>
          <w:szCs w:val="18"/>
          <w:lang w:val="en-US"/>
        </w:rPr>
        <w:t>).</w:t>
      </w:r>
    </w:p>
  </w:footnote>
  <w:footnote w:id="73">
    <w:p w14:paraId="2B1EB25C" w14:textId="00DFF71C"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Op. cit. </w:t>
      </w:r>
      <w:r w:rsidR="0043044F" w:rsidRPr="000073B3">
        <w:rPr>
          <w:rFonts w:asciiTheme="minorHAnsi" w:hAnsiTheme="minorHAnsi" w:cstheme="minorHAnsi"/>
          <w:sz w:val="18"/>
          <w:szCs w:val="18"/>
          <w:lang w:val="en-GB"/>
        </w:rPr>
        <w:t xml:space="preserve">Norwegian Ministry of Fisheries and Coastal Affairs. </w:t>
      </w:r>
    </w:p>
  </w:footnote>
  <w:footnote w:id="74">
    <w:p w14:paraId="53AD3F53"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Ibídem.</w:t>
      </w:r>
    </w:p>
  </w:footnote>
  <w:footnote w:id="75">
    <w:p w14:paraId="38632D11" w14:textId="77777777"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El Parlamento Sami es una asamblea elegida democráticamente por la población sami (o también llamados lapones) de Noruega, con capacidad de decisión y de consulta obligatoria por los entes públicos en la toma de decisiones que puedan afectarles.</w:t>
      </w:r>
    </w:p>
  </w:footnote>
  <w:footnote w:id="76">
    <w:p w14:paraId="4FC4BDD1" w14:textId="41AABB0D"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w:t>
      </w:r>
      <w:r w:rsidRPr="000073B3">
        <w:rPr>
          <w:rFonts w:asciiTheme="minorHAnsi" w:hAnsiTheme="minorHAnsi" w:cstheme="minorHAnsi"/>
          <w:sz w:val="18"/>
          <w:szCs w:val="18"/>
          <w:lang w:val="en-US"/>
        </w:rPr>
        <w:t>Op. cit.</w:t>
      </w:r>
      <w:r w:rsidRPr="000073B3">
        <w:rPr>
          <w:rFonts w:asciiTheme="minorHAnsi" w:hAnsiTheme="minorHAnsi" w:cstheme="minorHAnsi"/>
          <w:sz w:val="18"/>
          <w:szCs w:val="18"/>
          <w:lang w:val="en-GB"/>
        </w:rPr>
        <w:t xml:space="preserve"> </w:t>
      </w:r>
      <w:r w:rsidR="0043044F" w:rsidRPr="000073B3">
        <w:rPr>
          <w:rFonts w:asciiTheme="minorHAnsi" w:hAnsiTheme="minorHAnsi" w:cstheme="minorHAnsi"/>
          <w:sz w:val="18"/>
          <w:szCs w:val="18"/>
          <w:lang w:val="en-GB"/>
        </w:rPr>
        <w:t xml:space="preserve">Norwegian Ministry of Fisheries and Coastal Affairs. </w:t>
      </w:r>
    </w:p>
  </w:footnote>
  <w:footnote w:id="77">
    <w:p w14:paraId="49B2D032" w14:textId="5BB6CB62"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008C13BA" w:rsidRPr="000073B3">
        <w:rPr>
          <w:rFonts w:asciiTheme="minorHAnsi" w:hAnsiTheme="minorHAnsi" w:cstheme="minorHAnsi"/>
          <w:sz w:val="18"/>
          <w:szCs w:val="18"/>
          <w:lang w:val="es-CL"/>
        </w:rPr>
        <w:t xml:space="preserve">Marine </w:t>
      </w:r>
      <w:r w:rsidR="008C13BA" w:rsidRPr="000073B3">
        <w:rPr>
          <w:rFonts w:asciiTheme="minorHAnsi" w:hAnsiTheme="minorHAnsi" w:cstheme="minorHAnsi"/>
          <w:sz w:val="18"/>
          <w:szCs w:val="18"/>
          <w:lang w:val="es-CL"/>
        </w:rPr>
        <w:t>Research Institute</w:t>
      </w:r>
      <w:r w:rsidRPr="000073B3">
        <w:rPr>
          <w:rFonts w:asciiTheme="minorHAnsi" w:hAnsiTheme="minorHAnsi" w:cstheme="minorHAnsi"/>
          <w:sz w:val="18"/>
          <w:szCs w:val="18"/>
          <w:lang w:val="es-CL"/>
        </w:rPr>
        <w:t xml:space="preserve">. Disponible en: </w:t>
      </w:r>
      <w:hyperlink r:id="rId42" w:history="1">
        <w:r w:rsidR="008C13BA" w:rsidRPr="000073B3">
          <w:rPr>
            <w:rStyle w:val="Hipervnculo"/>
            <w:rFonts w:asciiTheme="minorHAnsi" w:hAnsiTheme="minorHAnsi" w:cstheme="minorHAnsi"/>
            <w:sz w:val="18"/>
            <w:szCs w:val="18"/>
          </w:rPr>
          <w:t>http://bcn.cl/3hsbd</w:t>
        </w:r>
      </w:hyperlink>
      <w:r w:rsidR="008C13BA"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78">
    <w:p w14:paraId="6BE9DCC3" w14:textId="3A1AB811"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Desde el 1° de enero 2014, el Ministerio de Pesca y Asuntos Costeros se incorporó al nuevo Ministerio de Comercio, Industria y Pesca. Ministerio disponible en: </w:t>
      </w:r>
      <w:hyperlink r:id="rId43" w:history="1">
        <w:r w:rsidRPr="000073B3">
          <w:rPr>
            <w:rStyle w:val="Hipervnculo"/>
            <w:rFonts w:asciiTheme="minorHAnsi" w:hAnsiTheme="minorHAnsi" w:cstheme="minorHAnsi"/>
            <w:sz w:val="18"/>
            <w:szCs w:val="18"/>
          </w:rPr>
          <w:t>http://bcn.cl/1sdo6</w:t>
        </w:r>
      </w:hyperlink>
      <w:r w:rsidRPr="000073B3">
        <w:rPr>
          <w:rFonts w:asciiTheme="minorHAnsi" w:hAnsiTheme="minorHAnsi" w:cstheme="minorHAnsi"/>
          <w:sz w:val="18"/>
          <w:szCs w:val="18"/>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79">
    <w:p w14:paraId="05C71370" w14:textId="4F328AE7"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s-CL"/>
        </w:rPr>
        <w:t xml:space="preserve"> </w:t>
      </w:r>
      <w:r w:rsidRPr="000073B3">
        <w:rPr>
          <w:rFonts w:asciiTheme="minorHAnsi" w:hAnsiTheme="minorHAnsi" w:cstheme="minorHAnsi"/>
          <w:sz w:val="18"/>
          <w:szCs w:val="18"/>
          <w:lang w:val="es-CL"/>
        </w:rPr>
        <w:t xml:space="preserve">Op. cit. </w:t>
      </w:r>
      <w:r w:rsidR="0043044F" w:rsidRPr="000073B3">
        <w:rPr>
          <w:rFonts w:asciiTheme="minorHAnsi" w:hAnsiTheme="minorHAnsi" w:cstheme="minorHAnsi"/>
          <w:sz w:val="18"/>
          <w:szCs w:val="18"/>
          <w:lang w:val="en-GB"/>
        </w:rPr>
        <w:t xml:space="preserve">Norwegian Ministry of Fisheries and Coastal Affairs. </w:t>
      </w:r>
    </w:p>
  </w:footnote>
  <w:footnote w:id="80">
    <w:p w14:paraId="4141670F" w14:textId="5B4DFD98"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Fisheries.no. The regulatory chain. </w:t>
      </w:r>
      <w:r w:rsidRPr="000073B3">
        <w:rPr>
          <w:rFonts w:asciiTheme="minorHAnsi" w:hAnsiTheme="minorHAnsi" w:cstheme="minorHAnsi"/>
          <w:sz w:val="18"/>
          <w:szCs w:val="18"/>
          <w:lang w:val="es-CL"/>
        </w:rPr>
        <w:t xml:space="preserve">Disponible en: </w:t>
      </w:r>
      <w:r w:rsidR="008110A4" w:rsidRPr="000073B3">
        <w:rPr>
          <w:rStyle w:val="Hipervnculo"/>
          <w:rFonts w:asciiTheme="minorHAnsi" w:hAnsiTheme="minorHAnsi" w:cstheme="minorHAnsi"/>
          <w:sz w:val="18"/>
          <w:szCs w:val="18"/>
          <w:lang w:val="es-CL"/>
        </w:rPr>
        <w:t>http://bcn.cl/1saji</w:t>
      </w:r>
      <w:r w:rsidRPr="000073B3">
        <w:rPr>
          <w:rFonts w:asciiTheme="minorHAnsi" w:hAnsiTheme="minorHAnsi" w:cstheme="minorHAnsi"/>
          <w:sz w:val="18"/>
          <w:szCs w:val="18"/>
          <w:lang w:val="es-CL"/>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es-CL"/>
        </w:rPr>
        <w:t>).</w:t>
      </w:r>
    </w:p>
  </w:footnote>
  <w:footnote w:id="81">
    <w:p w14:paraId="051B8D35" w14:textId="4C54E04C" w:rsidR="009F2E8E" w:rsidRPr="000073B3" w:rsidRDefault="009F2E8E" w:rsidP="000073B3">
      <w:pPr>
        <w:spacing w:after="0" w:line="240" w:lineRule="auto"/>
        <w:rPr>
          <w:rFonts w:asciiTheme="minorHAnsi" w:hAnsiTheme="minorHAnsi" w:cstheme="minorHAnsi"/>
          <w:sz w:val="18"/>
          <w:szCs w:val="18"/>
          <w:lang w:val="fr-FR"/>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GB"/>
        </w:rPr>
        <w:t xml:space="preserve"> </w:t>
      </w:r>
      <w:r w:rsidRPr="000073B3">
        <w:rPr>
          <w:rFonts w:asciiTheme="minorHAnsi" w:hAnsiTheme="minorHAnsi" w:cstheme="minorHAnsi"/>
          <w:sz w:val="18"/>
          <w:szCs w:val="18"/>
          <w:lang w:val="en-US"/>
        </w:rPr>
        <w:t xml:space="preserve">Standal, D., Aarset, B. </w:t>
      </w:r>
      <w:r w:rsidR="0043044F" w:rsidRPr="000073B3">
        <w:rPr>
          <w:rFonts w:asciiTheme="minorHAnsi" w:hAnsiTheme="minorHAnsi" w:cstheme="minorHAnsi"/>
          <w:sz w:val="18"/>
          <w:szCs w:val="18"/>
          <w:lang w:val="en-US"/>
        </w:rPr>
        <w:t xml:space="preserve">(2008). </w:t>
      </w:r>
      <w:r w:rsidRPr="000073B3">
        <w:rPr>
          <w:rFonts w:asciiTheme="minorHAnsi" w:hAnsiTheme="minorHAnsi" w:cstheme="minorHAnsi"/>
          <w:sz w:val="18"/>
          <w:szCs w:val="18"/>
          <w:lang w:val="en-US"/>
        </w:rPr>
        <w:t xml:space="preserve">The IVQ regime in Norway: A stable alternative to an ITQ </w:t>
      </w:r>
      <w:r w:rsidRPr="000073B3">
        <w:rPr>
          <w:rFonts w:asciiTheme="minorHAnsi" w:hAnsiTheme="minorHAnsi" w:cstheme="minorHAnsi"/>
          <w:sz w:val="18"/>
          <w:szCs w:val="18"/>
          <w:lang w:val="en-US"/>
        </w:rPr>
        <w:t xml:space="preserve">regime?. </w:t>
      </w:r>
      <w:r w:rsidRPr="000073B3">
        <w:rPr>
          <w:rFonts w:asciiTheme="minorHAnsi" w:hAnsiTheme="minorHAnsi" w:cstheme="minorHAnsi"/>
          <w:sz w:val="18"/>
          <w:szCs w:val="18"/>
          <w:lang w:val="es-CL"/>
        </w:rPr>
        <w:t xml:space="preserve">Marine </w:t>
      </w:r>
      <w:r w:rsidRPr="000073B3">
        <w:rPr>
          <w:rFonts w:asciiTheme="minorHAnsi" w:hAnsiTheme="minorHAnsi" w:cstheme="minorHAnsi"/>
          <w:sz w:val="18"/>
          <w:szCs w:val="18"/>
          <w:lang w:val="es-CL"/>
        </w:rPr>
        <w:t xml:space="preserve">Policy Journal. </w:t>
      </w:r>
      <w:r w:rsidRPr="000073B3">
        <w:rPr>
          <w:rFonts w:asciiTheme="minorHAnsi" w:hAnsiTheme="minorHAnsi" w:cstheme="minorHAnsi"/>
          <w:sz w:val="18"/>
          <w:szCs w:val="18"/>
          <w:lang w:val="fr-FR"/>
        </w:rPr>
        <w:t xml:space="preserve">Vol. 32, Issue 4. Disponible en: </w:t>
      </w:r>
      <w:hyperlink r:id="rId44" w:history="1">
        <w:r w:rsidRPr="000073B3">
          <w:rPr>
            <w:rStyle w:val="Hipervnculo"/>
            <w:rFonts w:asciiTheme="minorHAnsi" w:hAnsiTheme="minorHAnsi" w:cstheme="minorHAnsi"/>
            <w:sz w:val="18"/>
            <w:szCs w:val="18"/>
            <w:lang w:val="fr-FR"/>
          </w:rPr>
          <w:t>http://bcn.cl/1sak5</w:t>
        </w:r>
      </w:hyperlink>
      <w:r w:rsidRPr="000073B3">
        <w:rPr>
          <w:rFonts w:asciiTheme="minorHAnsi" w:hAnsiTheme="minorHAnsi" w:cstheme="minorHAnsi"/>
          <w:sz w:val="18"/>
          <w:szCs w:val="18"/>
          <w:lang w:val="fr-FR"/>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lang w:val="fr-FR"/>
        </w:rPr>
        <w:t>).</w:t>
      </w:r>
    </w:p>
  </w:footnote>
  <w:footnote w:id="82">
    <w:p w14:paraId="0D04ED2B" w14:textId="42ADC595"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Ley 3/2001, de 26 de marzo, de Pesca Marítima del Estado</w:t>
      </w:r>
      <w:r w:rsidR="0043044F" w:rsidRPr="000073B3">
        <w:rPr>
          <w:rFonts w:asciiTheme="minorHAnsi" w:hAnsiTheme="minorHAnsi" w:cstheme="minorHAnsi"/>
          <w:sz w:val="18"/>
          <w:szCs w:val="18"/>
        </w:rPr>
        <w:t>,</w:t>
      </w:r>
      <w:r w:rsidRPr="000073B3">
        <w:rPr>
          <w:rFonts w:asciiTheme="minorHAnsi" w:hAnsiTheme="minorHAnsi" w:cstheme="minorHAnsi"/>
          <w:sz w:val="18"/>
          <w:szCs w:val="18"/>
        </w:rPr>
        <w:t xml:space="preserve"> de 28/03/2001. Disponible en: </w:t>
      </w:r>
      <w:hyperlink r:id="rId45" w:history="1">
        <w:r w:rsidRPr="000073B3">
          <w:rPr>
            <w:rStyle w:val="Hipervnculo"/>
            <w:rFonts w:asciiTheme="minorHAnsi" w:hAnsiTheme="minorHAnsi" w:cstheme="minorHAnsi"/>
            <w:sz w:val="18"/>
            <w:szCs w:val="18"/>
          </w:rPr>
          <w:t>http://bcn.cl/1r9c0</w:t>
        </w:r>
      </w:hyperlink>
      <w:r w:rsidRPr="000073B3">
        <w:rPr>
          <w:rFonts w:asciiTheme="minorHAnsi" w:hAnsiTheme="minorHAnsi" w:cstheme="minorHAnsi"/>
          <w:sz w:val="18"/>
          <w:szCs w:val="18"/>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83">
    <w:p w14:paraId="110B45F8" w14:textId="7777777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w:t>
      </w:r>
      <w:r w:rsidRPr="000073B3">
        <w:rPr>
          <w:rFonts w:asciiTheme="minorHAnsi" w:hAnsiTheme="minorHAnsi" w:cstheme="minorHAnsi"/>
          <w:sz w:val="18"/>
          <w:szCs w:val="18"/>
          <w:lang w:val="es-CL"/>
        </w:rPr>
        <w:t xml:space="preserve">Actualmente </w:t>
      </w:r>
      <w:r w:rsidRPr="000073B3">
        <w:rPr>
          <w:rFonts w:asciiTheme="minorHAnsi" w:hAnsiTheme="minorHAnsi" w:cstheme="minorHAnsi"/>
          <w:sz w:val="18"/>
          <w:szCs w:val="18"/>
        </w:rPr>
        <w:t>Ministerio de Agricultura, Alimentación y Medio Ambiente</w:t>
      </w:r>
    </w:p>
  </w:footnote>
  <w:footnote w:id="84">
    <w:p w14:paraId="7887E92C" w14:textId="23FAA267" w:rsidR="009F2E8E" w:rsidRPr="000073B3" w:rsidRDefault="009F2E8E" w:rsidP="000073B3">
      <w:pPr>
        <w:spacing w:after="0" w:line="240" w:lineRule="auto"/>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w:t>
      </w:r>
      <w:r w:rsidRPr="000073B3">
        <w:rPr>
          <w:rFonts w:asciiTheme="minorHAnsi" w:hAnsiTheme="minorHAnsi" w:cstheme="minorHAnsi"/>
          <w:sz w:val="18"/>
          <w:szCs w:val="18"/>
        </w:rPr>
        <w:t xml:space="preserve">Op. cit. Ley 3/2001, de 26 de marzo, de Pesca Marítima del Estado. </w:t>
      </w:r>
    </w:p>
  </w:footnote>
  <w:footnote w:id="85">
    <w:p w14:paraId="11093207" w14:textId="4CFE5EFE"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Bengoa, C. </w:t>
      </w:r>
      <w:r w:rsidR="0043044F" w:rsidRPr="000073B3">
        <w:rPr>
          <w:rFonts w:asciiTheme="minorHAnsi" w:hAnsiTheme="minorHAnsi" w:cstheme="minorHAnsi"/>
          <w:sz w:val="18"/>
          <w:szCs w:val="18"/>
        </w:rPr>
        <w:t>(</w:t>
      </w:r>
      <w:r w:rsidRPr="000073B3">
        <w:rPr>
          <w:rFonts w:asciiTheme="minorHAnsi" w:hAnsiTheme="minorHAnsi" w:cstheme="minorHAnsi"/>
          <w:sz w:val="18"/>
          <w:szCs w:val="18"/>
        </w:rPr>
        <w:t>2017</w:t>
      </w:r>
      <w:r w:rsidR="0043044F" w:rsidRPr="000073B3">
        <w:rPr>
          <w:rFonts w:asciiTheme="minorHAnsi" w:hAnsiTheme="minorHAnsi" w:cstheme="minorHAnsi"/>
          <w:sz w:val="18"/>
          <w:szCs w:val="18"/>
        </w:rPr>
        <w:t>)</w:t>
      </w:r>
      <w:r w:rsidRPr="000073B3">
        <w:rPr>
          <w:rFonts w:asciiTheme="minorHAnsi" w:hAnsiTheme="minorHAnsi" w:cstheme="minorHAnsi"/>
          <w:sz w:val="18"/>
          <w:szCs w:val="18"/>
        </w:rPr>
        <w:t xml:space="preserve">. </w:t>
      </w:r>
      <w:r w:rsidR="0043044F" w:rsidRPr="000073B3">
        <w:rPr>
          <w:rFonts w:asciiTheme="minorHAnsi" w:hAnsiTheme="minorHAnsi" w:cstheme="minorHAnsi"/>
          <w:sz w:val="18"/>
          <w:szCs w:val="18"/>
        </w:rPr>
        <w:t xml:space="preserve">Historia y balance: ¿Cómo se ha manejado la pesca de anchoveta en el </w:t>
      </w:r>
      <w:r w:rsidR="0043044F" w:rsidRPr="000073B3">
        <w:rPr>
          <w:rFonts w:asciiTheme="minorHAnsi" w:hAnsiTheme="minorHAnsi" w:cstheme="minorHAnsi"/>
          <w:sz w:val="18"/>
          <w:szCs w:val="18"/>
        </w:rPr>
        <w:t xml:space="preserve">Perú?. </w:t>
      </w:r>
      <w:r w:rsidRPr="000073B3">
        <w:rPr>
          <w:rFonts w:asciiTheme="minorHAnsi" w:hAnsiTheme="minorHAnsi" w:cstheme="minorHAnsi"/>
          <w:sz w:val="18"/>
          <w:szCs w:val="18"/>
        </w:rPr>
        <w:t xml:space="preserve">Sociedad Peruana de Derecho Ambiental (SPDA). Disponible en: </w:t>
      </w:r>
      <w:hyperlink r:id="rId46" w:history="1">
        <w:r w:rsidR="00A722FF" w:rsidRPr="000073B3">
          <w:rPr>
            <w:rStyle w:val="Hipervnculo"/>
            <w:rFonts w:asciiTheme="minorHAnsi" w:hAnsiTheme="minorHAnsi" w:cstheme="minorHAnsi"/>
            <w:sz w:val="18"/>
            <w:szCs w:val="18"/>
          </w:rPr>
          <w:t>http://bcn.cl/2bcnm</w:t>
        </w:r>
      </w:hyperlink>
      <w:r w:rsidR="00A722FF" w:rsidRPr="000073B3">
        <w:rPr>
          <w:rFonts w:asciiTheme="minorHAnsi" w:hAnsiTheme="minorHAnsi" w:cstheme="minorHAnsi"/>
          <w:sz w:val="18"/>
          <w:szCs w:val="18"/>
        </w:rPr>
        <w:t xml:space="preserve"> </w:t>
      </w:r>
      <w:r w:rsidRPr="000073B3">
        <w:rPr>
          <w:rFonts w:asciiTheme="minorHAnsi" w:hAnsiTheme="minorHAnsi" w:cstheme="minorHAnsi"/>
          <w:sz w:val="18"/>
          <w:szCs w:val="18"/>
        </w:rPr>
        <w:t xml:space="preserve">( </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86">
    <w:p w14:paraId="28D0DF88" w14:textId="23D0AE8E"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Salvo para casos de sustitución</w:t>
      </w:r>
      <w:r w:rsidR="0043044F" w:rsidRPr="000073B3">
        <w:rPr>
          <w:rFonts w:asciiTheme="minorHAnsi" w:hAnsiTheme="minorHAnsi" w:cstheme="minorHAnsi"/>
          <w:sz w:val="18"/>
          <w:szCs w:val="18"/>
        </w:rPr>
        <w:t>.</w:t>
      </w:r>
    </w:p>
  </w:footnote>
  <w:footnote w:id="87">
    <w:p w14:paraId="701C2597" w14:textId="48B71049" w:rsidR="009F2E8E" w:rsidRPr="000073B3" w:rsidRDefault="009F2E8E" w:rsidP="000073B3">
      <w:pPr>
        <w:spacing w:after="0" w:line="240" w:lineRule="auto"/>
        <w:rPr>
          <w:rFonts w:asciiTheme="minorHAnsi" w:hAnsiTheme="minorHAnsi" w:cstheme="minorHAnsi"/>
          <w:sz w:val="18"/>
          <w:szCs w:val="18"/>
          <w:lang w:val="en-US"/>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Op. Cit Bengoa.</w:t>
      </w:r>
    </w:p>
  </w:footnote>
  <w:footnote w:id="88">
    <w:p w14:paraId="02DB131C" w14:textId="6DF0E89E"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lang w:val="en-US"/>
        </w:rPr>
        <w:t xml:space="preserve"> Heck C. </w:t>
      </w:r>
      <w:r w:rsidR="0043044F" w:rsidRPr="000073B3">
        <w:rPr>
          <w:rFonts w:asciiTheme="minorHAnsi" w:hAnsiTheme="minorHAnsi" w:cstheme="minorHAnsi"/>
          <w:sz w:val="18"/>
          <w:szCs w:val="18"/>
          <w:lang w:val="en-US"/>
        </w:rPr>
        <w:t>(</w:t>
      </w:r>
      <w:r w:rsidRPr="000073B3">
        <w:rPr>
          <w:rFonts w:asciiTheme="minorHAnsi" w:hAnsiTheme="minorHAnsi" w:cstheme="minorHAnsi"/>
          <w:sz w:val="18"/>
          <w:szCs w:val="18"/>
          <w:lang w:val="en-US"/>
        </w:rPr>
        <w:t>2015</w:t>
      </w:r>
      <w:r w:rsidR="0043044F" w:rsidRPr="000073B3">
        <w:rPr>
          <w:rFonts w:asciiTheme="minorHAnsi" w:hAnsiTheme="minorHAnsi" w:cstheme="minorHAnsi"/>
          <w:sz w:val="18"/>
          <w:szCs w:val="18"/>
          <w:lang w:val="en-US"/>
        </w:rPr>
        <w:t>)</w:t>
      </w:r>
      <w:r w:rsidRPr="000073B3">
        <w:rPr>
          <w:rFonts w:asciiTheme="minorHAnsi" w:hAnsiTheme="minorHAnsi" w:cstheme="minorHAnsi"/>
          <w:sz w:val="18"/>
          <w:szCs w:val="18"/>
          <w:lang w:val="en-US"/>
        </w:rPr>
        <w:t xml:space="preserve">. </w:t>
      </w:r>
      <w:r w:rsidRPr="000073B3">
        <w:rPr>
          <w:rFonts w:asciiTheme="minorHAnsi" w:hAnsiTheme="minorHAnsi" w:cstheme="minorHAnsi"/>
          <w:sz w:val="18"/>
          <w:szCs w:val="18"/>
        </w:rPr>
        <w:t xml:space="preserve">Hacia un manejo ecosistémico de la pesquería peruana de anchoveta. Análisis del marco legal y administrativo para reformar el manejo de la pesquería peruana de anchoveta. Sociedad Peruana de Derecho. Ambiental. Disponible en: </w:t>
      </w:r>
      <w:hyperlink r:id="rId47" w:history="1">
        <w:r w:rsidR="00A722FF" w:rsidRPr="000073B3">
          <w:rPr>
            <w:rStyle w:val="Hipervnculo"/>
            <w:rFonts w:asciiTheme="minorHAnsi" w:hAnsiTheme="minorHAnsi" w:cstheme="minorHAnsi"/>
            <w:sz w:val="18"/>
            <w:szCs w:val="18"/>
          </w:rPr>
          <w:t>http://bcn.cl/2bcnp</w:t>
        </w:r>
      </w:hyperlink>
      <w:r w:rsidR="00A722FF" w:rsidRPr="000073B3">
        <w:rPr>
          <w:rFonts w:asciiTheme="minorHAnsi" w:hAnsiTheme="minorHAnsi" w:cstheme="minorHAnsi"/>
          <w:sz w:val="18"/>
          <w:szCs w:val="18"/>
        </w:rPr>
        <w:t xml:space="preserve"> </w:t>
      </w:r>
      <w:r w:rsidRPr="000073B3">
        <w:rPr>
          <w:rFonts w:asciiTheme="minorHAnsi" w:hAnsiTheme="minorHAnsi" w:cstheme="minorHAnsi"/>
          <w:sz w:val="18"/>
          <w:szCs w:val="18"/>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89">
    <w:p w14:paraId="2978D963" w14:textId="2B00CFD2" w:rsidR="009F2E8E" w:rsidRPr="000073B3" w:rsidRDefault="009F2E8E">
      <w:pPr>
        <w:pStyle w:val="Textonotapie"/>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Aquije, H. y Ortiz, L. (2017). Relación de la pesca industrial de anchoveta con la pesca artesanal: evidencia del caso peruano (Tesis de licenciatura en Economía). Universidad de Piura. Facultad de Ciencias Económicas y Empresariales. Programa Académico de Economía. Lima, Perú. Disponible en: </w:t>
      </w:r>
      <w:hyperlink r:id="rId48" w:history="1">
        <w:r w:rsidR="00A722FF" w:rsidRPr="000073B3">
          <w:rPr>
            <w:rStyle w:val="Hipervnculo"/>
            <w:rFonts w:asciiTheme="minorHAnsi" w:hAnsiTheme="minorHAnsi" w:cstheme="minorHAnsi"/>
            <w:sz w:val="18"/>
            <w:szCs w:val="18"/>
          </w:rPr>
          <w:t>http://bcn.cl/2bcnu</w:t>
        </w:r>
      </w:hyperlink>
      <w:r w:rsidR="00A722FF" w:rsidRPr="000073B3">
        <w:rPr>
          <w:rFonts w:asciiTheme="minorHAnsi" w:hAnsiTheme="minorHAnsi" w:cstheme="minorHAnsi"/>
          <w:sz w:val="18"/>
          <w:szCs w:val="18"/>
        </w:rPr>
        <w:t xml:space="preserve"> </w:t>
      </w:r>
      <w:r w:rsidRPr="000073B3">
        <w:rPr>
          <w:rFonts w:asciiTheme="minorHAnsi" w:hAnsiTheme="minorHAnsi" w:cstheme="minorHAnsi"/>
          <w:sz w:val="18"/>
          <w:szCs w:val="18"/>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90">
    <w:p w14:paraId="3D6031A0" w14:textId="1F1A27B3"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LMCE. Disponible en: </w:t>
      </w:r>
      <w:hyperlink r:id="rId49" w:history="1">
        <w:r w:rsidR="00A722FF" w:rsidRPr="000073B3">
          <w:rPr>
            <w:rStyle w:val="Hipervnculo"/>
            <w:rFonts w:asciiTheme="minorHAnsi" w:hAnsiTheme="minorHAnsi" w:cstheme="minorHAnsi"/>
            <w:sz w:val="18"/>
            <w:szCs w:val="18"/>
          </w:rPr>
          <w:t>http://bcn.cl/2bco2</w:t>
        </w:r>
      </w:hyperlink>
      <w:r w:rsidR="00A722FF" w:rsidRPr="000073B3">
        <w:rPr>
          <w:rFonts w:asciiTheme="minorHAnsi" w:hAnsiTheme="minorHAnsi" w:cstheme="minorHAnsi"/>
          <w:sz w:val="18"/>
          <w:szCs w:val="18"/>
        </w:rPr>
        <w:t xml:space="preserve"> </w:t>
      </w:r>
      <w:r w:rsidRPr="000073B3">
        <w:rPr>
          <w:rFonts w:asciiTheme="minorHAnsi" w:hAnsiTheme="minorHAnsi" w:cstheme="minorHAnsi"/>
          <w:sz w:val="18"/>
          <w:szCs w:val="18"/>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91">
    <w:p w14:paraId="2E5CA59C" w14:textId="2A62CBA6" w:rsidR="009F2E8E" w:rsidRPr="000073B3" w:rsidRDefault="009F2E8E">
      <w:pPr>
        <w:pStyle w:val="Textonotapie"/>
        <w:rPr>
          <w:rFonts w:asciiTheme="minorHAnsi" w:hAnsiTheme="minorHAnsi" w:cstheme="minorHAnsi"/>
          <w:sz w:val="18"/>
          <w:szCs w:val="18"/>
          <w:lang w:val="es-CL"/>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w:t>
      </w:r>
      <w:r w:rsidRPr="000073B3">
        <w:rPr>
          <w:rFonts w:asciiTheme="minorHAnsi" w:hAnsiTheme="minorHAnsi" w:cstheme="minorHAnsi"/>
          <w:sz w:val="18"/>
          <w:szCs w:val="18"/>
        </w:rPr>
        <w:t xml:space="preserve">Giudice A. </w:t>
      </w:r>
      <w:r w:rsidR="0043044F" w:rsidRPr="000073B3">
        <w:rPr>
          <w:rFonts w:asciiTheme="minorHAnsi" w:hAnsiTheme="minorHAnsi" w:cstheme="minorHAnsi"/>
          <w:sz w:val="18"/>
          <w:szCs w:val="18"/>
        </w:rPr>
        <w:t>(</w:t>
      </w:r>
      <w:r w:rsidRPr="000073B3">
        <w:rPr>
          <w:rFonts w:asciiTheme="minorHAnsi" w:hAnsiTheme="minorHAnsi" w:cstheme="minorHAnsi"/>
          <w:sz w:val="18"/>
          <w:szCs w:val="18"/>
        </w:rPr>
        <w:t>2018</w:t>
      </w:r>
      <w:r w:rsidR="0043044F" w:rsidRPr="000073B3">
        <w:rPr>
          <w:rFonts w:asciiTheme="minorHAnsi" w:hAnsiTheme="minorHAnsi" w:cstheme="minorHAnsi"/>
          <w:sz w:val="18"/>
          <w:szCs w:val="18"/>
        </w:rPr>
        <w:t>)</w:t>
      </w:r>
      <w:r w:rsidRPr="000073B3">
        <w:rPr>
          <w:rFonts w:asciiTheme="minorHAnsi" w:hAnsiTheme="minorHAnsi" w:cstheme="minorHAnsi"/>
          <w:sz w:val="18"/>
          <w:szCs w:val="18"/>
        </w:rPr>
        <w:t xml:space="preserve">. Sistema de </w:t>
      </w:r>
      <w:r w:rsidR="0043044F" w:rsidRPr="000073B3">
        <w:rPr>
          <w:rFonts w:asciiTheme="minorHAnsi" w:hAnsiTheme="minorHAnsi" w:cstheme="minorHAnsi"/>
          <w:sz w:val="18"/>
          <w:szCs w:val="18"/>
        </w:rPr>
        <w:t xml:space="preserve">cuotas </w:t>
      </w:r>
      <w:r w:rsidRPr="000073B3">
        <w:rPr>
          <w:rFonts w:asciiTheme="minorHAnsi" w:hAnsiTheme="minorHAnsi" w:cstheme="minorHAnsi"/>
          <w:sz w:val="18"/>
          <w:szCs w:val="18"/>
        </w:rPr>
        <w:t xml:space="preserve">asignadas a embarcaciones para el manejo de la pesquería peruana de la anchoveta en un ecosistema de enorme variabilidad. Disponible en: </w:t>
      </w:r>
      <w:hyperlink r:id="rId50" w:history="1">
        <w:r w:rsidR="00A722FF" w:rsidRPr="000073B3">
          <w:rPr>
            <w:rStyle w:val="Hipervnculo"/>
            <w:rFonts w:asciiTheme="minorHAnsi" w:hAnsiTheme="minorHAnsi" w:cstheme="minorHAnsi"/>
            <w:sz w:val="18"/>
            <w:szCs w:val="18"/>
          </w:rPr>
          <w:t>http://bcn.cl/2bco5</w:t>
        </w:r>
      </w:hyperlink>
      <w:r w:rsidR="00A722FF" w:rsidRPr="000073B3">
        <w:rPr>
          <w:rFonts w:asciiTheme="minorHAnsi" w:hAnsiTheme="minorHAnsi" w:cstheme="minorHAnsi"/>
          <w:sz w:val="18"/>
          <w:szCs w:val="18"/>
        </w:rPr>
        <w:t xml:space="preserve"> </w:t>
      </w:r>
      <w:r w:rsidRPr="000073B3">
        <w:rPr>
          <w:rFonts w:asciiTheme="minorHAnsi" w:hAnsiTheme="minorHAnsi" w:cstheme="minorHAnsi"/>
          <w:sz w:val="18"/>
          <w:szCs w:val="18"/>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92">
    <w:p w14:paraId="334A2D63" w14:textId="77777777"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El PMCE está vinculado desde su creación a una embarcación pesquera y su permiso de pesca.</w:t>
      </w:r>
    </w:p>
  </w:footnote>
  <w:footnote w:id="93">
    <w:p w14:paraId="3FBBEF07" w14:textId="3A94977D"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w:t>
      </w:r>
      <w:r w:rsidR="0043044F" w:rsidRPr="000073B3">
        <w:rPr>
          <w:rFonts w:asciiTheme="minorHAnsi" w:hAnsiTheme="minorHAnsi" w:cstheme="minorHAnsi"/>
          <w:sz w:val="18"/>
          <w:szCs w:val="18"/>
        </w:rPr>
        <w:t xml:space="preserve">Documento de Trabajo </w:t>
      </w:r>
      <w:r w:rsidRPr="000073B3">
        <w:rPr>
          <w:rFonts w:asciiTheme="minorHAnsi" w:hAnsiTheme="minorHAnsi" w:cstheme="minorHAnsi"/>
          <w:sz w:val="18"/>
          <w:szCs w:val="18"/>
        </w:rPr>
        <w:t xml:space="preserve">N° 001-2016-DECHI. Las cuotas individuales transferibles en la pesquería Stock Norte – </w:t>
      </w:r>
      <w:r w:rsidRPr="000073B3">
        <w:rPr>
          <w:rFonts w:asciiTheme="minorHAnsi" w:hAnsiTheme="minorHAnsi" w:cstheme="minorHAnsi"/>
          <w:sz w:val="18"/>
          <w:szCs w:val="18"/>
        </w:rPr>
        <w:t xml:space="preserve">Centro  de anchoveta peruana (Engraulis ringens). Disponible en: </w:t>
      </w:r>
      <w:hyperlink r:id="rId51" w:history="1">
        <w:r w:rsidR="00A722FF" w:rsidRPr="000073B3">
          <w:rPr>
            <w:rStyle w:val="Hipervnculo"/>
            <w:rFonts w:asciiTheme="minorHAnsi" w:hAnsiTheme="minorHAnsi" w:cstheme="minorHAnsi"/>
            <w:sz w:val="18"/>
            <w:szCs w:val="18"/>
          </w:rPr>
          <w:t>http://bcn.cl/2bco8</w:t>
        </w:r>
      </w:hyperlink>
      <w:r w:rsidR="00A722FF" w:rsidRPr="000073B3">
        <w:rPr>
          <w:rFonts w:asciiTheme="minorHAnsi" w:hAnsiTheme="minorHAnsi" w:cstheme="minorHAnsi"/>
          <w:sz w:val="18"/>
          <w:szCs w:val="18"/>
        </w:rPr>
        <w:t xml:space="preserve"> </w:t>
      </w:r>
      <w:r w:rsidRPr="000073B3">
        <w:rPr>
          <w:rFonts w:asciiTheme="minorHAnsi" w:hAnsiTheme="minorHAnsi" w:cstheme="minorHAnsi"/>
          <w:sz w:val="18"/>
          <w:szCs w:val="18"/>
        </w:rPr>
        <w:t>(</w:t>
      </w:r>
      <w:r w:rsidR="00F33671" w:rsidRPr="000073B3">
        <w:rPr>
          <w:rFonts w:asciiTheme="minorHAnsi" w:hAnsiTheme="minorHAnsi" w:cstheme="minorHAnsi"/>
          <w:sz w:val="18"/>
          <w:szCs w:val="18"/>
        </w:rPr>
        <w:t>enero 2024</w:t>
      </w:r>
      <w:r w:rsidRPr="000073B3">
        <w:rPr>
          <w:rFonts w:asciiTheme="minorHAnsi" w:hAnsiTheme="minorHAnsi" w:cstheme="minorHAnsi"/>
          <w:sz w:val="18"/>
          <w:szCs w:val="18"/>
        </w:rPr>
        <w:t>)</w:t>
      </w:r>
    </w:p>
  </w:footnote>
  <w:footnote w:id="94">
    <w:p w14:paraId="27CDC4FF" w14:textId="77777777" w:rsidR="009F2E8E" w:rsidRPr="000073B3" w:rsidRDefault="009F2E8E" w:rsidP="000073B3">
      <w:pPr>
        <w:spacing w:after="0" w:line="240" w:lineRule="auto"/>
        <w:rPr>
          <w:rFonts w:asciiTheme="minorHAnsi" w:hAnsiTheme="minorHAnsi" w:cstheme="minorHAnsi"/>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w:t>
      </w:r>
      <w:r w:rsidRPr="000073B3">
        <w:rPr>
          <w:rFonts w:asciiTheme="minorHAnsi" w:hAnsiTheme="minorHAnsi" w:cstheme="minorHAnsi"/>
          <w:sz w:val="18"/>
          <w:szCs w:val="18"/>
        </w:rPr>
        <w:t>Ibídem</w:t>
      </w:r>
    </w:p>
  </w:footnote>
  <w:footnote w:id="95">
    <w:p w14:paraId="1C0B423B" w14:textId="174AFF44" w:rsidR="009F2E8E" w:rsidRPr="004D3563" w:rsidRDefault="009F2E8E" w:rsidP="000073B3">
      <w:pPr>
        <w:spacing w:after="0" w:line="240" w:lineRule="auto"/>
        <w:rPr>
          <w:sz w:val="18"/>
          <w:szCs w:val="18"/>
        </w:rPr>
      </w:pPr>
      <w:r w:rsidRPr="000073B3">
        <w:rPr>
          <w:rStyle w:val="Refdenotaalpie"/>
          <w:rFonts w:asciiTheme="minorHAnsi" w:hAnsiTheme="minorHAnsi" w:cstheme="minorHAnsi"/>
          <w:sz w:val="18"/>
          <w:szCs w:val="18"/>
        </w:rPr>
        <w:footnoteRef/>
      </w:r>
      <w:r w:rsidRPr="000073B3">
        <w:rPr>
          <w:rFonts w:asciiTheme="minorHAnsi" w:hAnsiTheme="minorHAnsi" w:cstheme="minorHAnsi"/>
          <w:sz w:val="18"/>
          <w:szCs w:val="18"/>
        </w:rPr>
        <w:t xml:space="preserve"> </w:t>
      </w:r>
      <w:r w:rsidRPr="000073B3">
        <w:rPr>
          <w:rFonts w:asciiTheme="minorHAnsi" w:hAnsiTheme="minorHAnsi" w:cstheme="minorHAnsi"/>
          <w:sz w:val="18"/>
          <w:szCs w:val="18"/>
        </w:rPr>
        <w:t>Op. Cit Bengoa.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AF4F" w14:textId="77777777" w:rsidR="009F2E8E" w:rsidRDefault="009F2E8E">
    <w:pPr>
      <w:pStyle w:val="Encabezado"/>
      <w:jc w:val="center"/>
      <w:rPr>
        <w:color w:val="C00000"/>
        <w:sz w:val="18"/>
      </w:rPr>
    </w:pPr>
    <w:r>
      <w:rPr>
        <w:noProof/>
        <w:lang w:val="es-CL" w:eastAsia="es-CL"/>
      </w:rPr>
      <mc:AlternateContent>
        <mc:Choice Requires="wps">
          <w:drawing>
            <wp:anchor distT="0" distB="0" distL="115200" distR="115200" simplePos="0" relativeHeight="251943936" behindDoc="1" locked="0" layoutInCell="1" allowOverlap="1" wp14:anchorId="09309DAE" wp14:editId="291DCC64">
              <wp:simplePos x="0" y="0"/>
              <wp:positionH relativeFrom="column">
                <wp:posOffset>-694341</wp:posOffset>
              </wp:positionH>
              <wp:positionV relativeFrom="paragraph">
                <wp:posOffset>-23481</wp:posOffset>
              </wp:positionV>
              <wp:extent cx="7789644" cy="115614"/>
              <wp:effectExtent l="6345" t="6345" r="6345" b="6345"/>
              <wp:wrapNone/>
              <wp:docPr id="1" name="Rectángulo 1"/>
              <wp:cNvGraphicFramePr/>
              <a:graphic xmlns:a="http://schemas.openxmlformats.org/drawingml/2006/main">
                <a:graphicData uri="http://schemas.microsoft.com/office/word/2010/wordprocessingShape">
                  <wps:wsp>
                    <wps:cNvSpPr/>
                    <wps:spPr bwMode="auto">
                      <a:xfrm>
                        <a:off x="0" y="0"/>
                        <a:ext cx="7789644" cy="115621"/>
                      </a:xfrm>
                      <a:prstGeom prst="rect">
                        <a:avLst/>
                      </a:prstGeom>
                      <a:solidFill>
                        <a:srgbClr val="C00000"/>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0" o:spid="_x0000_s0000" o:spt="1" style="position:absolute;mso-wrap-distance-left:9.1pt;mso-wrap-distance-top:0.0pt;mso-wrap-distance-right:9.1pt;mso-wrap-distance-bottom:0.0pt;z-index:-251943936;o:allowoverlap:true;o:allowincell:true;mso-position-horizontal-relative:text;margin-left:-54.7pt;mso-position-horizontal:absolute;mso-position-vertical-relative:text;margin-top:-1.8pt;mso-position-vertical:absolute;width:613.4pt;height:9.1pt;" coordsize="100000,100000" path="" fillcolor="#C00000" strokeweight="1.00pt">
              <v:path textboxrect="0,0,0,0"/>
            </v:shape>
          </w:pict>
        </mc:Fallback>
      </mc:AlternateContent>
    </w:r>
  </w:p>
  <w:p w14:paraId="2DAA2FE9" w14:textId="77777777" w:rsidR="009F2E8E" w:rsidRDefault="009F2E8E">
    <w:pPr>
      <w:pStyle w:val="Encabezado"/>
      <w:jc w:val="center"/>
      <w:rPr>
        <w:color w:val="C00000"/>
        <w:sz w:val="18"/>
      </w:rPr>
    </w:pPr>
  </w:p>
  <w:p w14:paraId="74FCB8AF" w14:textId="77777777" w:rsidR="009F2E8E" w:rsidRDefault="009F2E8E">
    <w:pPr>
      <w:pStyle w:val="Encabezado"/>
      <w:jc w:val="center"/>
      <w:rPr>
        <w:color w:val="C00000"/>
        <w:sz w:val="18"/>
      </w:rPr>
    </w:pPr>
  </w:p>
  <w:p w14:paraId="1E4616E0" w14:textId="77777777" w:rsidR="009F2E8E" w:rsidRDefault="009F2E8E">
    <w:pPr>
      <w:pStyle w:val="Encabezado"/>
      <w:jc w:val="center"/>
    </w:pPr>
    <w:r>
      <w:rPr>
        <w:color w:val="C00000"/>
        <w:sz w:val="18"/>
      </w:rPr>
      <w:t xml:space="preserve">Biblioteca del Congreso Nacional de </w:t>
    </w:r>
    <w:proofErr w:type="gramStart"/>
    <w:r>
      <w:rPr>
        <w:color w:val="C00000"/>
        <w:sz w:val="18"/>
      </w:rPr>
      <w:t>Chile</w:t>
    </w:r>
    <w:r>
      <w:rPr>
        <w:sz w:val="18"/>
      </w:rPr>
      <w:t xml:space="preserve">  </w:t>
    </w:r>
    <w:r>
      <w:rPr>
        <w:color w:val="808080" w:themeColor="background1" w:themeShade="80"/>
        <w:sz w:val="18"/>
      </w:rPr>
      <w:t>|</w:t>
    </w:r>
    <w:proofErr w:type="gramEnd"/>
    <w:r>
      <w:rPr>
        <w:color w:val="808080" w:themeColor="background1" w:themeShade="80"/>
        <w:sz w:val="18"/>
      </w:rPr>
      <w:t xml:space="preserve">  Asesoría Técnica Parlamentaria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A39D" w14:textId="77777777" w:rsidR="009F2E8E" w:rsidRDefault="009F2E8E">
    <w:r>
      <w:rPr>
        <w:noProof/>
        <w:lang w:val="es-CL" w:eastAsia="es-CL"/>
      </w:rPr>
      <mc:AlternateContent>
        <mc:Choice Requires="wps">
          <w:drawing>
            <wp:anchor distT="0" distB="0" distL="115200" distR="115200" simplePos="0" relativeHeight="251978752" behindDoc="0" locked="0" layoutInCell="1" allowOverlap="1" wp14:anchorId="7736EA4C" wp14:editId="10C75AE0">
              <wp:simplePos x="0" y="0"/>
              <wp:positionH relativeFrom="column">
                <wp:posOffset>-687699</wp:posOffset>
              </wp:positionH>
              <wp:positionV relativeFrom="paragraph">
                <wp:posOffset>-13869</wp:posOffset>
              </wp:positionV>
              <wp:extent cx="7772400" cy="1266813"/>
              <wp:effectExtent l="6345" t="6345" r="6345" b="6345"/>
              <wp:wrapNone/>
              <wp:docPr id="2" name="Rectángulo 2"/>
              <wp:cNvGraphicFramePr/>
              <a:graphic xmlns:a="http://schemas.openxmlformats.org/drawingml/2006/main">
                <a:graphicData uri="http://schemas.microsoft.com/office/word/2010/wordprocessingShape">
                  <wps:wsp>
                    <wps:cNvSpPr/>
                    <wps:spPr bwMode="auto">
                      <a:xfrm>
                        <a:off x="0" y="0"/>
                        <a:ext cx="7772400" cy="1266819"/>
                      </a:xfrm>
                      <a:prstGeom prst="rect">
                        <a:avLst/>
                      </a:prstGeom>
                      <a:solidFill>
                        <a:srgbClr val="CC0000"/>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aconcuadrcula"/>
                            <w:tblW w:w="0" w:type="auto"/>
                            <w:jc w:val="center"/>
                            <w:tblLayout w:type="fixed"/>
                            <w:tblLook w:val="0600" w:firstRow="0" w:lastRow="0" w:firstColumn="0" w:lastColumn="0" w:noHBand="1" w:noVBand="1"/>
                          </w:tblPr>
                          <w:tblGrid>
                            <w:gridCol w:w="2906"/>
                            <w:gridCol w:w="4763"/>
                            <w:gridCol w:w="2422"/>
                          </w:tblGrid>
                          <w:tr w:rsidR="009F2E8E" w14:paraId="7F55D8DE" w14:textId="77777777">
                            <w:trPr>
                              <w:trHeight w:val="992"/>
                              <w:jc w:val="center"/>
                            </w:trPr>
                            <w:tc>
                              <w:tcPr>
                                <w:tcW w:w="2906"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14:paraId="3900F9F2" w14:textId="77777777" w:rsidR="009F2E8E" w:rsidRDefault="009F2E8E">
                                <w:pPr>
                                  <w:rPr>
                                    <w:color w:val="FFFFFF"/>
                                  </w:rPr>
                                </w:pPr>
                                <w:r>
                                  <w:rPr>
                                    <w:noProof/>
                                    <w:color w:val="FFFFFF" w:themeColor="background1"/>
                                    <w:lang w:val="es-CL" w:eastAsia="es-CL"/>
                                  </w:rPr>
                                  <w:drawing>
                                    <wp:inline distT="0" distB="0" distL="0" distR="0" wp14:anchorId="05DF3FAB" wp14:editId="609A45CE">
                                      <wp:extent cx="1776096" cy="68569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
                                              <a:stretch/>
                                            </pic:blipFill>
                                            <pic:spPr bwMode="auto">
                                              <a:xfrm>
                                                <a:off x="0" y="0"/>
                                                <a:ext cx="1776098" cy="685695"/>
                                              </a:xfrm>
                                              <a:prstGeom prst="rect">
                                                <a:avLst/>
                                              </a:prstGeom>
                                            </pic:spPr>
                                          </pic:pic>
                                        </a:graphicData>
                                      </a:graphic>
                                    </wp:inline>
                                  </w:drawing>
                                </w:r>
                              </w:p>
                            </w:tc>
                            <w:tc>
                              <w:tcPr>
                                <w:tcW w:w="476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14:paraId="75817BF9" w14:textId="77777777" w:rsidR="009F2E8E" w:rsidRDefault="009F2E8E">
                                <w:pPr>
                                  <w:pStyle w:val="Ttulo5"/>
                                  <w:rPr>
                                    <w:color w:val="FFFFFF"/>
                                  </w:rPr>
                                </w:pPr>
                              </w:p>
                              <w:p w14:paraId="037DEF1B" w14:textId="77777777" w:rsidR="009F2E8E" w:rsidRDefault="009F2E8E">
                                <w:pPr>
                                  <w:pStyle w:val="Ttulo5"/>
                                  <w:rPr>
                                    <w:color w:val="FFFFFF"/>
                                    <w:sz w:val="26"/>
                                  </w:rPr>
                                </w:pPr>
                                <w:r>
                                  <w:rPr>
                                    <w:color w:val="FFFFFF" w:themeColor="background1"/>
                                    <w:sz w:val="26"/>
                                  </w:rPr>
                                  <w:t>Asesoría Técnica Parlamentaria</w:t>
                                </w:r>
                              </w:p>
                            </w:tc>
                            <w:tc>
                              <w:tcPr>
                                <w:tcW w:w="242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14:paraId="114A84CD" w14:textId="77777777" w:rsidR="009F2E8E" w:rsidRDefault="009F2E8E">
                                <w:pPr>
                                  <w:pStyle w:val="Ttulo5"/>
                                  <w:jc w:val="right"/>
                                </w:pPr>
                              </w:p>
                              <w:p w14:paraId="72D56378" w14:textId="4F3FF2B6" w:rsidR="009F2E8E" w:rsidRDefault="00F33671" w:rsidP="000C22F9">
                                <w:pPr>
                                  <w:pStyle w:val="Ttulo5"/>
                                  <w:jc w:val="right"/>
                                  <w:rPr>
                                    <w:color w:val="FFFFFF"/>
                                    <w:sz w:val="26"/>
                                  </w:rPr>
                                </w:pPr>
                                <w:r>
                                  <w:rPr>
                                    <w:color w:val="FFFFFF" w:themeColor="background1"/>
                                    <w:sz w:val="26"/>
                                  </w:rPr>
                                  <w:t>Enero 2024</w:t>
                                </w:r>
                              </w:p>
                            </w:tc>
                          </w:tr>
                        </w:tbl>
                        <w:p w14:paraId="1B6DBA9B" w14:textId="77777777" w:rsidR="009F2E8E" w:rsidRDefault="009F2E8E">
                          <w:pPr>
                            <w:jc w:val="center"/>
                          </w:pPr>
                        </w:p>
                      </w:txbxContent>
                    </wps:txbx>
                    <wps:bodyPr anchor="ctr"/>
                  </wps:wsp>
                </a:graphicData>
              </a:graphic>
            </wp:anchor>
          </w:drawing>
        </mc:Choice>
        <mc:Fallback>
          <w:pict>
            <v:rect w14:anchorId="7736EA4C" id="Rectángulo 2" o:spid="_x0000_s1026" style="position:absolute;left:0;text-align:left;margin-left:-54.15pt;margin-top:-1.1pt;width:612pt;height:99.75pt;z-index:251978752;visibility:visible;mso-wrap-style:square;mso-wrap-distance-left:3.2mm;mso-wrap-distance-top:0;mso-wrap-distance-right:3.2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" fillcolor="#c00" stroked="f" strokeweight="1pt">
              <v:textbox>
                <w:txbxContent>
                  <w:tbl>
                    <w:tblPr>
                      <w:tblStyle w:val="Tablaconcuadrcula"/>
                      <w:tblW w:w="0" w:type="auto"/>
                      <w:jc w:val="center"/>
                      <w:tblLayout w:type="fixed"/>
                      <w:tblLook w:val="0600" w:firstRow="0" w:lastRow="0" w:firstColumn="0" w:lastColumn="0" w:noHBand="1" w:noVBand="1"/>
                    </w:tblPr>
                    <w:tblGrid>
                      <w:gridCol w:w="2906"/>
                      <w:gridCol w:w="4763"/>
                      <w:gridCol w:w="2422"/>
                    </w:tblGrid>
                    <w:tr w:rsidR="009F2E8E" w14:paraId="7F55D8DE" w14:textId="77777777">
                      <w:trPr>
                        <w:trHeight w:val="992"/>
                        <w:jc w:val="center"/>
                      </w:trPr>
                      <w:tc>
                        <w:tcPr>
                          <w:tcW w:w="2906"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14:paraId="3900F9F2" w14:textId="77777777" w:rsidR="009F2E8E" w:rsidRDefault="009F2E8E">
                          <w:pPr>
                            <w:rPr>
                              <w:color w:val="FFFFFF"/>
                            </w:rPr>
                          </w:pPr>
                          <w:r>
                            <w:rPr>
                              <w:noProof/>
                              <w:color w:val="FFFFFF" w:themeColor="background1"/>
                              <w:lang w:val="es-CL" w:eastAsia="es-CL"/>
                            </w:rPr>
                            <w:drawing>
                              <wp:inline distT="0" distB="0" distL="0" distR="0" wp14:anchorId="05DF3FAB" wp14:editId="609A45CE">
                                <wp:extent cx="1776096" cy="68569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
                                        <a:stretch/>
                                      </pic:blipFill>
                                      <pic:spPr bwMode="auto">
                                        <a:xfrm>
                                          <a:off x="0" y="0"/>
                                          <a:ext cx="1776098" cy="685695"/>
                                        </a:xfrm>
                                        <a:prstGeom prst="rect">
                                          <a:avLst/>
                                        </a:prstGeom>
                                      </pic:spPr>
                                    </pic:pic>
                                  </a:graphicData>
                                </a:graphic>
                              </wp:inline>
                            </w:drawing>
                          </w:r>
                        </w:p>
                      </w:tc>
                      <w:tc>
                        <w:tcPr>
                          <w:tcW w:w="476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14:paraId="75817BF9" w14:textId="77777777" w:rsidR="009F2E8E" w:rsidRDefault="009F2E8E">
                          <w:pPr>
                            <w:pStyle w:val="Ttulo5"/>
                            <w:rPr>
                              <w:color w:val="FFFFFF"/>
                            </w:rPr>
                          </w:pPr>
                        </w:p>
                        <w:p w14:paraId="037DEF1B" w14:textId="77777777" w:rsidR="009F2E8E" w:rsidRDefault="009F2E8E">
                          <w:pPr>
                            <w:pStyle w:val="Ttulo5"/>
                            <w:rPr>
                              <w:color w:val="FFFFFF"/>
                              <w:sz w:val="26"/>
                            </w:rPr>
                          </w:pPr>
                          <w:r>
                            <w:rPr>
                              <w:color w:val="FFFFFF" w:themeColor="background1"/>
                              <w:sz w:val="26"/>
                            </w:rPr>
                            <w:t>Asesoría Técnica Parlamentaria</w:t>
                          </w:r>
                        </w:p>
                      </w:tc>
                      <w:tc>
                        <w:tcPr>
                          <w:tcW w:w="242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14:paraId="114A84CD" w14:textId="77777777" w:rsidR="009F2E8E" w:rsidRDefault="009F2E8E">
                          <w:pPr>
                            <w:pStyle w:val="Ttulo5"/>
                            <w:jc w:val="right"/>
                          </w:pPr>
                        </w:p>
                        <w:p w14:paraId="72D56378" w14:textId="4F3FF2B6" w:rsidR="009F2E8E" w:rsidRDefault="00F33671" w:rsidP="000C22F9">
                          <w:pPr>
                            <w:pStyle w:val="Ttulo5"/>
                            <w:jc w:val="right"/>
                            <w:rPr>
                              <w:color w:val="FFFFFF"/>
                              <w:sz w:val="26"/>
                            </w:rPr>
                          </w:pPr>
                          <w:r>
                            <w:rPr>
                              <w:color w:val="FFFFFF" w:themeColor="background1"/>
                              <w:sz w:val="26"/>
                            </w:rPr>
                            <w:t>Enero 2024</w:t>
                          </w:r>
                        </w:p>
                      </w:tc>
                    </w:tr>
                  </w:tbl>
                  <w:p w14:paraId="1B6DBA9B" w14:textId="77777777" w:rsidR="009F2E8E" w:rsidRDefault="009F2E8E">
                    <w:pPr>
                      <w:jc w:val="center"/>
                    </w:pPr>
                  </w:p>
                </w:txbxContent>
              </v:textbox>
            </v:rect>
          </w:pict>
        </mc:Fallback>
      </mc:AlternateContent>
    </w:r>
  </w:p>
  <w:p w14:paraId="17DC9E65" w14:textId="77777777" w:rsidR="009F2E8E" w:rsidRDefault="009F2E8E">
    <w:pPr>
      <w:ind w:left="-1069"/>
    </w:pPr>
  </w:p>
  <w:p w14:paraId="05B552CD" w14:textId="77777777" w:rsidR="009F2E8E" w:rsidRDefault="009F2E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1A4"/>
    <w:multiLevelType w:val="hybridMultilevel"/>
    <w:tmpl w:val="24B0F5F2"/>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2CA752D"/>
    <w:multiLevelType w:val="hybridMultilevel"/>
    <w:tmpl w:val="07C08BFE"/>
    <w:lvl w:ilvl="0" w:tplc="E90021DA">
      <w:start w:val="1"/>
      <w:numFmt w:val="lowerLetter"/>
      <w:pStyle w:val="Enumeracindeideasordenadas"/>
      <w:lvlText w:val="%1."/>
      <w:lvlJc w:val="left"/>
      <w:pPr>
        <w:tabs>
          <w:tab w:val="num" w:pos="720"/>
        </w:tabs>
        <w:ind w:left="720" w:hanging="363"/>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582271"/>
    <w:multiLevelType w:val="hybridMultilevel"/>
    <w:tmpl w:val="4C4EB3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EB3777"/>
    <w:multiLevelType w:val="hybridMultilevel"/>
    <w:tmpl w:val="28EE82E6"/>
    <w:lvl w:ilvl="0" w:tplc="340A0001">
      <w:start w:val="1"/>
      <w:numFmt w:val="bullet"/>
      <w:lvlText w:val=""/>
      <w:lvlJc w:val="left"/>
      <w:pPr>
        <w:ind w:left="962" w:hanging="360"/>
      </w:pPr>
      <w:rPr>
        <w:rFonts w:ascii="Symbol" w:hAnsi="Symbol" w:hint="default"/>
      </w:rPr>
    </w:lvl>
    <w:lvl w:ilvl="1" w:tplc="340A0003" w:tentative="1">
      <w:start w:val="1"/>
      <w:numFmt w:val="bullet"/>
      <w:lvlText w:val="o"/>
      <w:lvlJc w:val="left"/>
      <w:pPr>
        <w:ind w:left="1682" w:hanging="360"/>
      </w:pPr>
      <w:rPr>
        <w:rFonts w:ascii="Courier New" w:hAnsi="Courier New" w:cs="Courier New" w:hint="default"/>
      </w:rPr>
    </w:lvl>
    <w:lvl w:ilvl="2" w:tplc="340A0005" w:tentative="1">
      <w:start w:val="1"/>
      <w:numFmt w:val="bullet"/>
      <w:lvlText w:val=""/>
      <w:lvlJc w:val="left"/>
      <w:pPr>
        <w:ind w:left="2402" w:hanging="360"/>
      </w:pPr>
      <w:rPr>
        <w:rFonts w:ascii="Wingdings" w:hAnsi="Wingdings" w:hint="default"/>
      </w:rPr>
    </w:lvl>
    <w:lvl w:ilvl="3" w:tplc="340A0001" w:tentative="1">
      <w:start w:val="1"/>
      <w:numFmt w:val="bullet"/>
      <w:lvlText w:val=""/>
      <w:lvlJc w:val="left"/>
      <w:pPr>
        <w:ind w:left="3122" w:hanging="360"/>
      </w:pPr>
      <w:rPr>
        <w:rFonts w:ascii="Symbol" w:hAnsi="Symbol" w:hint="default"/>
      </w:rPr>
    </w:lvl>
    <w:lvl w:ilvl="4" w:tplc="340A0003" w:tentative="1">
      <w:start w:val="1"/>
      <w:numFmt w:val="bullet"/>
      <w:lvlText w:val="o"/>
      <w:lvlJc w:val="left"/>
      <w:pPr>
        <w:ind w:left="3842" w:hanging="360"/>
      </w:pPr>
      <w:rPr>
        <w:rFonts w:ascii="Courier New" w:hAnsi="Courier New" w:cs="Courier New" w:hint="default"/>
      </w:rPr>
    </w:lvl>
    <w:lvl w:ilvl="5" w:tplc="340A0005" w:tentative="1">
      <w:start w:val="1"/>
      <w:numFmt w:val="bullet"/>
      <w:lvlText w:val=""/>
      <w:lvlJc w:val="left"/>
      <w:pPr>
        <w:ind w:left="4562" w:hanging="360"/>
      </w:pPr>
      <w:rPr>
        <w:rFonts w:ascii="Wingdings" w:hAnsi="Wingdings" w:hint="default"/>
      </w:rPr>
    </w:lvl>
    <w:lvl w:ilvl="6" w:tplc="340A0001" w:tentative="1">
      <w:start w:val="1"/>
      <w:numFmt w:val="bullet"/>
      <w:lvlText w:val=""/>
      <w:lvlJc w:val="left"/>
      <w:pPr>
        <w:ind w:left="5282" w:hanging="360"/>
      </w:pPr>
      <w:rPr>
        <w:rFonts w:ascii="Symbol" w:hAnsi="Symbol" w:hint="default"/>
      </w:rPr>
    </w:lvl>
    <w:lvl w:ilvl="7" w:tplc="340A0003" w:tentative="1">
      <w:start w:val="1"/>
      <w:numFmt w:val="bullet"/>
      <w:lvlText w:val="o"/>
      <w:lvlJc w:val="left"/>
      <w:pPr>
        <w:ind w:left="6002" w:hanging="360"/>
      </w:pPr>
      <w:rPr>
        <w:rFonts w:ascii="Courier New" w:hAnsi="Courier New" w:cs="Courier New" w:hint="default"/>
      </w:rPr>
    </w:lvl>
    <w:lvl w:ilvl="8" w:tplc="340A0005" w:tentative="1">
      <w:start w:val="1"/>
      <w:numFmt w:val="bullet"/>
      <w:lvlText w:val=""/>
      <w:lvlJc w:val="left"/>
      <w:pPr>
        <w:ind w:left="6722" w:hanging="360"/>
      </w:pPr>
      <w:rPr>
        <w:rFonts w:ascii="Wingdings" w:hAnsi="Wingdings" w:hint="default"/>
      </w:rPr>
    </w:lvl>
  </w:abstractNum>
  <w:abstractNum w:abstractNumId="4" w15:restartNumberingAfterBreak="0">
    <w:nsid w:val="1F07150A"/>
    <w:multiLevelType w:val="hybridMultilevel"/>
    <w:tmpl w:val="73D8BD18"/>
    <w:lvl w:ilvl="0" w:tplc="64A20008">
      <w:start w:val="1"/>
      <w:numFmt w:val="lowerLetter"/>
      <w:lvlText w:val="%1."/>
      <w:lvlJc w:val="left"/>
      <w:pPr>
        <w:ind w:left="1080" w:hanging="720"/>
      </w:pPr>
      <w:rPr>
        <w:rFonts w:hint="default"/>
        <w:color w:val="auto"/>
        <w:sz w:val="22"/>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2060AA"/>
    <w:multiLevelType w:val="hybridMultilevel"/>
    <w:tmpl w:val="ABB61226"/>
    <w:lvl w:ilvl="0" w:tplc="340A000F">
      <w:start w:val="1"/>
      <w:numFmt w:val="decimal"/>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572505B"/>
    <w:multiLevelType w:val="hybridMultilevel"/>
    <w:tmpl w:val="D03E81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59C1A84"/>
    <w:multiLevelType w:val="hybridMultilevel"/>
    <w:tmpl w:val="A1605EE2"/>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81C6333"/>
    <w:multiLevelType w:val="hybridMultilevel"/>
    <w:tmpl w:val="0C906FD6"/>
    <w:lvl w:ilvl="0" w:tplc="340A0001">
      <w:start w:val="1"/>
      <w:numFmt w:val="bullet"/>
      <w:lvlText w:val=""/>
      <w:lvlJc w:val="left"/>
      <w:pPr>
        <w:ind w:left="720" w:hanging="360"/>
      </w:pPr>
      <w:rPr>
        <w:rFonts w:ascii="Symbol" w:hAnsi="Symbol" w:hint="default"/>
      </w:rPr>
    </w:lvl>
    <w:lvl w:ilvl="1" w:tplc="31FAA0E6">
      <w:numFmt w:val="bullet"/>
      <w:lvlText w:val="•"/>
      <w:lvlJc w:val="left"/>
      <w:pPr>
        <w:ind w:left="1440" w:hanging="360"/>
      </w:pPr>
      <w:rPr>
        <w:rFonts w:ascii="Verdana" w:eastAsia="Times New Roman" w:hAnsi="Verdana"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E5A7C8F"/>
    <w:multiLevelType w:val="hybridMultilevel"/>
    <w:tmpl w:val="91A27CB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23D7D0F"/>
    <w:multiLevelType w:val="hybridMultilevel"/>
    <w:tmpl w:val="10D88960"/>
    <w:lvl w:ilvl="0" w:tplc="626676EA">
      <w:start w:val="1"/>
      <w:numFmt w:val="bullet"/>
      <w:pStyle w:val="Enumeracindeideassinorden"/>
      <w:lvlText w:val=""/>
      <w:lvlJc w:val="left"/>
      <w:pPr>
        <w:tabs>
          <w:tab w:val="num" w:pos="720"/>
        </w:tabs>
        <w:ind w:left="720"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7623E"/>
    <w:multiLevelType w:val="hybridMultilevel"/>
    <w:tmpl w:val="815C0B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0246ABA"/>
    <w:multiLevelType w:val="hybridMultilevel"/>
    <w:tmpl w:val="2E4804EA"/>
    <w:lvl w:ilvl="0" w:tplc="5F129B64">
      <w:start w:val="1"/>
      <w:numFmt w:val="upperRoman"/>
      <w:lvlText w:val="%1."/>
      <w:lvlJc w:val="left"/>
      <w:pPr>
        <w:ind w:left="1080" w:hanging="720"/>
      </w:pPr>
      <w:rPr>
        <w:rFonts w:hint="default"/>
      </w:rPr>
    </w:lvl>
    <w:lvl w:ilvl="1" w:tplc="CB08793A">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874E3F"/>
    <w:multiLevelType w:val="hybridMultilevel"/>
    <w:tmpl w:val="17C8B6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D64DC8"/>
    <w:multiLevelType w:val="hybridMultilevel"/>
    <w:tmpl w:val="24B0F5F2"/>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52717BED"/>
    <w:multiLevelType w:val="hybridMultilevel"/>
    <w:tmpl w:val="69DEC3D8"/>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55738A9"/>
    <w:multiLevelType w:val="hybridMultilevel"/>
    <w:tmpl w:val="BD5E34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5AC6B52"/>
    <w:multiLevelType w:val="hybridMultilevel"/>
    <w:tmpl w:val="E1647D8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65F9B"/>
    <w:multiLevelType w:val="hybridMultilevel"/>
    <w:tmpl w:val="F7FE62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9416883"/>
    <w:multiLevelType w:val="hybridMultilevel"/>
    <w:tmpl w:val="920EC1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0"/>
        </w:tabs>
        <w:ind w:left="0" w:hanging="360"/>
      </w:pPr>
      <w:rPr>
        <w:rFonts w:ascii="Wingdings" w:hAnsi="Wingdings" w:hint="default"/>
      </w:rPr>
    </w:lvl>
    <w:lvl w:ilvl="3" w:tplc="0C0A0001" w:tentative="1">
      <w:start w:val="1"/>
      <w:numFmt w:val="bullet"/>
      <w:lvlText w:val=""/>
      <w:lvlJc w:val="left"/>
      <w:pPr>
        <w:tabs>
          <w:tab w:val="num" w:pos="720"/>
        </w:tabs>
        <w:ind w:left="720" w:hanging="360"/>
      </w:pPr>
      <w:rPr>
        <w:rFonts w:ascii="Symbol" w:hAnsi="Symbol" w:hint="default"/>
      </w:rPr>
    </w:lvl>
    <w:lvl w:ilvl="4" w:tplc="0C0A0003" w:tentative="1">
      <w:start w:val="1"/>
      <w:numFmt w:val="bullet"/>
      <w:lvlText w:val="o"/>
      <w:lvlJc w:val="left"/>
      <w:pPr>
        <w:tabs>
          <w:tab w:val="num" w:pos="1440"/>
        </w:tabs>
        <w:ind w:left="1440" w:hanging="360"/>
      </w:pPr>
      <w:rPr>
        <w:rFonts w:ascii="Courier New" w:hAnsi="Courier New" w:cs="Courier New" w:hint="default"/>
      </w:rPr>
    </w:lvl>
    <w:lvl w:ilvl="5" w:tplc="0C0A0005" w:tentative="1">
      <w:start w:val="1"/>
      <w:numFmt w:val="bullet"/>
      <w:lvlText w:val=""/>
      <w:lvlJc w:val="left"/>
      <w:pPr>
        <w:tabs>
          <w:tab w:val="num" w:pos="2160"/>
        </w:tabs>
        <w:ind w:left="2160" w:hanging="360"/>
      </w:pPr>
      <w:rPr>
        <w:rFonts w:ascii="Wingdings" w:hAnsi="Wingdings" w:hint="default"/>
      </w:rPr>
    </w:lvl>
    <w:lvl w:ilvl="6" w:tplc="0C0A0001" w:tentative="1">
      <w:start w:val="1"/>
      <w:numFmt w:val="bullet"/>
      <w:lvlText w:val=""/>
      <w:lvlJc w:val="left"/>
      <w:pPr>
        <w:tabs>
          <w:tab w:val="num" w:pos="2880"/>
        </w:tabs>
        <w:ind w:left="2880" w:hanging="360"/>
      </w:pPr>
      <w:rPr>
        <w:rFonts w:ascii="Symbol" w:hAnsi="Symbol" w:hint="default"/>
      </w:rPr>
    </w:lvl>
    <w:lvl w:ilvl="7" w:tplc="0C0A0003" w:tentative="1">
      <w:start w:val="1"/>
      <w:numFmt w:val="bullet"/>
      <w:lvlText w:val="o"/>
      <w:lvlJc w:val="left"/>
      <w:pPr>
        <w:tabs>
          <w:tab w:val="num" w:pos="3600"/>
        </w:tabs>
        <w:ind w:left="3600" w:hanging="360"/>
      </w:pPr>
      <w:rPr>
        <w:rFonts w:ascii="Courier New" w:hAnsi="Courier New" w:cs="Courier New" w:hint="default"/>
      </w:rPr>
    </w:lvl>
    <w:lvl w:ilvl="8" w:tplc="0C0A0005" w:tentative="1">
      <w:start w:val="1"/>
      <w:numFmt w:val="bullet"/>
      <w:lvlText w:val=""/>
      <w:lvlJc w:val="left"/>
      <w:pPr>
        <w:tabs>
          <w:tab w:val="num" w:pos="4320"/>
        </w:tabs>
        <w:ind w:left="4320" w:hanging="360"/>
      </w:pPr>
      <w:rPr>
        <w:rFonts w:ascii="Wingdings" w:hAnsi="Wingdings" w:hint="default"/>
      </w:rPr>
    </w:lvl>
  </w:abstractNum>
  <w:abstractNum w:abstractNumId="23" w15:restartNumberingAfterBreak="0">
    <w:nsid w:val="60D04B52"/>
    <w:multiLevelType w:val="hybridMultilevel"/>
    <w:tmpl w:val="8A5A1C8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47A5E23"/>
    <w:multiLevelType w:val="hybridMultilevel"/>
    <w:tmpl w:val="24B0F5F2"/>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6A5E6C85"/>
    <w:multiLevelType w:val="hybridMultilevel"/>
    <w:tmpl w:val="718A5E8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DBC0A7C"/>
    <w:multiLevelType w:val="hybridMultilevel"/>
    <w:tmpl w:val="CDF854DA"/>
    <w:lvl w:ilvl="0" w:tplc="1AD844B6">
      <w:start w:val="1"/>
      <w:numFmt w:val="decimal"/>
      <w:lvlText w:val="%1."/>
      <w:lvlJc w:val="left"/>
      <w:pPr>
        <w:tabs>
          <w:tab w:val="num" w:pos="705"/>
        </w:tabs>
        <w:ind w:left="705" w:hanging="705"/>
      </w:pPr>
      <w:rPr>
        <w:rFonts w:hint="default"/>
      </w:rPr>
    </w:lvl>
    <w:lvl w:ilvl="1" w:tplc="340A001B">
      <w:start w:val="1"/>
      <w:numFmt w:val="lowerRoman"/>
      <w:lvlText w:val="%2."/>
      <w:lvlJc w:val="right"/>
      <w:pPr>
        <w:tabs>
          <w:tab w:val="num" w:pos="1080"/>
        </w:tabs>
        <w:ind w:left="1080" w:hanging="360"/>
      </w:pPr>
      <w:rPr>
        <w:rFonts w:hint="default"/>
      </w:rPr>
    </w:lvl>
    <w:lvl w:ilvl="2" w:tplc="5C128420">
      <w:numFmt w:val="bullet"/>
      <w:lvlText w:val="•"/>
      <w:lvlJc w:val="left"/>
      <w:pPr>
        <w:ind w:left="1980" w:hanging="360"/>
      </w:pPr>
      <w:rPr>
        <w:rFonts w:ascii="Verdana" w:eastAsia="Times New Roman" w:hAnsi="Verdana" w:cs="Times New Roman"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7C954009"/>
    <w:multiLevelType w:val="hybridMultilevel"/>
    <w:tmpl w:val="EE667FFA"/>
    <w:lvl w:ilvl="0" w:tplc="C534FBF8">
      <w:start w:val="1"/>
      <w:numFmt w:val="decimal"/>
      <w:lvlText w:val="%1."/>
      <w:lvlJc w:val="left"/>
      <w:pPr>
        <w:ind w:left="720" w:hanging="360"/>
      </w:pPr>
      <w:rPr>
        <w:rFonts w:hint="default"/>
        <w:i w:val="0"/>
        <w:sz w:val="22"/>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E1659D8"/>
    <w:multiLevelType w:val="hybridMultilevel"/>
    <w:tmpl w:val="F27AF552"/>
    <w:lvl w:ilvl="0" w:tplc="340A0019">
      <w:start w:val="1"/>
      <w:numFmt w:val="lowerLetter"/>
      <w:lvlText w:val="%1."/>
      <w:lvlJc w:val="left"/>
      <w:pPr>
        <w:ind w:left="720" w:hanging="360"/>
      </w:pPr>
      <w:rPr>
        <w:rFonts w:hint="default"/>
      </w:rPr>
    </w:lvl>
    <w:lvl w:ilvl="1" w:tplc="340A0019">
      <w:start w:val="1"/>
      <w:numFmt w:val="lowerLetter"/>
      <w:lvlText w:val="%2."/>
      <w:lvlJc w:val="left"/>
      <w:pPr>
        <w:ind w:left="4613"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53964342">
    <w:abstractNumId w:val="15"/>
  </w:num>
  <w:num w:numId="2" w16cid:durableId="336272266">
    <w:abstractNumId w:val="7"/>
  </w:num>
  <w:num w:numId="3" w16cid:durableId="1308242435">
    <w:abstractNumId w:val="12"/>
  </w:num>
  <w:num w:numId="4" w16cid:durableId="1910798478">
    <w:abstractNumId w:val="6"/>
  </w:num>
  <w:num w:numId="5" w16cid:durableId="1686327823">
    <w:abstractNumId w:val="1"/>
  </w:num>
  <w:num w:numId="6" w16cid:durableId="286812566">
    <w:abstractNumId w:val="13"/>
  </w:num>
  <w:num w:numId="7" w16cid:durableId="1342734256">
    <w:abstractNumId w:val="22"/>
  </w:num>
  <w:num w:numId="8" w16cid:durableId="276985975">
    <w:abstractNumId w:val="10"/>
  </w:num>
  <w:num w:numId="9" w16cid:durableId="671690000">
    <w:abstractNumId w:val="21"/>
  </w:num>
  <w:num w:numId="10" w16cid:durableId="991061034">
    <w:abstractNumId w:val="8"/>
  </w:num>
  <w:num w:numId="11" w16cid:durableId="2008900771">
    <w:abstractNumId w:val="5"/>
  </w:num>
  <w:num w:numId="12" w16cid:durableId="1609660180">
    <w:abstractNumId w:val="26"/>
  </w:num>
  <w:num w:numId="13" w16cid:durableId="437022062">
    <w:abstractNumId w:val="0"/>
  </w:num>
  <w:num w:numId="14" w16cid:durableId="827331070">
    <w:abstractNumId w:val="24"/>
  </w:num>
  <w:num w:numId="15" w16cid:durableId="61951373">
    <w:abstractNumId w:val="17"/>
  </w:num>
  <w:num w:numId="16" w16cid:durableId="1554123291">
    <w:abstractNumId w:val="9"/>
  </w:num>
  <w:num w:numId="17" w16cid:durableId="1021081592">
    <w:abstractNumId w:val="14"/>
  </w:num>
  <w:num w:numId="18" w16cid:durableId="384064876">
    <w:abstractNumId w:val="3"/>
  </w:num>
  <w:num w:numId="19" w16cid:durableId="999964846">
    <w:abstractNumId w:val="20"/>
  </w:num>
  <w:num w:numId="20" w16cid:durableId="497579727">
    <w:abstractNumId w:val="23"/>
  </w:num>
  <w:num w:numId="21" w16cid:durableId="1099910625">
    <w:abstractNumId w:val="19"/>
  </w:num>
  <w:num w:numId="22" w16cid:durableId="303050071">
    <w:abstractNumId w:val="2"/>
  </w:num>
  <w:num w:numId="23" w16cid:durableId="2121563512">
    <w:abstractNumId w:val="11"/>
  </w:num>
  <w:num w:numId="24" w16cid:durableId="475488209">
    <w:abstractNumId w:val="16"/>
  </w:num>
  <w:num w:numId="25" w16cid:durableId="1371296257">
    <w:abstractNumId w:val="18"/>
  </w:num>
  <w:num w:numId="26" w16cid:durableId="618415828">
    <w:abstractNumId w:val="27"/>
  </w:num>
  <w:num w:numId="27" w16cid:durableId="371460532">
    <w:abstractNumId w:val="28"/>
  </w:num>
  <w:num w:numId="28" w16cid:durableId="2034450344">
    <w:abstractNumId w:val="4"/>
  </w:num>
  <w:num w:numId="29" w16cid:durableId="174791733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CL"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L"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19"/>
    <w:rsid w:val="00003199"/>
    <w:rsid w:val="000073B3"/>
    <w:rsid w:val="00022200"/>
    <w:rsid w:val="000627F2"/>
    <w:rsid w:val="00064C3C"/>
    <w:rsid w:val="0006578F"/>
    <w:rsid w:val="00067451"/>
    <w:rsid w:val="000725A1"/>
    <w:rsid w:val="000A3E91"/>
    <w:rsid w:val="000B7D8D"/>
    <w:rsid w:val="000C0320"/>
    <w:rsid w:val="000C22F9"/>
    <w:rsid w:val="000F03D9"/>
    <w:rsid w:val="000F16DA"/>
    <w:rsid w:val="001058A9"/>
    <w:rsid w:val="0011098D"/>
    <w:rsid w:val="00151370"/>
    <w:rsid w:val="001739F3"/>
    <w:rsid w:val="001C325F"/>
    <w:rsid w:val="001C6FA0"/>
    <w:rsid w:val="001D08FA"/>
    <w:rsid w:val="001D39CC"/>
    <w:rsid w:val="001D4BA2"/>
    <w:rsid w:val="00212FB5"/>
    <w:rsid w:val="00246C24"/>
    <w:rsid w:val="0025253A"/>
    <w:rsid w:val="002562BD"/>
    <w:rsid w:val="00263719"/>
    <w:rsid w:val="002654A5"/>
    <w:rsid w:val="00271719"/>
    <w:rsid w:val="00274ED1"/>
    <w:rsid w:val="00285274"/>
    <w:rsid w:val="00287FB7"/>
    <w:rsid w:val="00290DA4"/>
    <w:rsid w:val="002968E8"/>
    <w:rsid w:val="002A332A"/>
    <w:rsid w:val="002B7F8F"/>
    <w:rsid w:val="002C4EFE"/>
    <w:rsid w:val="002C73A2"/>
    <w:rsid w:val="002D1439"/>
    <w:rsid w:val="002E00FE"/>
    <w:rsid w:val="002E5DDB"/>
    <w:rsid w:val="002F3D64"/>
    <w:rsid w:val="003019D3"/>
    <w:rsid w:val="00305D13"/>
    <w:rsid w:val="00352F2F"/>
    <w:rsid w:val="00360B63"/>
    <w:rsid w:val="00364264"/>
    <w:rsid w:val="00367071"/>
    <w:rsid w:val="00380D9F"/>
    <w:rsid w:val="00382478"/>
    <w:rsid w:val="003B5071"/>
    <w:rsid w:val="003C0CD6"/>
    <w:rsid w:val="003C4F3C"/>
    <w:rsid w:val="003D3B03"/>
    <w:rsid w:val="003E578A"/>
    <w:rsid w:val="003E79DE"/>
    <w:rsid w:val="00424DF1"/>
    <w:rsid w:val="0043044F"/>
    <w:rsid w:val="00432898"/>
    <w:rsid w:val="00441F7B"/>
    <w:rsid w:val="00467A76"/>
    <w:rsid w:val="00470F48"/>
    <w:rsid w:val="004B09B1"/>
    <w:rsid w:val="004D3563"/>
    <w:rsid w:val="0050299A"/>
    <w:rsid w:val="00505CFD"/>
    <w:rsid w:val="005775F9"/>
    <w:rsid w:val="00592604"/>
    <w:rsid w:val="005B144B"/>
    <w:rsid w:val="005D077C"/>
    <w:rsid w:val="005D57EA"/>
    <w:rsid w:val="005E1F6F"/>
    <w:rsid w:val="005F16FE"/>
    <w:rsid w:val="00603094"/>
    <w:rsid w:val="00603FEF"/>
    <w:rsid w:val="00615C71"/>
    <w:rsid w:val="00630FCE"/>
    <w:rsid w:val="006366AA"/>
    <w:rsid w:val="0064394C"/>
    <w:rsid w:val="006637B6"/>
    <w:rsid w:val="0067496F"/>
    <w:rsid w:val="00694065"/>
    <w:rsid w:val="006A18F5"/>
    <w:rsid w:val="006B09DE"/>
    <w:rsid w:val="006C2108"/>
    <w:rsid w:val="006E676D"/>
    <w:rsid w:val="006F0EEC"/>
    <w:rsid w:val="00711983"/>
    <w:rsid w:val="00717A2F"/>
    <w:rsid w:val="00724E42"/>
    <w:rsid w:val="007424C1"/>
    <w:rsid w:val="00745863"/>
    <w:rsid w:val="00747B94"/>
    <w:rsid w:val="00753266"/>
    <w:rsid w:val="007550D2"/>
    <w:rsid w:val="0078278F"/>
    <w:rsid w:val="007A23F6"/>
    <w:rsid w:val="007D1680"/>
    <w:rsid w:val="007D7B06"/>
    <w:rsid w:val="007E232E"/>
    <w:rsid w:val="007E5E28"/>
    <w:rsid w:val="008110A4"/>
    <w:rsid w:val="00816CC5"/>
    <w:rsid w:val="00874E0A"/>
    <w:rsid w:val="00875E77"/>
    <w:rsid w:val="00883F22"/>
    <w:rsid w:val="008945D0"/>
    <w:rsid w:val="008964D3"/>
    <w:rsid w:val="008B08FB"/>
    <w:rsid w:val="008B1FBB"/>
    <w:rsid w:val="008B532E"/>
    <w:rsid w:val="008B5FC9"/>
    <w:rsid w:val="008C13BA"/>
    <w:rsid w:val="008C4324"/>
    <w:rsid w:val="008C707B"/>
    <w:rsid w:val="008D39E9"/>
    <w:rsid w:val="008D5FF7"/>
    <w:rsid w:val="008D71CE"/>
    <w:rsid w:val="008E30CB"/>
    <w:rsid w:val="00901BE1"/>
    <w:rsid w:val="00904F86"/>
    <w:rsid w:val="00910E6D"/>
    <w:rsid w:val="009223A1"/>
    <w:rsid w:val="00936476"/>
    <w:rsid w:val="00940537"/>
    <w:rsid w:val="009464AB"/>
    <w:rsid w:val="00951B77"/>
    <w:rsid w:val="00980483"/>
    <w:rsid w:val="00980D96"/>
    <w:rsid w:val="009B0C32"/>
    <w:rsid w:val="009C1E5C"/>
    <w:rsid w:val="009E60FA"/>
    <w:rsid w:val="009F2E8E"/>
    <w:rsid w:val="00A04ED6"/>
    <w:rsid w:val="00A13127"/>
    <w:rsid w:val="00A37517"/>
    <w:rsid w:val="00A42FA0"/>
    <w:rsid w:val="00A50D0C"/>
    <w:rsid w:val="00A50FD7"/>
    <w:rsid w:val="00A722FF"/>
    <w:rsid w:val="00A865DB"/>
    <w:rsid w:val="00A87003"/>
    <w:rsid w:val="00A9596A"/>
    <w:rsid w:val="00AA25E1"/>
    <w:rsid w:val="00AB2388"/>
    <w:rsid w:val="00AD2600"/>
    <w:rsid w:val="00B50845"/>
    <w:rsid w:val="00B54E12"/>
    <w:rsid w:val="00B643A5"/>
    <w:rsid w:val="00B84D58"/>
    <w:rsid w:val="00BA1A74"/>
    <w:rsid w:val="00BB43CB"/>
    <w:rsid w:val="00BD44AD"/>
    <w:rsid w:val="00C21DD7"/>
    <w:rsid w:val="00C33F3A"/>
    <w:rsid w:val="00C3792F"/>
    <w:rsid w:val="00C42FA9"/>
    <w:rsid w:val="00C5065B"/>
    <w:rsid w:val="00C769D3"/>
    <w:rsid w:val="00C848B1"/>
    <w:rsid w:val="00CA3421"/>
    <w:rsid w:val="00CB0B2B"/>
    <w:rsid w:val="00CC40C5"/>
    <w:rsid w:val="00CF109C"/>
    <w:rsid w:val="00CF497D"/>
    <w:rsid w:val="00CF5204"/>
    <w:rsid w:val="00D43242"/>
    <w:rsid w:val="00D5728F"/>
    <w:rsid w:val="00D6725A"/>
    <w:rsid w:val="00D707CE"/>
    <w:rsid w:val="00DA27B3"/>
    <w:rsid w:val="00DA5D85"/>
    <w:rsid w:val="00DA7B78"/>
    <w:rsid w:val="00DC0E68"/>
    <w:rsid w:val="00DD2049"/>
    <w:rsid w:val="00DF063B"/>
    <w:rsid w:val="00E10F8B"/>
    <w:rsid w:val="00E13147"/>
    <w:rsid w:val="00E15CD2"/>
    <w:rsid w:val="00E20A07"/>
    <w:rsid w:val="00E21578"/>
    <w:rsid w:val="00E52A9C"/>
    <w:rsid w:val="00E7113A"/>
    <w:rsid w:val="00E71BB3"/>
    <w:rsid w:val="00E80241"/>
    <w:rsid w:val="00E93D5C"/>
    <w:rsid w:val="00EA07EA"/>
    <w:rsid w:val="00EA1FA8"/>
    <w:rsid w:val="00EC2A84"/>
    <w:rsid w:val="00EF7361"/>
    <w:rsid w:val="00F10F18"/>
    <w:rsid w:val="00F12E44"/>
    <w:rsid w:val="00F229E2"/>
    <w:rsid w:val="00F33671"/>
    <w:rsid w:val="00F43942"/>
    <w:rsid w:val="00F66BA2"/>
    <w:rsid w:val="00F73561"/>
    <w:rsid w:val="00F75146"/>
    <w:rsid w:val="00F80BB0"/>
    <w:rsid w:val="00F81570"/>
    <w:rsid w:val="00FE43CE"/>
    <w:rsid w:val="00FE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43557CF"/>
  <w15:docId w15:val="{AD22A14F-F2B7-452C-8A89-B40055DB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Ttulo1">
    <w:name w:val="heading 1"/>
    <w:aliases w:val="Título del Capítulo"/>
    <w:basedOn w:val="Normal"/>
    <w:next w:val="Normal"/>
    <w:link w:val="Ttulo1Car1"/>
    <w:qFormat/>
    <w:pPr>
      <w:keepNext/>
      <w:keepLines/>
      <w:spacing w:before="480" w:after="0"/>
      <w:outlineLvl w:val="0"/>
    </w:pPr>
    <w:rPr>
      <w:b/>
      <w:bCs/>
      <w:color w:val="000000" w:themeColor="text1"/>
      <w:sz w:val="48"/>
      <w:szCs w:val="48"/>
    </w:rPr>
  </w:style>
  <w:style w:type="paragraph" w:styleId="Ttulo2">
    <w:name w:val="heading 2"/>
    <w:aliases w:val="Título del Subcapítulo"/>
    <w:basedOn w:val="Normal"/>
    <w:next w:val="Normal"/>
    <w:unhideWhenUsed/>
    <w:qFormat/>
    <w:pPr>
      <w:keepNext/>
      <w:keepLines/>
      <w:spacing w:before="200" w:after="0"/>
      <w:outlineLvl w:val="1"/>
    </w:pPr>
    <w:rPr>
      <w:b/>
      <w:bCs/>
      <w:color w:val="000000" w:themeColor="text1"/>
      <w:sz w:val="40"/>
    </w:rPr>
  </w:style>
  <w:style w:type="paragraph" w:styleId="Ttulo3">
    <w:name w:val="heading 3"/>
    <w:aliases w:val="Título de la Sección"/>
    <w:basedOn w:val="Normal"/>
    <w:next w:val="Normal"/>
    <w:unhideWhenUsed/>
    <w:qFormat/>
    <w:pPr>
      <w:keepNext/>
      <w:keepLines/>
      <w:spacing w:before="200" w:after="0"/>
      <w:outlineLvl w:val="2"/>
    </w:pPr>
    <w:rPr>
      <w:b/>
      <w:bCs/>
      <w:i/>
      <w:iCs/>
      <w:color w:val="000000" w:themeColor="text1"/>
      <w:sz w:val="36"/>
      <w:szCs w:val="36"/>
    </w:rPr>
  </w:style>
  <w:style w:type="paragraph" w:styleId="Ttulo4">
    <w:name w:val="heading 4"/>
    <w:basedOn w:val="Normal"/>
    <w:next w:val="Normal"/>
    <w:uiPriority w:val="9"/>
    <w:unhideWhenUsed/>
    <w:qFormat/>
    <w:pPr>
      <w:keepNext/>
      <w:keepLines/>
      <w:spacing w:before="200" w:after="0"/>
      <w:outlineLvl w:val="3"/>
    </w:pPr>
    <w:rPr>
      <w:color w:val="232323"/>
      <w:sz w:val="32"/>
      <w:szCs w:val="32"/>
    </w:rPr>
  </w:style>
  <w:style w:type="paragraph" w:styleId="Ttulo5">
    <w:name w:val="heading 5"/>
    <w:basedOn w:val="Normal"/>
    <w:next w:val="Normal"/>
    <w:uiPriority w:val="9"/>
    <w:unhideWhenUsed/>
    <w:qFormat/>
    <w:pPr>
      <w:keepNext/>
      <w:keepLines/>
      <w:spacing w:before="200" w:after="0"/>
      <w:outlineLvl w:val="4"/>
    </w:pPr>
    <w:rPr>
      <w:b/>
      <w:bCs/>
      <w:color w:val="444444"/>
      <w:sz w:val="28"/>
      <w:szCs w:val="28"/>
    </w:rPr>
  </w:style>
  <w:style w:type="paragraph" w:styleId="Ttulo6">
    <w:name w:val="heading 6"/>
    <w:basedOn w:val="Normal"/>
    <w:next w:val="Normal"/>
    <w:uiPriority w:val="9"/>
    <w:unhideWhenUsed/>
    <w:qFormat/>
    <w:pPr>
      <w:keepNext/>
      <w:keepLines/>
      <w:spacing w:before="200" w:after="0"/>
      <w:outlineLvl w:val="5"/>
    </w:pPr>
    <w:rPr>
      <w:i/>
      <w:iCs/>
      <w:color w:val="232323"/>
      <w:sz w:val="28"/>
      <w:szCs w:val="28"/>
    </w:rPr>
  </w:style>
  <w:style w:type="paragraph" w:styleId="Ttulo7">
    <w:name w:val="heading 7"/>
    <w:basedOn w:val="Normal"/>
    <w:next w:val="Normal"/>
    <w:uiPriority w:val="9"/>
    <w:unhideWhenUsed/>
    <w:qFormat/>
    <w:pPr>
      <w:keepNext/>
      <w:keepLines/>
      <w:spacing w:before="200" w:after="0"/>
      <w:outlineLvl w:val="6"/>
    </w:pPr>
    <w:rPr>
      <w:b/>
      <w:bCs/>
      <w:color w:val="606060"/>
      <w:sz w:val="24"/>
      <w:szCs w:val="24"/>
    </w:rPr>
  </w:style>
  <w:style w:type="paragraph" w:styleId="Ttulo8">
    <w:name w:val="heading 8"/>
    <w:basedOn w:val="Normal"/>
    <w:next w:val="Normal"/>
    <w:uiPriority w:val="9"/>
    <w:unhideWhenUsed/>
    <w:qFormat/>
    <w:pPr>
      <w:keepNext/>
      <w:keepLines/>
      <w:spacing w:before="200" w:after="0"/>
      <w:outlineLvl w:val="7"/>
    </w:pPr>
    <w:rPr>
      <w:color w:val="444444"/>
      <w:sz w:val="24"/>
      <w:szCs w:val="24"/>
    </w:rPr>
  </w:style>
  <w:style w:type="paragraph" w:styleId="Ttulo9">
    <w:name w:val="heading 9"/>
    <w:basedOn w:val="Normal"/>
    <w:next w:val="Normal"/>
    <w:uiPriority w:val="9"/>
    <w:unhideWhenUsed/>
    <w:qFormat/>
    <w:pPr>
      <w:keepNext/>
      <w:keepLines/>
      <w:spacing w:before="200" w:after="0"/>
      <w:outlineLvl w:val="8"/>
    </w:pPr>
    <w:rPr>
      <w:i/>
      <w:iCs/>
      <w:color w:val="444444"/>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Footnote Text Char Char Char,Footnote Text.SES,Footnote Text Char Char Char Char Char,Footnote reference,FA Fu"/>
    <w:basedOn w:val="Normal"/>
    <w:link w:val="TextonotapieCar"/>
    <w:uiPriority w:val="99"/>
    <w:unhideWhenUsed/>
    <w:pPr>
      <w:spacing w:after="0" w:line="240" w:lineRule="auto"/>
    </w:pPr>
    <w:rPr>
      <w:sz w:val="20"/>
    </w:rPr>
  </w:style>
  <w:style w:type="character" w:customStyle="1" w:styleId="Heading1Char">
    <w:name w:val="Heading 1 Char"/>
    <w:basedOn w:val="Fuentedeprrafopredeter"/>
    <w:uiPriority w:val="9"/>
    <w:rPr>
      <w:rFonts w:ascii="Arial" w:eastAsia="Arial" w:hAnsi="Arial" w:cs="Arial"/>
      <w:b/>
      <w:bCs/>
      <w:color w:val="000000" w:themeColor="text1"/>
      <w:sz w:val="48"/>
      <w:szCs w:val="48"/>
    </w:rPr>
  </w:style>
  <w:style w:type="character" w:customStyle="1" w:styleId="Heading2Char">
    <w:name w:val="Heading 2 Char"/>
    <w:basedOn w:val="Fuentedeprrafopredeter"/>
    <w:uiPriority w:val="9"/>
    <w:rPr>
      <w:rFonts w:ascii="Arial" w:eastAsia="Arial" w:hAnsi="Arial" w:cs="Arial"/>
      <w:b/>
      <w:bCs/>
      <w:color w:val="000000" w:themeColor="text1"/>
      <w:sz w:val="40"/>
      <w:szCs w:val="40"/>
    </w:rPr>
  </w:style>
  <w:style w:type="character" w:customStyle="1" w:styleId="Heading3Char">
    <w:name w:val="Heading 3 Char"/>
    <w:basedOn w:val="Fuentedeprrafopredeter"/>
    <w:uiPriority w:val="9"/>
    <w:rPr>
      <w:rFonts w:ascii="Arial" w:eastAsia="Arial" w:hAnsi="Arial" w:cs="Arial"/>
      <w:b/>
      <w:bCs/>
      <w:i/>
      <w:iCs/>
      <w:color w:val="000000" w:themeColor="text1"/>
      <w:sz w:val="40"/>
      <w:szCs w:val="40"/>
    </w:rPr>
  </w:style>
  <w:style w:type="character" w:customStyle="1" w:styleId="Heading4Char">
    <w:name w:val="Heading 4 Char"/>
    <w:basedOn w:val="Fuentedeprrafopredeter"/>
    <w:uiPriority w:val="9"/>
    <w:rPr>
      <w:rFonts w:ascii="Arial" w:eastAsia="Arial" w:hAnsi="Arial" w:cs="Arial"/>
      <w:color w:val="232323"/>
      <w:sz w:val="32"/>
      <w:szCs w:val="32"/>
    </w:rPr>
  </w:style>
  <w:style w:type="character" w:customStyle="1" w:styleId="Heading5Char">
    <w:name w:val="Heading 5 Char"/>
    <w:basedOn w:val="Fuentedeprrafopredeter"/>
    <w:uiPriority w:val="9"/>
    <w:rPr>
      <w:rFonts w:ascii="Arial" w:eastAsia="Arial" w:hAnsi="Arial" w:cs="Arial"/>
      <w:b/>
      <w:bCs/>
      <w:color w:val="444444"/>
      <w:sz w:val="28"/>
      <w:szCs w:val="28"/>
    </w:rPr>
  </w:style>
  <w:style w:type="character" w:customStyle="1" w:styleId="Heading6Char">
    <w:name w:val="Heading 6 Char"/>
    <w:basedOn w:val="Fuentedeprrafopredeter"/>
    <w:uiPriority w:val="9"/>
    <w:rPr>
      <w:rFonts w:ascii="Arial" w:eastAsia="Arial" w:hAnsi="Arial" w:cs="Arial"/>
      <w:i/>
      <w:iCs/>
      <w:color w:val="232323"/>
      <w:sz w:val="28"/>
      <w:szCs w:val="28"/>
    </w:rPr>
  </w:style>
  <w:style w:type="character" w:customStyle="1" w:styleId="Heading7Char">
    <w:name w:val="Heading 7 Char"/>
    <w:basedOn w:val="Fuentedeprrafopredeter"/>
    <w:uiPriority w:val="9"/>
    <w:rPr>
      <w:rFonts w:ascii="Arial" w:eastAsia="Arial" w:hAnsi="Arial" w:cs="Arial"/>
      <w:b/>
      <w:bCs/>
      <w:color w:val="606060"/>
      <w:sz w:val="28"/>
      <w:szCs w:val="28"/>
    </w:rPr>
  </w:style>
  <w:style w:type="character" w:customStyle="1" w:styleId="Heading8Char">
    <w:name w:val="Heading 8 Char"/>
    <w:basedOn w:val="Fuentedeprrafopredeter"/>
    <w:uiPriority w:val="9"/>
    <w:rPr>
      <w:rFonts w:ascii="Arial" w:eastAsia="Arial" w:hAnsi="Arial" w:cs="Arial"/>
      <w:color w:val="444444"/>
      <w:sz w:val="24"/>
      <w:szCs w:val="24"/>
    </w:rPr>
  </w:style>
  <w:style w:type="character" w:customStyle="1" w:styleId="Heading9Char">
    <w:name w:val="Heading 9 Char"/>
    <w:basedOn w:val="Fuentedeprrafopredeter"/>
    <w:uiPriority w:val="9"/>
    <w:rPr>
      <w:rFonts w:ascii="Arial" w:eastAsia="Arial" w:hAnsi="Arial" w:cs="Arial"/>
      <w:i/>
      <w:iCs/>
      <w:color w:val="444444"/>
      <w:sz w:val="23"/>
      <w:szCs w:val="23"/>
    </w:rPr>
  </w:style>
  <w:style w:type="paragraph" w:styleId="TDC1">
    <w:name w:val="toc 1"/>
    <w:aliases w:val="Título Capítulo"/>
    <w:basedOn w:val="Normal"/>
    <w:next w:val="Normal"/>
    <w:uiPriority w:val="39"/>
    <w:unhideWhenUsed/>
    <w:pPr>
      <w:spacing w:after="57"/>
    </w:pPr>
  </w:style>
  <w:style w:type="paragraph" w:styleId="TDC2">
    <w:name w:val="toc 2"/>
    <w:aliases w:val="Título Subcapítulo"/>
    <w:basedOn w:val="Normal"/>
    <w:next w:val="Normal"/>
    <w:uiPriority w:val="39"/>
    <w:unhideWhenUsed/>
    <w:pPr>
      <w:spacing w:after="57"/>
      <w:ind w:left="283"/>
    </w:pPr>
  </w:style>
  <w:style w:type="paragraph" w:styleId="TDC3">
    <w:name w:val="toc 3"/>
    <w:aliases w:val="Título Sección"/>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qFormat/>
  </w:style>
  <w:style w:type="table" w:styleId="Tablaconcuadrcula">
    <w:name w:val="Table Grid"/>
    <w:basedOn w:val="Tabla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vnculo">
    <w:name w:val="Hyperlink"/>
    <w:uiPriority w:val="99"/>
    <w:unhideWhenUsed/>
    <w:rPr>
      <w:color w:val="CC9900" w:themeColor="hyperlink"/>
      <w:u w:val="single"/>
    </w:rPr>
  </w:style>
  <w:style w:type="character" w:customStyle="1" w:styleId="FootnoteTextChar">
    <w:name w:val="Footnote Text Char"/>
    <w:basedOn w:val="Fuentedeprrafopredeter"/>
    <w:uiPriority w:val="99"/>
    <w:semiHidden/>
    <w:rPr>
      <w:sz w:val="20"/>
    </w:rPr>
  </w:style>
  <w:style w:type="character" w:styleId="Refdenotaalpie">
    <w:name w:val="footnote reference"/>
    <w:aliases w:val="Footnote Reference.SES,16 Point,Superscript 6 Point,Superscript 6 Point + 11 ...,Ref,de nota al pie"/>
    <w:basedOn w:val="Fuentedeprrafopredeter"/>
    <w:uiPriority w:val="99"/>
    <w:semiHidden/>
    <w:unhideWhenUsed/>
    <w:rPr>
      <w:vertAlign w:val="superscript"/>
    </w:rPr>
  </w:style>
  <w:style w:type="paragraph" w:styleId="Piedepgina">
    <w:name w:val="footer"/>
    <w:basedOn w:val="Normal"/>
    <w:unhideWhenUsed/>
    <w:pPr>
      <w:spacing w:after="0" w:line="240" w:lineRule="auto"/>
    </w:pPr>
    <w:rPr>
      <w:color w:val="000000"/>
      <w:sz w:val="20"/>
    </w:rPr>
  </w:style>
  <w:style w:type="paragraph" w:styleId="Encabezado">
    <w:name w:val="header"/>
    <w:basedOn w:val="Normal"/>
    <w:unhideWhenUsed/>
    <w:pPr>
      <w:tabs>
        <w:tab w:val="center" w:pos="7143"/>
        <w:tab w:val="right" w:pos="14287"/>
      </w:tabs>
      <w:spacing w:after="0" w:line="240" w:lineRule="auto"/>
    </w:pPr>
    <w:rPr>
      <w:color w:val="000000"/>
    </w:rPr>
  </w:style>
  <w:style w:type="paragraph" w:styleId="Sinespaciado">
    <w:name w:val="No Spacing"/>
    <w:basedOn w:val="Normal"/>
    <w:uiPriority w:val="1"/>
    <w:qFormat/>
    <w:pPr>
      <w:spacing w:after="0" w:line="240" w:lineRule="auto"/>
    </w:pPr>
    <w:rPr>
      <w:color w:val="000000"/>
    </w:rPr>
  </w:style>
  <w:style w:type="paragraph" w:styleId="Cita">
    <w:name w:val="Quote"/>
    <w:basedOn w:val="Normal"/>
    <w:next w:val="Normal"/>
    <w:uiPriority w:val="29"/>
    <w:qFormat/>
    <w:pPr>
      <w:pBdr>
        <w:top w:val="none" w:sz="8" w:space="9" w:color="000000"/>
        <w:left w:val="single" w:sz="18" w:space="9" w:color="D9D9D9" w:themeColor="background1" w:themeShade="D9"/>
        <w:bottom w:val="none" w:sz="8" w:space="9" w:color="000000"/>
        <w:right w:val="none" w:sz="8" w:space="9" w:color="000000"/>
        <w:between w:val="none" w:sz="4" w:space="9" w:color="000000"/>
      </w:pBdr>
      <w:spacing w:after="0"/>
      <w:ind w:left="709" w:right="720"/>
    </w:pPr>
    <w:rPr>
      <w:color w:val="000000" w:themeColor="text1"/>
      <w:sz w:val="20"/>
    </w:rPr>
  </w:style>
  <w:style w:type="paragraph" w:styleId="Subttulo">
    <w:name w:val="Subtitle"/>
    <w:basedOn w:val="Normal"/>
    <w:next w:val="Normal"/>
    <w:uiPriority w:val="11"/>
    <w:qFormat/>
    <w:pPr>
      <w:spacing w:line="240" w:lineRule="auto"/>
      <w:outlineLvl w:val="0"/>
    </w:pPr>
    <w:rPr>
      <w:color w:val="4E4A4A" w:themeColor="text2" w:themeShade="BF"/>
      <w:sz w:val="32"/>
    </w:rPr>
  </w:style>
  <w:style w:type="paragraph" w:styleId="Citadestacada">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Ttulo">
    <w:name w:val="Title"/>
    <w:basedOn w:val="Normal"/>
    <w:next w:val="Normal"/>
    <w:uiPriority w:val="10"/>
    <w:qFormat/>
    <w:pPr>
      <w:pBdr>
        <w:bottom w:val="single" w:sz="24" w:space="0" w:color="000000"/>
      </w:pBdr>
      <w:spacing w:before="300" w:after="80" w:line="240" w:lineRule="auto"/>
      <w:outlineLvl w:val="0"/>
    </w:pPr>
    <w:rPr>
      <w:b/>
      <w:color w:val="000000"/>
      <w:sz w:val="72"/>
    </w:rPr>
  </w:style>
  <w:style w:type="paragraph" w:styleId="Prrafodelista">
    <w:name w:val="List Paragraph"/>
    <w:basedOn w:val="Normal"/>
    <w:uiPriority w:val="34"/>
    <w:qFormat/>
    <w:pPr>
      <w:ind w:left="720"/>
      <w:contextualSpacing/>
    </w:pPr>
  </w:style>
  <w:style w:type="character" w:customStyle="1" w:styleId="Heading5character">
    <w:name w:val="Heading 5_character"/>
    <w:rPr>
      <w:sz w:val="26"/>
    </w:rPr>
  </w:style>
  <w:style w:type="character" w:customStyle="1" w:styleId="Subtitlecharacter">
    <w:name w:val="Subtitle_character"/>
    <w:rPr>
      <w:i w:val="0"/>
      <w:color w:val="4E4A4A" w:themeColor="text2" w:themeShade="BF"/>
      <w:sz w:val="32"/>
    </w:rPr>
  </w:style>
  <w:style w:type="character" w:customStyle="1" w:styleId="Heading4character">
    <w:name w:val="Heading 4_character"/>
  </w:style>
  <w:style w:type="character" w:customStyle="1" w:styleId="Heading3character">
    <w:name w:val="Heading 3_character"/>
  </w:style>
  <w:style w:type="character" w:customStyle="1" w:styleId="Normalcharacter">
    <w:name w:val="Normal_character"/>
  </w:style>
  <w:style w:type="character" w:customStyle="1" w:styleId="Seccionescharacter">
    <w:name w:val="Secciones_character"/>
    <w:rPr>
      <w:b/>
      <w:sz w:val="24"/>
    </w:rPr>
  </w:style>
  <w:style w:type="paragraph" w:customStyle="1" w:styleId="Secciones">
    <w:name w:val="Secciones"/>
    <w:next w:val="Normal"/>
    <w:qFormat/>
    <w:rPr>
      <w:b/>
      <w:sz w:val="24"/>
    </w:rPr>
  </w:style>
  <w:style w:type="character" w:customStyle="1" w:styleId="Textoseccionescharacter">
    <w:name w:val="Texto secciones_character"/>
    <w:rPr>
      <w:color w:val="808080" w:themeColor="background1" w:themeShade="80"/>
      <w:sz w:val="20"/>
    </w:rPr>
  </w:style>
  <w:style w:type="paragraph" w:customStyle="1" w:styleId="Textosecciones">
    <w:name w:val="Texto secciones"/>
    <w:next w:val="Normal"/>
    <w:uiPriority w:val="99"/>
    <w:qFormat/>
    <w:pPr>
      <w:spacing w:after="28" w:line="240" w:lineRule="auto"/>
    </w:pPr>
    <w:rPr>
      <w:color w:val="808080" w:themeColor="background1" w:themeShade="80"/>
      <w:sz w:val="20"/>
    </w:rPr>
  </w:style>
  <w:style w:type="character" w:customStyle="1" w:styleId="Titulodocumentocharacter">
    <w:name w:val="Titulo documento_character"/>
    <w:rPr>
      <w:b/>
      <w:sz w:val="48"/>
    </w:rPr>
  </w:style>
  <w:style w:type="paragraph" w:customStyle="1" w:styleId="Titulodocumento">
    <w:name w:val="Titulo documento"/>
    <w:next w:val="Normal"/>
    <w:qFormat/>
    <w:rPr>
      <w:b/>
      <w:sz w:val="48"/>
    </w:rPr>
  </w:style>
  <w:style w:type="character" w:customStyle="1" w:styleId="Footercharacter">
    <w:name w:val="Footer_character"/>
    <w:basedOn w:val="Refdenotaalpie"/>
    <w:rPr>
      <w:sz w:val="20"/>
      <w:vertAlign w:val="superscript"/>
    </w:rPr>
  </w:style>
  <w:style w:type="character" w:customStyle="1" w:styleId="Quotecharacter">
    <w:name w:val="Quote_character"/>
    <w:rPr>
      <w:i w:val="0"/>
      <w:color w:val="000000" w:themeColor="text1"/>
    </w:rPr>
  </w:style>
  <w:style w:type="character" w:customStyle="1" w:styleId="Seccindocumentocharacter">
    <w:name w:val="Sección documento_character"/>
    <w:rPr>
      <w:b/>
      <w:sz w:val="24"/>
    </w:rPr>
  </w:style>
  <w:style w:type="paragraph" w:customStyle="1" w:styleId="Seccindocumento">
    <w:name w:val="Sección documento"/>
    <w:next w:val="Normal"/>
    <w:qFormat/>
    <w:pPr>
      <w:pBdr>
        <w:bottom w:val="single" w:sz="8" w:space="0" w:color="808080" w:themeColor="background1" w:themeShade="80"/>
      </w:pBdr>
      <w:spacing w:after="142"/>
    </w:pPr>
    <w:rPr>
      <w:b/>
      <w:sz w:val="24"/>
    </w:rPr>
  </w:style>
  <w:style w:type="character" w:customStyle="1" w:styleId="Titulotablacharacter">
    <w:name w:val="Titulo tabla_character"/>
    <w:rPr>
      <w:b w:val="0"/>
    </w:rPr>
  </w:style>
  <w:style w:type="paragraph" w:customStyle="1" w:styleId="Titulotabla">
    <w:name w:val="Titulo tabla"/>
    <w:next w:val="Normal"/>
    <w:qFormat/>
    <w:pPr>
      <w:spacing w:before="283" w:after="57"/>
      <w:jc w:val="center"/>
    </w:pPr>
    <w:rPr>
      <w:color w:val="7F7F7F" w:themeColor="text1" w:themeTint="80"/>
    </w:rPr>
  </w:style>
  <w:style w:type="character" w:customStyle="1" w:styleId="Piedetablacharacter">
    <w:name w:val="Pie de tabla_character"/>
    <w:rPr>
      <w:b w:val="0"/>
      <w:color w:val="7F7F7F" w:themeColor="text1" w:themeTint="80"/>
      <w:sz w:val="18"/>
    </w:rPr>
  </w:style>
  <w:style w:type="paragraph" w:customStyle="1" w:styleId="Piedetabla">
    <w:name w:val="Pie de tabla"/>
    <w:next w:val="Normal"/>
    <w:qFormat/>
    <w:pPr>
      <w:spacing w:before="85" w:after="283"/>
      <w:jc w:val="center"/>
    </w:pPr>
    <w:rPr>
      <w:color w:val="7F7F7F" w:themeColor="text1" w:themeTint="80"/>
      <w:sz w:val="18"/>
    </w:rPr>
  </w:style>
  <w:style w:type="character" w:customStyle="1" w:styleId="TextonotapieCar">
    <w:name w:val="Texto nota pie Car"/>
    <w:aliases w:val="Footnote Text Char Char Char Char Car,Footnote Text Char Char Char Car,Footnote Text.SES Car,Footnote Text Char Char Char Char Char Car,Footnote reference Car,FA Fu Car"/>
    <w:basedOn w:val="Fuentedeprrafopredeter"/>
    <w:link w:val="Textonotapie"/>
    <w:uiPriority w:val="99"/>
    <w:rsid w:val="006637B6"/>
    <w:rPr>
      <w:sz w:val="20"/>
    </w:rPr>
  </w:style>
  <w:style w:type="paragraph" w:styleId="Textodeglobo">
    <w:name w:val="Balloon Text"/>
    <w:basedOn w:val="Normal"/>
    <w:link w:val="TextodegloboCar"/>
    <w:semiHidden/>
    <w:unhideWhenUsed/>
    <w:rsid w:val="00A870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003"/>
    <w:rPr>
      <w:rFonts w:ascii="Segoe UI" w:hAnsi="Segoe UI" w:cs="Segoe UI"/>
      <w:sz w:val="18"/>
      <w:szCs w:val="18"/>
    </w:rPr>
  </w:style>
  <w:style w:type="paragraph" w:customStyle="1" w:styleId="DecimalAligned">
    <w:name w:val="Decimal Aligned"/>
    <w:basedOn w:val="Normal"/>
    <w:uiPriority w:val="40"/>
    <w:qFormat/>
    <w:rsid w:val="00212FB5"/>
    <w:pPr>
      <w:pBdr>
        <w:top w:val="none" w:sz="0" w:space="0" w:color="auto"/>
        <w:left w:val="none" w:sz="0" w:space="0" w:color="auto"/>
        <w:bottom w:val="none" w:sz="0" w:space="0" w:color="auto"/>
        <w:right w:val="none" w:sz="0" w:space="0" w:color="auto"/>
        <w:between w:val="none" w:sz="0" w:space="0" w:color="auto"/>
      </w:pBdr>
      <w:tabs>
        <w:tab w:val="decimal" w:pos="360"/>
      </w:tabs>
      <w:jc w:val="left"/>
    </w:pPr>
    <w:rPr>
      <w:rFonts w:asciiTheme="minorHAnsi" w:eastAsiaTheme="minorEastAsia" w:hAnsiTheme="minorHAnsi" w:cs="Times New Roman"/>
      <w:lang w:val="es-CL" w:eastAsia="es-CL"/>
    </w:rPr>
  </w:style>
  <w:style w:type="character" w:styleId="nfasissutil">
    <w:name w:val="Subtle Emphasis"/>
    <w:basedOn w:val="Fuentedeprrafopredeter"/>
    <w:uiPriority w:val="19"/>
    <w:qFormat/>
    <w:rsid w:val="00212FB5"/>
    <w:rPr>
      <w:i/>
      <w:iCs/>
    </w:rPr>
  </w:style>
  <w:style w:type="table" w:styleId="Sombreadoclaro-nfasis1">
    <w:name w:val="Light Shading Accent 1"/>
    <w:basedOn w:val="Tablanormal"/>
    <w:uiPriority w:val="60"/>
    <w:rsid w:val="00212FB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9D3511" w:themeColor="accent1" w:themeShade="BF"/>
      <w:lang w:val="es-CL" w:eastAsia="es-CL"/>
    </w:rPr>
    <w:tblPr>
      <w:tblStyleRowBandSize w:val="1"/>
      <w:tblStyleColBandSize w:val="1"/>
      <w:tblBorders>
        <w:top w:val="single" w:sz="8" w:space="0" w:color="D34817" w:themeColor="accent1"/>
        <w:bottom w:val="single" w:sz="8" w:space="0" w:color="D34817" w:themeColor="accent1"/>
      </w:tblBorders>
    </w:tblPr>
    <w:tblStylePr w:type="fir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la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left w:val="nil"/>
          <w:right w:val="nil"/>
          <w:insideH w:val="nil"/>
          <w:insideV w:val="nil"/>
        </w:tcBorders>
        <w:shd w:val="clear" w:color="auto" w:fill="F8CFC1" w:themeFill="accent1" w:themeFillTint="3F"/>
      </w:tcPr>
    </w:tblStylePr>
  </w:style>
  <w:style w:type="table" w:customStyle="1" w:styleId="TablaATPBCN">
    <w:name w:val="TablaATP_BCN"/>
    <w:basedOn w:val="Tablanormal"/>
    <w:rsid w:val="00EF7361"/>
    <w:pPr>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Verdana" w:eastAsia="Times New Roman" w:hAnsi="Verdana" w:cs="Times New Roman"/>
      <w:sz w:val="18"/>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StylePr>
    <w:tblStylePr w:type="lastRow">
      <w:rPr>
        <w:b/>
      </w:rPr>
    </w:tblStylePr>
    <w:tblStylePr w:type="firstCol">
      <w:pPr>
        <w:jc w:val="right"/>
      </w:pPr>
    </w:tblStylePr>
  </w:style>
  <w:style w:type="paragraph" w:customStyle="1" w:styleId="ATtuloInicial">
    <w:name w:val="A Título Inicial"/>
    <w:basedOn w:val="Normal"/>
    <w:link w:val="ATtuloInicialCarCar"/>
    <w:rsid w:val="00EF7361"/>
    <w:pPr>
      <w:pBdr>
        <w:top w:val="none" w:sz="0" w:space="0" w:color="auto"/>
        <w:left w:val="none" w:sz="0" w:space="0" w:color="auto"/>
        <w:bottom w:val="none" w:sz="0" w:space="0" w:color="auto"/>
        <w:right w:val="none" w:sz="0" w:space="0" w:color="auto"/>
        <w:between w:val="none" w:sz="0" w:space="0" w:color="auto"/>
      </w:pBdr>
      <w:spacing w:before="800" w:line="240" w:lineRule="auto"/>
      <w:jc w:val="center"/>
    </w:pPr>
    <w:rPr>
      <w:rFonts w:ascii="Verdana" w:eastAsia="Times New Roman" w:hAnsi="Verdana" w:cs="Times New Roman"/>
      <w:b/>
      <w:sz w:val="24"/>
      <w:szCs w:val="24"/>
      <w:lang w:eastAsia="es-ES"/>
    </w:rPr>
  </w:style>
  <w:style w:type="character" w:customStyle="1" w:styleId="ATtuloInicialCarCar">
    <w:name w:val="A Título Inicial Car Car"/>
    <w:link w:val="ATtuloInicial"/>
    <w:rsid w:val="00EF7361"/>
    <w:rPr>
      <w:rFonts w:ascii="Verdana" w:eastAsia="Times New Roman" w:hAnsi="Verdana" w:cs="Times New Roman"/>
      <w:b/>
      <w:sz w:val="24"/>
      <w:szCs w:val="24"/>
      <w:lang w:eastAsia="es-ES"/>
    </w:rPr>
  </w:style>
  <w:style w:type="paragraph" w:customStyle="1" w:styleId="TabladeContenidos">
    <w:name w:val="Tabla de Contenidos"/>
    <w:basedOn w:val="Normal"/>
    <w:autoRedefine/>
    <w:rsid w:val="00EF736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Times New Roman"/>
      <w:sz w:val="20"/>
      <w:szCs w:val="24"/>
      <w:lang w:eastAsia="es-ES"/>
    </w:rPr>
  </w:style>
  <w:style w:type="character" w:customStyle="1" w:styleId="Ttulo1Car1">
    <w:name w:val="Título 1 Car1"/>
    <w:aliases w:val="Título del Capítulo Car"/>
    <w:link w:val="Ttulo1"/>
    <w:rsid w:val="00EF7361"/>
    <w:rPr>
      <w:b/>
      <w:bCs/>
      <w:color w:val="000000" w:themeColor="text1"/>
      <w:sz w:val="48"/>
      <w:szCs w:val="48"/>
    </w:rPr>
  </w:style>
  <w:style w:type="paragraph" w:customStyle="1" w:styleId="TtulodeConclusiones">
    <w:name w:val="Título de Conclusiones"/>
    <w:basedOn w:val="Ttulo2"/>
    <w:rsid w:val="00EF7361"/>
    <w:pPr>
      <w:keepLines w:val="0"/>
      <w:pBdr>
        <w:top w:val="none" w:sz="0" w:space="0" w:color="auto"/>
        <w:left w:val="none" w:sz="0" w:space="0" w:color="auto"/>
        <w:bottom w:val="none" w:sz="0" w:space="0" w:color="auto"/>
        <w:right w:val="none" w:sz="0" w:space="0" w:color="auto"/>
        <w:between w:val="none" w:sz="0" w:space="0" w:color="auto"/>
      </w:pBdr>
      <w:spacing w:before="120" w:after="120" w:line="240" w:lineRule="auto"/>
    </w:pPr>
    <w:rPr>
      <w:rFonts w:ascii="Verdana" w:eastAsia="Times New Roman" w:hAnsi="Verdana"/>
      <w:iCs/>
      <w:color w:val="auto"/>
      <w:sz w:val="20"/>
      <w:szCs w:val="28"/>
      <w:lang w:eastAsia="es-ES"/>
    </w:rPr>
  </w:style>
  <w:style w:type="paragraph" w:customStyle="1" w:styleId="TtuloTablaContenidos">
    <w:name w:val="Título Tabla Contenidos"/>
    <w:basedOn w:val="TabladeContenidos"/>
    <w:rsid w:val="00EF7361"/>
  </w:style>
  <w:style w:type="paragraph" w:customStyle="1" w:styleId="TtulodeAnexos">
    <w:name w:val="Título de Anexos"/>
    <w:basedOn w:val="TDC2"/>
    <w:rsid w:val="00EF7361"/>
    <w:pPr>
      <w:pBdr>
        <w:top w:val="none" w:sz="0" w:space="0" w:color="auto"/>
        <w:left w:val="none" w:sz="0" w:space="0" w:color="auto"/>
        <w:bottom w:val="none" w:sz="0" w:space="0" w:color="auto"/>
        <w:right w:val="none" w:sz="0" w:space="0" w:color="auto"/>
        <w:between w:val="none" w:sz="0" w:space="0" w:color="auto"/>
      </w:pBdr>
      <w:tabs>
        <w:tab w:val="left" w:pos="500"/>
        <w:tab w:val="right" w:leader="dot" w:pos="8546"/>
      </w:tabs>
      <w:spacing w:after="0" w:line="240" w:lineRule="auto"/>
      <w:ind w:left="709" w:hanging="709"/>
    </w:pPr>
    <w:rPr>
      <w:rFonts w:ascii="Verdana" w:eastAsia="Times New Roman" w:hAnsi="Verdana" w:cs="Times New Roman"/>
      <w:b/>
      <w:sz w:val="20"/>
      <w:szCs w:val="24"/>
      <w:lang w:eastAsia="es-ES"/>
    </w:rPr>
  </w:style>
  <w:style w:type="paragraph" w:customStyle="1" w:styleId="TtuloTablas">
    <w:name w:val="Título Tablas"/>
    <w:basedOn w:val="Normal"/>
    <w:rsid w:val="00EF7361"/>
    <w:pPr>
      <w:numPr>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369" w:hanging="369"/>
    </w:pPr>
    <w:rPr>
      <w:rFonts w:ascii="Verdana" w:eastAsia="Times New Roman" w:hAnsi="Verdana" w:cs="Times New Roman"/>
      <w:sz w:val="18"/>
      <w:szCs w:val="24"/>
      <w:lang w:eastAsia="es-ES"/>
    </w:rPr>
  </w:style>
  <w:style w:type="paragraph" w:customStyle="1" w:styleId="TtuloFiguras">
    <w:name w:val="Título Figuras"/>
    <w:basedOn w:val="TtuloTablas"/>
    <w:rsid w:val="00EF7361"/>
    <w:pPr>
      <w:numPr>
        <w:numId w:val="2"/>
      </w:numPr>
    </w:pPr>
  </w:style>
  <w:style w:type="paragraph" w:customStyle="1" w:styleId="FuenteTablasyGrficos">
    <w:name w:val="Fuente Tablas y Gráficos"/>
    <w:basedOn w:val="Normal"/>
    <w:rsid w:val="00EF7361"/>
    <w:pPr>
      <w:numPr>
        <w:numId w:val="4"/>
      </w:numPr>
      <w:pBdr>
        <w:top w:val="none" w:sz="0" w:space="0" w:color="auto"/>
        <w:left w:val="none" w:sz="0" w:space="0" w:color="auto"/>
        <w:bottom w:val="none" w:sz="0" w:space="0" w:color="auto"/>
        <w:right w:val="none" w:sz="0" w:space="0" w:color="auto"/>
        <w:between w:val="none" w:sz="0" w:space="0" w:color="auto"/>
      </w:pBdr>
      <w:spacing w:after="0" w:line="240" w:lineRule="auto"/>
      <w:ind w:left="369" w:hanging="369"/>
    </w:pPr>
    <w:rPr>
      <w:rFonts w:ascii="Verdana" w:eastAsia="Times New Roman" w:hAnsi="Verdana" w:cs="Times New Roman"/>
      <w:sz w:val="18"/>
      <w:szCs w:val="24"/>
      <w:lang w:eastAsia="es-ES"/>
    </w:rPr>
  </w:style>
  <w:style w:type="paragraph" w:customStyle="1" w:styleId="Enumeracindeideassinorden">
    <w:name w:val="Enumeración de ideas (sin orden)"/>
    <w:basedOn w:val="Normal"/>
    <w:rsid w:val="00EF7361"/>
    <w:pPr>
      <w:numPr>
        <w:numId w:val="6"/>
      </w:num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Times New Roman"/>
      <w:sz w:val="20"/>
      <w:szCs w:val="24"/>
      <w:lang w:eastAsia="es-ES"/>
    </w:rPr>
  </w:style>
  <w:style w:type="paragraph" w:customStyle="1" w:styleId="Enumeracindeideasordenadas">
    <w:name w:val="Enumeración de ideas ordenadas"/>
    <w:basedOn w:val="Enumeracindeideassinorden"/>
    <w:rsid w:val="00EF7361"/>
    <w:pPr>
      <w:numPr>
        <w:numId w:val="5"/>
      </w:numPr>
    </w:pPr>
  </w:style>
  <w:style w:type="paragraph" w:customStyle="1" w:styleId="TtuloInforme">
    <w:name w:val="Título Informe"/>
    <w:basedOn w:val="Normal"/>
    <w:next w:val="Ttulo1"/>
    <w:rsid w:val="00EF7361"/>
    <w:pPr>
      <w:pBdr>
        <w:top w:val="none" w:sz="0" w:space="0" w:color="auto"/>
        <w:left w:val="none" w:sz="0" w:space="0" w:color="auto"/>
        <w:bottom w:val="none" w:sz="0" w:space="0" w:color="auto"/>
        <w:right w:val="none" w:sz="0" w:space="0" w:color="auto"/>
        <w:between w:val="none" w:sz="0" w:space="0" w:color="auto"/>
      </w:pBdr>
      <w:spacing w:before="800" w:line="360" w:lineRule="auto"/>
      <w:ind w:right="45"/>
      <w:jc w:val="center"/>
    </w:pPr>
    <w:rPr>
      <w:rFonts w:ascii="Verdana" w:eastAsia="Times New Roman" w:hAnsi="Verdana" w:cs="Times New Roman"/>
      <w:b/>
      <w:color w:val="000000"/>
      <w:sz w:val="24"/>
      <w:szCs w:val="20"/>
      <w:lang w:eastAsia="es-ES"/>
    </w:rPr>
  </w:style>
  <w:style w:type="paragraph" w:customStyle="1" w:styleId="TablasFigura">
    <w:name w:val="Tablas_Figura"/>
    <w:basedOn w:val="Normal"/>
    <w:rsid w:val="00EF736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Times New Roman"/>
      <w:sz w:val="18"/>
      <w:szCs w:val="24"/>
      <w:lang w:eastAsia="es-ES"/>
    </w:rPr>
  </w:style>
  <w:style w:type="paragraph" w:customStyle="1" w:styleId="Fuente">
    <w:name w:val="Fuente"/>
    <w:basedOn w:val="Normal"/>
    <w:rsid w:val="00EF736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Times New Roman"/>
      <w:sz w:val="18"/>
      <w:szCs w:val="24"/>
      <w:lang w:eastAsia="es-ES"/>
    </w:rPr>
  </w:style>
  <w:style w:type="character" w:styleId="Nmerodepgina">
    <w:name w:val="page number"/>
    <w:rsid w:val="00EF7361"/>
    <w:rPr>
      <w:rFonts w:ascii="Verdana" w:hAnsi="Verdana"/>
      <w:sz w:val="16"/>
    </w:rPr>
  </w:style>
  <w:style w:type="paragraph" w:customStyle="1" w:styleId="IdentificacinAutor">
    <w:name w:val="Identificación Autor"/>
    <w:basedOn w:val="Normal"/>
    <w:rsid w:val="00EF736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Times New Roman"/>
      <w:sz w:val="18"/>
      <w:szCs w:val="24"/>
      <w:lang w:eastAsia="es-ES"/>
    </w:rPr>
  </w:style>
  <w:style w:type="paragraph" w:customStyle="1" w:styleId="AntecedentesConclusin">
    <w:name w:val="Antecedentes_Conclusión"/>
    <w:basedOn w:val="Ttulo1"/>
    <w:rsid w:val="00EF7361"/>
    <w:pPr>
      <w:keepLines w:val="0"/>
      <w:pBdr>
        <w:top w:val="none" w:sz="0" w:space="0" w:color="auto"/>
        <w:left w:val="none" w:sz="0" w:space="0" w:color="auto"/>
        <w:bottom w:val="none" w:sz="0" w:space="0" w:color="auto"/>
        <w:right w:val="none" w:sz="0" w:space="0" w:color="auto"/>
        <w:between w:val="none" w:sz="0" w:space="0" w:color="auto"/>
      </w:pBdr>
      <w:spacing w:before="160" w:after="60" w:line="360" w:lineRule="auto"/>
    </w:pPr>
    <w:rPr>
      <w:rFonts w:ascii="Verdana" w:eastAsia="Times New Roman" w:hAnsi="Verdana" w:cs="Times New Roman"/>
      <w:color w:val="auto"/>
      <w:sz w:val="20"/>
      <w:szCs w:val="20"/>
      <w:lang w:eastAsia="es-ES"/>
    </w:rPr>
  </w:style>
  <w:style w:type="table" w:styleId="Tablaclsica1">
    <w:name w:val="Table Classic 1"/>
    <w:basedOn w:val="Tablanormal"/>
    <w:rsid w:val="00EF7361"/>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cs="Times New Roman"/>
      <w:sz w:val="20"/>
      <w:szCs w:val="20"/>
      <w:lang w:val="es-CL" w:eastAsia="es-C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1CarCar">
    <w:name w:val="Título 1 Car Car"/>
    <w:rsid w:val="00EF7361"/>
    <w:rPr>
      <w:rFonts w:ascii="Verdana" w:hAnsi="Verdana" w:cs="Arial"/>
      <w:b/>
      <w:bCs/>
      <w:lang w:val="es-ES" w:eastAsia="es-ES" w:bidi="ar-SA"/>
    </w:rPr>
  </w:style>
  <w:style w:type="table" w:customStyle="1" w:styleId="TablaATP">
    <w:name w:val="TablaATP"/>
    <w:basedOn w:val="Tablanormal"/>
    <w:rsid w:val="00EF7361"/>
    <w:pPr>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Verdana" w:eastAsia="Times New Roman" w:hAnsi="Verdana" w:cs="Times New Roman"/>
      <w:sz w:val="18"/>
      <w:szCs w:val="20"/>
      <w:lang w:val="es-CL" w:eastAsia="es-C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wordWrap/>
        <w:jc w:val="center"/>
      </w:pPr>
      <w:rPr>
        <w:rFonts w:ascii="Calibri Light" w:hAnsi="Calibri Light"/>
        <w:sz w:val="18"/>
      </w:rPr>
    </w:tblStylePr>
    <w:tblStylePr w:type="lastRow">
      <w:pPr>
        <w:jc w:val="right"/>
      </w:pPr>
      <w:rPr>
        <w:rFonts w:ascii="Calibri Light" w:hAnsi="Calibri Light"/>
        <w:b/>
        <w:sz w:val="18"/>
      </w:rPr>
    </w:tblStylePr>
  </w:style>
  <w:style w:type="character" w:customStyle="1" w:styleId="Ttulo1Car">
    <w:name w:val="Título 1 Car"/>
    <w:rsid w:val="00EF7361"/>
    <w:rPr>
      <w:rFonts w:ascii="Verdana" w:hAnsi="Verdana" w:cs="Arial"/>
      <w:b/>
      <w:bCs/>
      <w:lang w:val="es-ES" w:eastAsia="es-ES" w:bidi="ar-SA"/>
    </w:rPr>
  </w:style>
  <w:style w:type="character" w:customStyle="1" w:styleId="longtext">
    <w:name w:val="long_text"/>
    <w:basedOn w:val="Fuentedeprrafopredeter"/>
    <w:rsid w:val="00EF7361"/>
  </w:style>
  <w:style w:type="character" w:customStyle="1" w:styleId="mediumtext">
    <w:name w:val="medium_text"/>
    <w:basedOn w:val="Fuentedeprrafopredeter"/>
    <w:rsid w:val="00EF7361"/>
  </w:style>
  <w:style w:type="character" w:customStyle="1" w:styleId="shorttext">
    <w:name w:val="short_text"/>
    <w:basedOn w:val="Fuentedeprrafopredeter"/>
    <w:rsid w:val="00EF7361"/>
  </w:style>
  <w:style w:type="character" w:styleId="Refdecomentario">
    <w:name w:val="annotation reference"/>
    <w:semiHidden/>
    <w:rsid w:val="00EF7361"/>
    <w:rPr>
      <w:sz w:val="16"/>
      <w:szCs w:val="16"/>
    </w:rPr>
  </w:style>
  <w:style w:type="paragraph" w:styleId="Textocomentario">
    <w:name w:val="annotation text"/>
    <w:basedOn w:val="Normal"/>
    <w:link w:val="TextocomentarioCar"/>
    <w:semiHidden/>
    <w:rsid w:val="00EF736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Verdana" w:eastAsia="Times New Roman" w:hAnsi="Verdana" w:cs="Times New Roman"/>
      <w:sz w:val="20"/>
      <w:szCs w:val="20"/>
      <w:lang w:eastAsia="es-ES"/>
    </w:rPr>
  </w:style>
  <w:style w:type="character" w:customStyle="1" w:styleId="TextocomentarioCar">
    <w:name w:val="Texto comentario Car"/>
    <w:basedOn w:val="Fuentedeprrafopredeter"/>
    <w:link w:val="Textocomentario"/>
    <w:semiHidden/>
    <w:rsid w:val="00EF7361"/>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semiHidden/>
    <w:rsid w:val="00EF7361"/>
    <w:rPr>
      <w:b/>
      <w:bCs/>
    </w:rPr>
  </w:style>
  <w:style w:type="character" w:customStyle="1" w:styleId="AsuntodelcomentarioCar">
    <w:name w:val="Asunto del comentario Car"/>
    <w:basedOn w:val="TextocomentarioCar"/>
    <w:link w:val="Asuntodelcomentario"/>
    <w:semiHidden/>
    <w:rsid w:val="00EF7361"/>
    <w:rPr>
      <w:rFonts w:ascii="Verdana" w:eastAsia="Times New Roman" w:hAnsi="Verdana" w:cs="Times New Roman"/>
      <w:b/>
      <w:bCs/>
      <w:sz w:val="20"/>
      <w:szCs w:val="20"/>
      <w:lang w:eastAsia="es-ES"/>
    </w:rPr>
  </w:style>
  <w:style w:type="character" w:styleId="Hipervnculovisitado">
    <w:name w:val="FollowedHyperlink"/>
    <w:rsid w:val="00EF7361"/>
    <w:rPr>
      <w:color w:val="800080"/>
      <w:u w:val="single"/>
    </w:rPr>
  </w:style>
  <w:style w:type="character" w:customStyle="1" w:styleId="hps">
    <w:name w:val="hps"/>
    <w:basedOn w:val="Fuentedeprrafopredeter"/>
    <w:rsid w:val="00EF7361"/>
  </w:style>
  <w:style w:type="paragraph" w:styleId="NormalWeb">
    <w:name w:val="Normal (Web)"/>
    <w:basedOn w:val="Normal"/>
    <w:uiPriority w:val="99"/>
    <w:unhideWhenUsed/>
    <w:rsid w:val="00EF736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 w:val="24"/>
      <w:szCs w:val="24"/>
      <w:lang w:val="es-CL" w:eastAsia="es-CL"/>
    </w:rPr>
  </w:style>
  <w:style w:type="character" w:customStyle="1" w:styleId="Mencinsinresolver1">
    <w:name w:val="Mención sin resolver1"/>
    <w:basedOn w:val="Fuentedeprrafopredeter"/>
    <w:uiPriority w:val="99"/>
    <w:semiHidden/>
    <w:unhideWhenUsed/>
    <w:rsid w:val="00875E77"/>
    <w:rPr>
      <w:color w:val="605E5C"/>
      <w:shd w:val="clear" w:color="auto" w:fill="E1DFDD"/>
    </w:rPr>
  </w:style>
  <w:style w:type="paragraph" w:styleId="Revisin">
    <w:name w:val="Revision"/>
    <w:hidden/>
    <w:uiPriority w:val="99"/>
    <w:semiHidden/>
    <w:rsid w:val="000073B3"/>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138">
      <w:bodyDiv w:val="1"/>
      <w:marLeft w:val="0"/>
      <w:marRight w:val="0"/>
      <w:marTop w:val="0"/>
      <w:marBottom w:val="0"/>
      <w:divBdr>
        <w:top w:val="none" w:sz="0" w:space="0" w:color="auto"/>
        <w:left w:val="none" w:sz="0" w:space="0" w:color="auto"/>
        <w:bottom w:val="none" w:sz="0" w:space="0" w:color="auto"/>
        <w:right w:val="none" w:sz="0" w:space="0" w:color="auto"/>
      </w:divBdr>
    </w:div>
    <w:div w:id="911887780">
      <w:bodyDiv w:val="1"/>
      <w:marLeft w:val="0"/>
      <w:marRight w:val="0"/>
      <w:marTop w:val="0"/>
      <w:marBottom w:val="0"/>
      <w:divBdr>
        <w:top w:val="none" w:sz="0" w:space="0" w:color="auto"/>
        <w:left w:val="none" w:sz="0" w:space="0" w:color="auto"/>
        <w:bottom w:val="none" w:sz="0" w:space="0" w:color="auto"/>
        <w:right w:val="none" w:sz="0" w:space="0" w:color="auto"/>
      </w:divBdr>
    </w:div>
    <w:div w:id="1299460000">
      <w:bodyDiv w:val="1"/>
      <w:marLeft w:val="0"/>
      <w:marRight w:val="0"/>
      <w:marTop w:val="0"/>
      <w:marBottom w:val="0"/>
      <w:divBdr>
        <w:top w:val="none" w:sz="0" w:space="0" w:color="auto"/>
        <w:left w:val="none" w:sz="0" w:space="0" w:color="auto"/>
        <w:bottom w:val="none" w:sz="0" w:space="0" w:color="auto"/>
        <w:right w:val="none" w:sz="0" w:space="0" w:color="auto"/>
      </w:divBdr>
    </w:div>
    <w:div w:id="1431587910">
      <w:bodyDiv w:val="1"/>
      <w:marLeft w:val="0"/>
      <w:marRight w:val="0"/>
      <w:marTop w:val="0"/>
      <w:marBottom w:val="0"/>
      <w:divBdr>
        <w:top w:val="none" w:sz="0" w:space="0" w:color="auto"/>
        <w:left w:val="none" w:sz="0" w:space="0" w:color="auto"/>
        <w:bottom w:val="none" w:sz="0" w:space="0" w:color="auto"/>
        <w:right w:val="none" w:sz="0" w:space="0" w:color="auto"/>
      </w:divBdr>
    </w:div>
    <w:div w:id="1537739459">
      <w:bodyDiv w:val="1"/>
      <w:marLeft w:val="0"/>
      <w:marRight w:val="0"/>
      <w:marTop w:val="0"/>
      <w:marBottom w:val="0"/>
      <w:divBdr>
        <w:top w:val="none" w:sz="0" w:space="0" w:color="auto"/>
        <w:left w:val="none" w:sz="0" w:space="0" w:color="auto"/>
        <w:bottom w:val="none" w:sz="0" w:space="0" w:color="auto"/>
        <w:right w:val="none" w:sz="0" w:space="0" w:color="auto"/>
      </w:divBdr>
    </w:div>
    <w:div w:id="1579946282">
      <w:bodyDiv w:val="1"/>
      <w:marLeft w:val="0"/>
      <w:marRight w:val="0"/>
      <w:marTop w:val="0"/>
      <w:marBottom w:val="0"/>
      <w:divBdr>
        <w:top w:val="none" w:sz="0" w:space="0" w:color="auto"/>
        <w:left w:val="none" w:sz="0" w:space="0" w:color="auto"/>
        <w:bottom w:val="none" w:sz="0" w:space="0" w:color="auto"/>
        <w:right w:val="none" w:sz="0" w:space="0" w:color="auto"/>
      </w:divBdr>
    </w:div>
    <w:div w:id="1604727757">
      <w:bodyDiv w:val="1"/>
      <w:marLeft w:val="0"/>
      <w:marRight w:val="0"/>
      <w:marTop w:val="0"/>
      <w:marBottom w:val="0"/>
      <w:divBdr>
        <w:top w:val="none" w:sz="0" w:space="0" w:color="auto"/>
        <w:left w:val="none" w:sz="0" w:space="0" w:color="auto"/>
        <w:bottom w:val="none" w:sz="0" w:space="0" w:color="auto"/>
        <w:right w:val="none" w:sz="0" w:space="0" w:color="auto"/>
      </w:divBdr>
    </w:div>
    <w:div w:id="1963220249">
      <w:bodyDiv w:val="1"/>
      <w:marLeft w:val="0"/>
      <w:marRight w:val="0"/>
      <w:marTop w:val="0"/>
      <w:marBottom w:val="0"/>
      <w:divBdr>
        <w:top w:val="none" w:sz="0" w:space="0" w:color="auto"/>
        <w:left w:val="none" w:sz="0" w:space="0" w:color="auto"/>
        <w:bottom w:val="none" w:sz="0" w:space="0" w:color="auto"/>
        <w:right w:val="none" w:sz="0" w:space="0" w:color="auto"/>
      </w:divBdr>
    </w:div>
    <w:div w:id="1983998707">
      <w:bodyDiv w:val="1"/>
      <w:marLeft w:val="0"/>
      <w:marRight w:val="0"/>
      <w:marTop w:val="0"/>
      <w:marBottom w:val="0"/>
      <w:divBdr>
        <w:top w:val="none" w:sz="0" w:space="0" w:color="auto"/>
        <w:left w:val="none" w:sz="0" w:space="0" w:color="auto"/>
        <w:bottom w:val="none" w:sz="0" w:space="0" w:color="auto"/>
        <w:right w:val="none" w:sz="0" w:space="0" w:color="auto"/>
      </w:divBdr>
    </w:div>
    <w:div w:id="21473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ancibia@bcn.cl"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sh.govt.nz"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eidenslaufer@bcn.c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bcn.cl/1s9m6" TargetMode="External"/><Relationship Id="rId18" Type="http://schemas.openxmlformats.org/officeDocument/2006/relationships/hyperlink" Target="http://bcn.cl/1s9n3" TargetMode="External"/><Relationship Id="rId26" Type="http://schemas.openxmlformats.org/officeDocument/2006/relationships/hyperlink" Target="http://bcn.cl/1sahw" TargetMode="External"/><Relationship Id="rId39" Type="http://schemas.openxmlformats.org/officeDocument/2006/relationships/hyperlink" Target="http://bcn.cl/1saji" TargetMode="External"/><Relationship Id="rId21" Type="http://schemas.openxmlformats.org/officeDocument/2006/relationships/hyperlink" Target="http://bcn.cl/3c5hz" TargetMode="External"/><Relationship Id="rId34" Type="http://schemas.openxmlformats.org/officeDocument/2006/relationships/hyperlink" Target="http://bcn.cl/1r9c8" TargetMode="External"/><Relationship Id="rId42" Type="http://schemas.openxmlformats.org/officeDocument/2006/relationships/hyperlink" Target="http://bcn.cl/3hsbd" TargetMode="External"/><Relationship Id="rId47" Type="http://schemas.openxmlformats.org/officeDocument/2006/relationships/hyperlink" Target="http://bcn.cl/2bcnp" TargetMode="External"/><Relationship Id="rId50" Type="http://schemas.openxmlformats.org/officeDocument/2006/relationships/hyperlink" Target="http://bcn.cl/2bco5" TargetMode="External"/><Relationship Id="rId7" Type="http://schemas.openxmlformats.org/officeDocument/2006/relationships/hyperlink" Target="http://bcn.cl/1s9mc" TargetMode="External"/><Relationship Id="rId2" Type="http://schemas.openxmlformats.org/officeDocument/2006/relationships/hyperlink" Target="http://bcn.cl/1s48f" TargetMode="External"/><Relationship Id="rId16" Type="http://schemas.openxmlformats.org/officeDocument/2006/relationships/hyperlink" Target="http://bcn.cl/1s9mv" TargetMode="External"/><Relationship Id="rId29" Type="http://schemas.openxmlformats.org/officeDocument/2006/relationships/hyperlink" Target="http://bcn.cl/1sdo2" TargetMode="External"/><Relationship Id="rId11" Type="http://schemas.openxmlformats.org/officeDocument/2006/relationships/hyperlink" Target="http://bcn.cl/1s9mj" TargetMode="External"/><Relationship Id="rId24" Type="http://schemas.openxmlformats.org/officeDocument/2006/relationships/hyperlink" Target="http://bcn.cl/1s494" TargetMode="External"/><Relationship Id="rId32" Type="http://schemas.openxmlformats.org/officeDocument/2006/relationships/hyperlink" Target="https://island.is/s/fiskistofa" TargetMode="External"/><Relationship Id="rId37" Type="http://schemas.openxmlformats.org/officeDocument/2006/relationships/hyperlink" Target="http://bcn.cl/3hs93" TargetMode="External"/><Relationship Id="rId40" Type="http://schemas.openxmlformats.org/officeDocument/2006/relationships/hyperlink" Target="http://bcn.cl/1057r" TargetMode="External"/><Relationship Id="rId45" Type="http://schemas.openxmlformats.org/officeDocument/2006/relationships/hyperlink" Target="http://bcn.cl/1r9c0" TargetMode="External"/><Relationship Id="rId5" Type="http://schemas.openxmlformats.org/officeDocument/2006/relationships/hyperlink" Target="http://bcn.cl/104xo" TargetMode="External"/><Relationship Id="rId15" Type="http://schemas.openxmlformats.org/officeDocument/2006/relationships/hyperlink" Target="http://bcn.cl/3hs43" TargetMode="External"/><Relationship Id="rId23" Type="http://schemas.openxmlformats.org/officeDocument/2006/relationships/hyperlink" Target="http://bcn.cl/3hs9x" TargetMode="External"/><Relationship Id="rId28" Type="http://schemas.openxmlformats.org/officeDocument/2006/relationships/hyperlink" Target="http://bcn.cl/2b3rv" TargetMode="External"/><Relationship Id="rId36" Type="http://schemas.openxmlformats.org/officeDocument/2006/relationships/hyperlink" Target="http://bcn.cl/3hsb2" TargetMode="External"/><Relationship Id="rId49" Type="http://schemas.openxmlformats.org/officeDocument/2006/relationships/hyperlink" Target="http://bcn.cl/2bco2" TargetMode="External"/><Relationship Id="rId10" Type="http://schemas.openxmlformats.org/officeDocument/2006/relationships/hyperlink" Target="http://bcn.cl/3hsaa" TargetMode="External"/><Relationship Id="rId19" Type="http://schemas.openxmlformats.org/officeDocument/2006/relationships/hyperlink" Target="http://bcn.cl/3hs4k" TargetMode="External"/><Relationship Id="rId31" Type="http://schemas.openxmlformats.org/officeDocument/2006/relationships/hyperlink" Target="http://bcn.cl/3hs8t" TargetMode="External"/><Relationship Id="rId44" Type="http://schemas.openxmlformats.org/officeDocument/2006/relationships/hyperlink" Target="http://bcn.cl/1sak5" TargetMode="External"/><Relationship Id="rId4" Type="http://schemas.openxmlformats.org/officeDocument/2006/relationships/hyperlink" Target="http://bcn.cl/104xl" TargetMode="External"/><Relationship Id="rId9" Type="http://schemas.openxmlformats.org/officeDocument/2006/relationships/hyperlink" Target="http://bcn.cl/104xr" TargetMode="External"/><Relationship Id="rId14" Type="http://schemas.openxmlformats.org/officeDocument/2006/relationships/hyperlink" Target="http://bcn.cl/3hs4a" TargetMode="External"/><Relationship Id="rId22" Type="http://schemas.openxmlformats.org/officeDocument/2006/relationships/hyperlink" Target="http://bcn.cl/1sahy" TargetMode="External"/><Relationship Id="rId27" Type="http://schemas.openxmlformats.org/officeDocument/2006/relationships/hyperlink" Target="http://bcn.cl/2bcna" TargetMode="External"/><Relationship Id="rId30" Type="http://schemas.openxmlformats.org/officeDocument/2006/relationships/hyperlink" Target="http://bcn.cl/3hs8n" TargetMode="External"/><Relationship Id="rId35" Type="http://schemas.openxmlformats.org/officeDocument/2006/relationships/hyperlink" Target="http://bcn.cl/2bcnk" TargetMode="External"/><Relationship Id="rId43" Type="http://schemas.openxmlformats.org/officeDocument/2006/relationships/hyperlink" Target="http://bcn.cl/1sdo6" TargetMode="External"/><Relationship Id="rId48" Type="http://schemas.openxmlformats.org/officeDocument/2006/relationships/hyperlink" Target="http://bcn.cl/2bcnu" TargetMode="External"/><Relationship Id="rId8" Type="http://schemas.openxmlformats.org/officeDocument/2006/relationships/hyperlink" Target="http://bcn.cl/3hsad" TargetMode="External"/><Relationship Id="rId51" Type="http://schemas.openxmlformats.org/officeDocument/2006/relationships/hyperlink" Target="http://bcn.cl/2bco8" TargetMode="External"/><Relationship Id="rId3" Type="http://schemas.openxmlformats.org/officeDocument/2006/relationships/hyperlink" Target="http://bcn.cl/1s494" TargetMode="External"/><Relationship Id="rId12" Type="http://schemas.openxmlformats.org/officeDocument/2006/relationships/hyperlink" Target="http://bcn.cl/3hs4e" TargetMode="External"/><Relationship Id="rId17" Type="http://schemas.openxmlformats.org/officeDocument/2006/relationships/hyperlink" Target="http://bcn.cl/1s9mw" TargetMode="External"/><Relationship Id="rId25" Type="http://schemas.openxmlformats.org/officeDocument/2006/relationships/hyperlink" Target="http://bcn.cl/1sdo3" TargetMode="External"/><Relationship Id="rId33" Type="http://schemas.openxmlformats.org/officeDocument/2006/relationships/hyperlink" Target="http://bcn.cl/3hs9h" TargetMode="External"/><Relationship Id="rId38" Type="http://schemas.openxmlformats.org/officeDocument/2006/relationships/hyperlink" Target="http://bcn.cl/1sdo5" TargetMode="External"/><Relationship Id="rId46" Type="http://schemas.openxmlformats.org/officeDocument/2006/relationships/hyperlink" Target="http://bcn.cl/2bcnm" TargetMode="External"/><Relationship Id="rId20" Type="http://schemas.openxmlformats.org/officeDocument/2006/relationships/hyperlink" Target="http://bcn.cl/3hs4l" TargetMode="External"/><Relationship Id="rId41" Type="http://schemas.openxmlformats.org/officeDocument/2006/relationships/hyperlink" Target="http://bcn.cl/3hsb9" TargetMode="External"/><Relationship Id="rId1" Type="http://schemas.openxmlformats.org/officeDocument/2006/relationships/hyperlink" Target="http://bcn.cl/1s48w" TargetMode="External"/><Relationship Id="rId6" Type="http://schemas.openxmlformats.org/officeDocument/2006/relationships/hyperlink" Target="http://bcn.cl/1s9m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rgbClr val="000000"/>
      </a:dk1>
      <a:lt1>
        <a:srgbClr val="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1" ma:contentTypeDescription="Crear nuevo documento." ma:contentTypeScope="" ma:versionID="62c463417aaaa202e983c1d2e815d842">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4a0a074c39928cf1629fd755aed81d31"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e4c7fd-1a8b-423a-a84a-b703b25c719a}"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9D352-5CA8-4D25-852B-BC8174DAE237}">
  <ds:schemaRefs>
    <ds:schemaRef ds:uri="http://schemas.openxmlformats.org/officeDocument/2006/bibliography"/>
  </ds:schemaRefs>
</ds:datastoreItem>
</file>

<file path=customXml/itemProps2.xml><?xml version="1.0" encoding="utf-8"?>
<ds:datastoreItem xmlns:ds="http://schemas.openxmlformats.org/officeDocument/2006/customXml" ds:itemID="{01280DEB-90EB-434A-BF54-79912E5C1540}"/>
</file>

<file path=customXml/itemProps3.xml><?xml version="1.0" encoding="utf-8"?>
<ds:datastoreItem xmlns:ds="http://schemas.openxmlformats.org/officeDocument/2006/customXml" ds:itemID="{3ECA1EE0-8C04-4C97-8E11-8B54B97C3D05}"/>
</file>

<file path=customXml/itemProps4.xml><?xml version="1.0" encoding="utf-8"?>
<ds:datastoreItem xmlns:ds="http://schemas.openxmlformats.org/officeDocument/2006/customXml" ds:itemID="{76D63AED-92FA-4A14-8972-E639569E333D}"/>
</file>

<file path=docProps/app.xml><?xml version="1.0" encoding="utf-8"?>
<Properties xmlns="http://schemas.openxmlformats.org/officeDocument/2006/extended-properties" xmlns:vt="http://schemas.openxmlformats.org/officeDocument/2006/docPropsVTypes">
  <Template>Normal</Template>
  <TotalTime>1</TotalTime>
  <Pages>19</Pages>
  <Words>7637</Words>
  <Characters>42009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Arancibia, Leonardo</dc:creator>
  <cp:lastModifiedBy>Mabel Mesias Chacano</cp:lastModifiedBy>
  <cp:revision>2</cp:revision>
  <dcterms:created xsi:type="dcterms:W3CDTF">2024-03-03T21:07:00Z</dcterms:created>
  <dcterms:modified xsi:type="dcterms:W3CDTF">2024-03-03T21:07:00Z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ies>
</file>