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A50C3" w14:textId="194EBA93" w:rsidR="0087444C" w:rsidRPr="00962372" w:rsidRDefault="0087444C" w:rsidP="00BD0D8D">
      <w:pPr>
        <w:spacing w:line="276" w:lineRule="auto"/>
        <w:ind w:firstLine="2552"/>
        <w:rPr>
          <w:rFonts w:ascii="Courier New" w:hAnsi="Courier New" w:cs="Courier New"/>
          <w:sz w:val="24"/>
          <w:szCs w:val="24"/>
        </w:rPr>
      </w:pPr>
      <w:r w:rsidRPr="00962372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E2F0977" wp14:editId="3454FC65">
                <wp:simplePos x="0" y="0"/>
                <wp:positionH relativeFrom="column">
                  <wp:posOffset>-1409700</wp:posOffset>
                </wp:positionH>
                <wp:positionV relativeFrom="paragraph">
                  <wp:posOffset>-215265</wp:posOffset>
                </wp:positionV>
                <wp:extent cx="1555115" cy="321945"/>
                <wp:effectExtent l="0" t="0" r="0" b="190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78CAE" w14:textId="7BAB2688" w:rsidR="0087444C" w:rsidRPr="0087444C" w:rsidRDefault="0087444C" w:rsidP="0087444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87444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 w:rsidRPr="0087444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 w:rsidR="00602AE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mrb</w:t>
                            </w:r>
                            <w:proofErr w:type="spellEnd"/>
                          </w:p>
                          <w:p w14:paraId="27FCD3D7" w14:textId="3BA0FBA8" w:rsidR="0087444C" w:rsidRPr="0087444C" w:rsidRDefault="0087444C" w:rsidP="0087444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1003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S.</w:t>
                            </w:r>
                            <w:r w:rsidR="0088337E" w:rsidRPr="0041003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128</w:t>
                            </w:r>
                            <w:r w:rsidRPr="0041003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ª/372ª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2F097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111pt;margin-top:-16.95pt;width:122.45pt;height:25.3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" filled="f" stroked="f">
                <v:textbox style="mso-fit-shape-to-text:t">
                  <w:txbxContent>
                    <w:p w14:paraId="43978CAE" w14:textId="7BAB2688" w:rsidR="0087444C" w:rsidRPr="0087444C" w:rsidRDefault="0087444C" w:rsidP="0087444C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87444C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rrp</w:t>
                      </w:r>
                      <w:proofErr w:type="spellEnd"/>
                      <w:r w:rsidRPr="0087444C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/</w:t>
                      </w:r>
                      <w:proofErr w:type="spellStart"/>
                      <w:r w:rsidR="00602AEC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mrb</w:t>
                      </w:r>
                      <w:proofErr w:type="spellEnd"/>
                    </w:p>
                    <w:p w14:paraId="27FCD3D7" w14:textId="3BA0FBA8" w:rsidR="0087444C" w:rsidRPr="0087444C" w:rsidRDefault="0087444C" w:rsidP="0087444C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410038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S.</w:t>
                      </w:r>
                      <w:r w:rsidR="0088337E" w:rsidRPr="00410038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128</w:t>
                      </w:r>
                      <w:r w:rsidRPr="00410038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ª/372ª</w:t>
                      </w:r>
                    </w:p>
                  </w:txbxContent>
                </v:textbox>
              </v:shape>
            </w:pict>
          </mc:Fallback>
        </mc:AlternateContent>
      </w:r>
      <w:r w:rsidRPr="00962372">
        <w:rPr>
          <w:rFonts w:ascii="Courier New" w:hAnsi="Courier New" w:cs="Courier New"/>
          <w:sz w:val="24"/>
          <w:szCs w:val="24"/>
        </w:rPr>
        <w:t xml:space="preserve">Oficio </w:t>
      </w:r>
      <w:r w:rsidRPr="00410038">
        <w:rPr>
          <w:rFonts w:ascii="Courier New" w:hAnsi="Courier New" w:cs="Courier New"/>
          <w:sz w:val="24"/>
          <w:szCs w:val="24"/>
        </w:rPr>
        <w:t xml:space="preserve">N° </w:t>
      </w:r>
      <w:r w:rsidR="0088337E" w:rsidRPr="00410038">
        <w:rPr>
          <w:rFonts w:ascii="Courier New" w:hAnsi="Courier New" w:cs="Courier New"/>
          <w:sz w:val="24"/>
          <w:szCs w:val="24"/>
        </w:rPr>
        <w:t>20</w:t>
      </w:r>
      <w:r w:rsidR="00402220" w:rsidRPr="00410038">
        <w:rPr>
          <w:rFonts w:ascii="Courier New" w:hAnsi="Courier New" w:cs="Courier New"/>
          <w:sz w:val="24"/>
          <w:szCs w:val="24"/>
        </w:rPr>
        <w:t>.</w:t>
      </w:r>
      <w:r w:rsidR="001322F7">
        <w:rPr>
          <w:rFonts w:ascii="Courier New" w:hAnsi="Courier New" w:cs="Courier New"/>
          <w:sz w:val="24"/>
          <w:szCs w:val="24"/>
        </w:rPr>
        <w:t>177</w:t>
      </w:r>
    </w:p>
    <w:p w14:paraId="49DE537C" w14:textId="77777777" w:rsidR="0087444C" w:rsidRDefault="0087444C" w:rsidP="00BD0D8D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3A4617C9" w14:textId="77777777" w:rsidR="00955B6F" w:rsidRDefault="00955B6F" w:rsidP="00BD0D8D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04970559" w14:textId="77777777" w:rsidR="00955B6F" w:rsidRPr="00962372" w:rsidRDefault="00955B6F" w:rsidP="00BD0D8D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7135A159" w14:textId="0A32111C" w:rsidR="0087444C" w:rsidRPr="00962372" w:rsidRDefault="0087444C" w:rsidP="00BD0D8D">
      <w:pPr>
        <w:spacing w:line="276" w:lineRule="auto"/>
        <w:ind w:firstLine="2410"/>
        <w:rPr>
          <w:rFonts w:ascii="Courier New" w:hAnsi="Courier New" w:cs="Courier New"/>
          <w:color w:val="444444"/>
          <w:sz w:val="24"/>
          <w:szCs w:val="24"/>
        </w:rPr>
      </w:pPr>
      <w:r w:rsidRPr="00410038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 w:rsidR="0088337E" w:rsidRPr="0041003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15 de enero de 2025</w:t>
      </w:r>
    </w:p>
    <w:p w14:paraId="317BC35A" w14:textId="77777777" w:rsidR="0087444C" w:rsidRDefault="0087444C" w:rsidP="00BD0D8D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</w:rPr>
      </w:pPr>
    </w:p>
    <w:p w14:paraId="590A7F44" w14:textId="77777777" w:rsidR="00410038" w:rsidRPr="00962372" w:rsidRDefault="00410038" w:rsidP="00BD0D8D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</w:rPr>
      </w:pPr>
    </w:p>
    <w:p w14:paraId="100A4FEE" w14:textId="77777777" w:rsidR="0087444C" w:rsidRPr="00962372" w:rsidRDefault="0087444C" w:rsidP="00BD0D8D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76A92384" w14:textId="78F044F2" w:rsidR="0087444C" w:rsidRDefault="0087444C" w:rsidP="001D734B">
      <w:pPr>
        <w:tabs>
          <w:tab w:val="left" w:pos="2268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96237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8ADEF1" wp14:editId="4CEC1423">
                <wp:simplePos x="0" y="0"/>
                <wp:positionH relativeFrom="column">
                  <wp:posOffset>-1570355</wp:posOffset>
                </wp:positionH>
                <wp:positionV relativeFrom="paragraph">
                  <wp:posOffset>540385</wp:posOffset>
                </wp:positionV>
                <wp:extent cx="1507490" cy="868045"/>
                <wp:effectExtent l="0" t="0" r="0" b="82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B9157" w14:textId="77777777" w:rsidR="0087444C" w:rsidRPr="002500FD" w:rsidRDefault="0087444C" w:rsidP="0087444C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A S.E. EL</w:t>
                            </w:r>
                          </w:p>
                          <w:p w14:paraId="47D36E0D" w14:textId="77777777" w:rsidR="0087444C" w:rsidRPr="002500FD" w:rsidRDefault="0087444C" w:rsidP="0087444C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PRESIDENTE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D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EL</w:t>
                            </w:r>
                          </w:p>
                          <w:p w14:paraId="1531D273" w14:textId="77777777" w:rsidR="0087444C" w:rsidRPr="002500FD" w:rsidRDefault="0087444C" w:rsidP="0087444C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H. SENADO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ADEF1" id="Cuadro de texto 2" o:spid="_x0000_s1027" type="#_x0000_t202" style="position:absolute;left:0;text-align:left;margin-left:-123.65pt;margin-top:42.55pt;width:118.7pt;height:68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" filled="f" stroked="f">
                <v:textbox style="mso-fit-shape-to-text:t">
                  <w:txbxContent>
                    <w:p w14:paraId="250B9157" w14:textId="77777777" w:rsidR="0087444C" w:rsidRPr="002500FD" w:rsidRDefault="0087444C" w:rsidP="0087444C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A S.E. EL</w:t>
                      </w:r>
                    </w:p>
                    <w:p w14:paraId="47D36E0D" w14:textId="77777777" w:rsidR="0087444C" w:rsidRPr="002500FD" w:rsidRDefault="0087444C" w:rsidP="0087444C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PRESIDENTE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D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EL</w:t>
                      </w:r>
                    </w:p>
                    <w:p w14:paraId="1531D273" w14:textId="77777777" w:rsidR="0087444C" w:rsidRPr="002500FD" w:rsidRDefault="0087444C" w:rsidP="0087444C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H. SENADO</w:t>
                      </w:r>
                    </w:p>
                  </w:txbxContent>
                </v:textbox>
              </v:shape>
            </w:pict>
          </mc:Fallback>
        </mc:AlternateContent>
      </w:r>
      <w:r w:rsidRPr="009623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aprobó las enmiendas propuestas por ese H. Senado al </w:t>
      </w:r>
      <w:r w:rsidR="00863C23" w:rsidRPr="00863C23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ley que modifica el sistema registral y notarial en sus aspectos orgánicos y funcionales, correspondiente al boletín </w:t>
      </w:r>
      <w:proofErr w:type="spellStart"/>
      <w:r w:rsidR="00863C23" w:rsidRPr="00863C23">
        <w:rPr>
          <w:rFonts w:ascii="Courier New" w:eastAsia="Times New Roman" w:hAnsi="Courier New" w:cs="Courier New"/>
          <w:sz w:val="24"/>
          <w:szCs w:val="24"/>
          <w:lang w:val="es-CL" w:eastAsia="es-ES"/>
        </w:rPr>
        <w:t>Nº</w:t>
      </w:r>
      <w:proofErr w:type="spellEnd"/>
      <w:r w:rsidR="00863C23" w:rsidRPr="00863C23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12.092-07</w:t>
      </w:r>
      <w:r w:rsidR="00A06623">
        <w:rPr>
          <w:rFonts w:ascii="Courier New" w:eastAsia="Times New Roman" w:hAnsi="Courier New" w:cs="Courier New"/>
          <w:sz w:val="24"/>
          <w:szCs w:val="24"/>
          <w:lang w:val="es-CL" w:eastAsia="es-ES"/>
        </w:rPr>
        <w:t>,</w:t>
      </w:r>
      <w:r w:rsidRPr="0096237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con excepción </w:t>
      </w:r>
      <w:r w:rsidR="00190A9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de </w:t>
      </w:r>
      <w:r w:rsidR="00BD23D2">
        <w:rPr>
          <w:rFonts w:ascii="Courier New" w:eastAsia="Times New Roman" w:hAnsi="Courier New" w:cs="Courier New"/>
          <w:sz w:val="24"/>
          <w:szCs w:val="24"/>
          <w:lang w:val="es-CL" w:eastAsia="es-ES"/>
        </w:rPr>
        <w:t>las siguientes</w:t>
      </w:r>
      <w:r w:rsidR="00524CC6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</w:t>
      </w:r>
      <w:r w:rsidRPr="00962372">
        <w:rPr>
          <w:rFonts w:ascii="Courier New" w:eastAsia="Times New Roman" w:hAnsi="Courier New" w:cs="Courier New"/>
          <w:sz w:val="24"/>
          <w:szCs w:val="24"/>
          <w:lang w:val="es-CL" w:eastAsia="es-ES"/>
        </w:rPr>
        <w:t>que ha rechazado</w:t>
      </w:r>
      <w:r w:rsidR="00BD23D2">
        <w:rPr>
          <w:rFonts w:ascii="Courier New" w:eastAsia="Times New Roman" w:hAnsi="Courier New" w:cs="Courier New"/>
          <w:sz w:val="24"/>
          <w:szCs w:val="24"/>
          <w:lang w:val="es-CL" w:eastAsia="es-ES"/>
        </w:rPr>
        <w:t>:</w:t>
      </w:r>
    </w:p>
    <w:p w14:paraId="4077E1C0" w14:textId="77777777" w:rsidR="00814265" w:rsidRDefault="00814265" w:rsidP="001D734B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highlight w:val="yellow"/>
          <w:lang w:val="es-ES_tradnl" w:eastAsia="es-ES"/>
        </w:rPr>
      </w:pPr>
    </w:p>
    <w:p w14:paraId="3FB8B81C" w14:textId="24E983FD" w:rsidR="00C373CE" w:rsidRDefault="00C373CE" w:rsidP="001D734B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744FA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762F4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="00E70EA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 literal a) del numeral 2, nuevo</w:t>
      </w:r>
      <w:r w:rsidR="008B4F3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del artículo 1, </w:t>
      </w:r>
      <w:r w:rsidR="007D23D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incorporado por el Senado</w:t>
      </w:r>
      <w:r w:rsidR="00160A7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="00C60ED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que reemplaza el inciso segundo del </w:t>
      </w:r>
      <w:r w:rsidRPr="00744FA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artículo 269 del Código Orgánico de Tribunales</w:t>
      </w:r>
      <w:r w:rsidR="00C60ED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122F6815" w14:textId="77777777" w:rsidR="00C373CE" w:rsidRDefault="00C373CE" w:rsidP="001D734B">
      <w:pPr>
        <w:tabs>
          <w:tab w:val="left" w:pos="2268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76D64040" w14:textId="371C0F86" w:rsidR="001D7C5E" w:rsidRDefault="001D7C5E" w:rsidP="001D734B">
      <w:pPr>
        <w:tabs>
          <w:tab w:val="left" w:pos="2268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>- La sust</w:t>
      </w:r>
      <w:r w:rsidR="00E703D8">
        <w:rPr>
          <w:rFonts w:ascii="Courier New" w:eastAsia="Times New Roman" w:hAnsi="Courier New" w:cs="Courier New"/>
          <w:sz w:val="24"/>
          <w:szCs w:val="24"/>
          <w:lang w:val="es-CL" w:eastAsia="es-ES"/>
        </w:rPr>
        <w:t>itución del numeral 2 -numeral 4 del Senado</w:t>
      </w:r>
      <w:r w:rsidR="008475BD">
        <w:rPr>
          <w:rFonts w:ascii="Courier New" w:eastAsia="Times New Roman" w:hAnsi="Courier New" w:cs="Courier New"/>
          <w:sz w:val="24"/>
          <w:szCs w:val="24"/>
          <w:lang w:val="es-CL" w:eastAsia="es-ES"/>
        </w:rPr>
        <w:t>- del artículo 1, que reemplaza el artículo 287 del Código Orgánico de Tribunales</w:t>
      </w:r>
      <w:r w:rsidR="00BC0703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25607A98" w14:textId="77777777" w:rsidR="008475BD" w:rsidRDefault="008475BD" w:rsidP="001D734B">
      <w:pPr>
        <w:tabs>
          <w:tab w:val="left" w:pos="2268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3522869" w14:textId="0463CF3F" w:rsidR="00BD23D2" w:rsidRDefault="00190A92" w:rsidP="001D734B">
      <w:pPr>
        <w:tabs>
          <w:tab w:val="left" w:pos="2268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>- La sustitución del numeral 31</w:t>
      </w:r>
      <w:r w:rsidR="0029297B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-</w:t>
      </w:r>
      <w:r w:rsidR="00FF5C94">
        <w:rPr>
          <w:rFonts w:ascii="Courier New" w:eastAsia="Times New Roman" w:hAnsi="Courier New" w:cs="Courier New"/>
          <w:sz w:val="24"/>
          <w:szCs w:val="24"/>
          <w:lang w:val="es-CL" w:eastAsia="es-ES"/>
        </w:rPr>
        <w:t>numeral 25</w:t>
      </w:r>
      <w:r w:rsidR="00E703D8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del Senado</w:t>
      </w:r>
      <w:r w:rsidR="0029297B">
        <w:rPr>
          <w:rFonts w:ascii="Courier New" w:eastAsia="Times New Roman" w:hAnsi="Courier New" w:cs="Courier New"/>
          <w:sz w:val="24"/>
          <w:szCs w:val="24"/>
          <w:lang w:val="es-CL" w:eastAsia="es-ES"/>
        </w:rPr>
        <w:t>- del artículo 1</w:t>
      </w:r>
      <w:r w:rsidR="00A22F93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; en lo </w:t>
      </w:r>
      <w:r w:rsidR="006905F8">
        <w:rPr>
          <w:rFonts w:ascii="Courier New" w:eastAsia="Times New Roman" w:hAnsi="Courier New" w:cs="Courier New"/>
          <w:sz w:val="24"/>
          <w:szCs w:val="24"/>
          <w:lang w:val="es-CL" w:eastAsia="es-ES"/>
        </w:rPr>
        <w:t>relativo</w:t>
      </w:r>
      <w:r w:rsidR="00EB077C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a</w:t>
      </w:r>
      <w:r w:rsidR="0000521F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la agregación, por su letra c)</w:t>
      </w:r>
      <w:r w:rsidR="006905F8">
        <w:rPr>
          <w:rFonts w:ascii="Courier New" w:eastAsia="Times New Roman" w:hAnsi="Courier New" w:cs="Courier New"/>
          <w:sz w:val="24"/>
          <w:szCs w:val="24"/>
          <w:lang w:val="es-CL" w:eastAsia="es-ES"/>
        </w:rPr>
        <w:t>,</w:t>
      </w:r>
      <w:r w:rsidR="0000521F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de un inciso</w:t>
      </w:r>
      <w:r w:rsidR="0054674F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décimo, nuevo</w:t>
      </w:r>
      <w:r w:rsidR="006C088E">
        <w:rPr>
          <w:rFonts w:ascii="Courier New" w:eastAsia="Times New Roman" w:hAnsi="Courier New" w:cs="Courier New"/>
          <w:sz w:val="24"/>
          <w:szCs w:val="24"/>
          <w:lang w:val="es-CL" w:eastAsia="es-ES"/>
        </w:rPr>
        <w:t>,</w:t>
      </w:r>
      <w:r w:rsidR="0054674F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en el artículo 449 del Código Orgánico de Tribunales.</w:t>
      </w:r>
    </w:p>
    <w:p w14:paraId="092F740B" w14:textId="77777777" w:rsidR="0087444C" w:rsidRDefault="0087444C" w:rsidP="001D734B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E332766" w14:textId="2B8E59E0" w:rsidR="00784A0C" w:rsidRDefault="00784A0C" w:rsidP="001D734B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-</w:t>
      </w:r>
      <w:r w:rsidR="007224B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El reemplazo del numeral 32 </w:t>
      </w:r>
      <w:r w:rsidR="00CC7F9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-</w:t>
      </w:r>
      <w:r w:rsidR="007224B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numeral 26 del Senado- del artículo 1</w:t>
      </w:r>
      <w:r w:rsidR="005F6E2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que sustituye el artículo 450 del Código Orgánico de Tribunales</w:t>
      </w:r>
      <w:r w:rsidR="00C81FF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299ABDF3" w14:textId="77777777" w:rsidR="005F6E2E" w:rsidRDefault="005F6E2E" w:rsidP="001D734B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7B292C8" w14:textId="567C35E1" w:rsidR="00581873" w:rsidRDefault="00860131" w:rsidP="001D734B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435F1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4D04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reemplazo del numeral 45 -numeral 38</w:t>
      </w:r>
      <w:r w:rsidR="00E703D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del Senado</w:t>
      </w:r>
      <w:r w:rsidR="004D04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- del artículo</w:t>
      </w:r>
      <w:r w:rsidR="0004037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1</w:t>
      </w:r>
      <w:r w:rsidR="00C95D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="00C95D72" w:rsidRPr="00C95D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que introduce modificaciones </w:t>
      </w:r>
      <w:r w:rsidR="00C95D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 el</w:t>
      </w:r>
      <w:r w:rsidR="00C95D72" w:rsidRPr="00C95D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artículo 478</w:t>
      </w:r>
      <w:r w:rsidR="00C95D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C95D72" w:rsidRPr="00C95D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del Código Orgánico de Tribunales</w:t>
      </w:r>
      <w:r w:rsidR="00C95D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72A0B7D3" w14:textId="77777777" w:rsidR="00602127" w:rsidRDefault="00602127" w:rsidP="001D734B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E959743" w14:textId="62359B3B" w:rsidR="00B56FBC" w:rsidRDefault="00B56FBC" w:rsidP="001D734B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- La sustitución del numeral 58 -numeral 27 del Senado- del artículo 2</w:t>
      </w:r>
      <w:r w:rsidR="0081426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que reemplaza el artículo 96 del R</w:t>
      </w:r>
      <w:r w:rsidR="00814265" w:rsidRPr="0081426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eglamento del </w:t>
      </w:r>
      <w:r w:rsidR="0081426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</w:t>
      </w:r>
      <w:r w:rsidR="00814265" w:rsidRPr="0081426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egistro </w:t>
      </w:r>
      <w:r w:rsidR="0081426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</w:t>
      </w:r>
      <w:r w:rsidR="00814265" w:rsidRPr="0081426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onservatorio de </w:t>
      </w:r>
      <w:r w:rsidR="0081426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</w:t>
      </w:r>
      <w:r w:rsidR="00814265" w:rsidRPr="0081426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ienes </w:t>
      </w:r>
      <w:r w:rsidR="0081426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</w:t>
      </w:r>
      <w:r w:rsidR="00814265" w:rsidRPr="0081426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aíces</w:t>
      </w:r>
      <w:r w:rsidR="0081426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613746E7" w14:textId="77777777" w:rsidR="00B56FBC" w:rsidRDefault="00B56FBC" w:rsidP="001D734B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A21B84E" w14:textId="2117385E" w:rsidR="00602127" w:rsidRDefault="00602127" w:rsidP="001D734B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435F1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</w:t>
      </w:r>
      <w:r w:rsidR="00D4697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 incorporación de</w:t>
      </w:r>
      <w:r w:rsidR="001D619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un artículo segundo transitorio, nuevo.</w:t>
      </w:r>
    </w:p>
    <w:p w14:paraId="3FC834A0" w14:textId="77777777" w:rsidR="00581873" w:rsidRDefault="00581873" w:rsidP="001D734B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AF29A8E" w14:textId="420A804D" w:rsidR="008216B8" w:rsidRDefault="008216B8" w:rsidP="001D734B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216B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 razón de lo anterior corresponde la formación de la Comisión Mixta que establece el artículo 71 de la Constitución Política de la República.</w:t>
      </w:r>
    </w:p>
    <w:p w14:paraId="64001276" w14:textId="77777777" w:rsidR="008216B8" w:rsidRDefault="008216B8" w:rsidP="001D734B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204C31B" w14:textId="7A7BDE29" w:rsidR="0061333D" w:rsidRPr="0061333D" w:rsidRDefault="0061333D" w:rsidP="001D734B">
      <w:pPr>
        <w:tabs>
          <w:tab w:val="left" w:pos="2268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4F4B78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Hago presente a Vuestra Excelencia que el numeral 3; las letras a), c) y d) del numeral 6; </w:t>
      </w:r>
      <w:r w:rsidRPr="009F49BC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los numerales 7 y 8; la letra b) del numeral 10; </w:t>
      </w:r>
      <w:r w:rsidRPr="00B57D85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el inciso séptimo del artículo 402 propuesto en el numeral 13; la letra a) del numeral 25; el numeral 28; </w:t>
      </w:r>
      <w:r w:rsidRPr="00047BA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el inciso cuarto del artículo 469 propuesto en el numeral 34; el inciso tercero del artículo 473 propuesto en el numeral 35; </w:t>
      </w:r>
      <w:r w:rsidRPr="00A12FFD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el inciso segundo del artículo 482 ter y el artículo 482 </w:t>
      </w:r>
      <w:proofErr w:type="spellStart"/>
      <w:r w:rsidRPr="00A12FFD">
        <w:rPr>
          <w:rFonts w:ascii="Courier New" w:eastAsia="Times New Roman" w:hAnsi="Courier New" w:cs="Courier New"/>
          <w:sz w:val="24"/>
          <w:szCs w:val="24"/>
          <w:lang w:val="es-CL" w:eastAsia="es-ES"/>
        </w:rPr>
        <w:t>quáter</w:t>
      </w:r>
      <w:proofErr w:type="spellEnd"/>
      <w:r w:rsidRPr="00A12FFD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ambos propuestos en el numeral 41; </w:t>
      </w:r>
      <w:r w:rsidRPr="0073241A">
        <w:rPr>
          <w:rFonts w:ascii="Courier New" w:eastAsia="Times New Roman" w:hAnsi="Courier New" w:cs="Courier New"/>
          <w:sz w:val="24"/>
          <w:szCs w:val="24"/>
          <w:lang w:val="es-CL" w:eastAsia="es-ES"/>
        </w:rPr>
        <w:t>el inciso cuarto del artículo 492, contenido en la letra b) del numeral</w:t>
      </w:r>
      <w:r w:rsidR="00A12FFD" w:rsidRPr="0073241A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42</w:t>
      </w:r>
      <w:r w:rsidRPr="0073241A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; </w:t>
      </w:r>
      <w:r w:rsidRPr="0073241A">
        <w:t>e</w:t>
      </w:r>
      <w:r w:rsidRPr="0073241A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l artículo 495 ter propuesto en el numeral 43 y el inciso segundo del artículo 564, contenido en la letra b) del numeral </w:t>
      </w:r>
      <w:r w:rsidRPr="00BD690D">
        <w:rPr>
          <w:rFonts w:ascii="Courier New" w:eastAsia="Times New Roman" w:hAnsi="Courier New" w:cs="Courier New"/>
          <w:sz w:val="24"/>
          <w:szCs w:val="24"/>
          <w:lang w:val="es-CL" w:eastAsia="es-ES"/>
        </w:rPr>
        <w:t>46, todos numerales del artículo 1</w:t>
      </w:r>
      <w:r w:rsidR="000242E3" w:rsidRPr="00BD690D">
        <w:rPr>
          <w:rFonts w:ascii="Courier New" w:eastAsia="Times New Roman" w:hAnsi="Courier New" w:cs="Courier New"/>
          <w:sz w:val="24"/>
          <w:szCs w:val="24"/>
          <w:lang w:val="es-CL" w:eastAsia="es-ES"/>
        </w:rPr>
        <w:t>,</w:t>
      </w:r>
      <w:r w:rsidR="004F4B78" w:rsidRPr="00BD690D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según el texto aprobado por el H. Senado</w:t>
      </w:r>
      <w:r w:rsidRPr="00BD690D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fueron aprobados con el voto a favor de </w:t>
      </w:r>
      <w:r w:rsidR="00FC54CB">
        <w:rPr>
          <w:rFonts w:ascii="Courier New" w:eastAsia="Times New Roman" w:hAnsi="Courier New" w:cs="Courier New"/>
          <w:sz w:val="24"/>
          <w:szCs w:val="24"/>
          <w:lang w:val="es-CL" w:eastAsia="es-ES"/>
        </w:rPr>
        <w:t>122</w:t>
      </w:r>
      <w:r w:rsidRPr="00BD690D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diputadas y diputados, sobre un total de 153 en ejercicio, dándose así cumplimiento a lo dispuesto en el inciso segundo del artículo 66 de la Constitución Política de la República, por tratarse de normas de rango orgánico constitucional.</w:t>
      </w:r>
    </w:p>
    <w:p w14:paraId="29444A49" w14:textId="77777777" w:rsidR="00BE71AA" w:rsidRDefault="00BE71AA" w:rsidP="001D734B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1B3B2A9" w14:textId="77777777" w:rsidR="00B01F29" w:rsidRDefault="00B01F29" w:rsidP="001D734B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47C0833" w14:textId="2CF98A09" w:rsidR="00E8078F" w:rsidRPr="00962372" w:rsidRDefault="003B7717" w:rsidP="001D734B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B771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decir a V.E., en respuesta a vuestro oficio </w:t>
      </w:r>
      <w:proofErr w:type="spellStart"/>
      <w:r w:rsidRPr="003B771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Nº</w:t>
      </w:r>
      <w:proofErr w:type="spellEnd"/>
      <w:r w:rsidRPr="003B771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522/SEC/24, de 3 de diciembre de 2024.</w:t>
      </w:r>
    </w:p>
    <w:p w14:paraId="18E931FE" w14:textId="77777777" w:rsidR="00CC3D24" w:rsidRPr="00500A50" w:rsidRDefault="00CC3D24" w:rsidP="001D734B">
      <w:pPr>
        <w:tabs>
          <w:tab w:val="left" w:pos="2592"/>
        </w:tabs>
        <w:spacing w:line="360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1178844" w14:textId="41B612B6" w:rsidR="00500A50" w:rsidRPr="00500A50" w:rsidRDefault="00BC54B6" w:rsidP="001D734B">
      <w:pPr>
        <w:tabs>
          <w:tab w:val="left" w:pos="2127"/>
          <w:tab w:val="left" w:pos="2410"/>
        </w:tabs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BC54B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Acompaño la totalidad de los antecedentes.</w:t>
      </w:r>
    </w:p>
    <w:p w14:paraId="0ED36E46" w14:textId="77777777" w:rsidR="00500A50" w:rsidRPr="00500A50" w:rsidRDefault="00500A50" w:rsidP="001D734B">
      <w:pPr>
        <w:tabs>
          <w:tab w:val="left" w:pos="2410"/>
          <w:tab w:val="left" w:pos="2552"/>
        </w:tabs>
        <w:spacing w:line="360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03A378A" w14:textId="77777777" w:rsidR="00500A50" w:rsidRPr="00500A50" w:rsidRDefault="00500A50" w:rsidP="00BD0D8D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471873E" w14:textId="77777777" w:rsidR="00500A50" w:rsidRDefault="00500A50" w:rsidP="00BD0D8D">
      <w:pPr>
        <w:spacing w:line="276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FF01E6A" w14:textId="77777777" w:rsidR="00BC54B6" w:rsidRDefault="00BC54B6" w:rsidP="00BD0D8D">
      <w:pPr>
        <w:spacing w:line="276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5EBF8C7" w14:textId="77777777" w:rsidR="00BC54B6" w:rsidRPr="00500A50" w:rsidRDefault="00BC54B6" w:rsidP="00BD0D8D">
      <w:pPr>
        <w:spacing w:line="276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25E34C3" w14:textId="77777777" w:rsidR="00500A50" w:rsidRPr="00500A50" w:rsidRDefault="00500A50" w:rsidP="00BD0D8D">
      <w:pPr>
        <w:spacing w:line="276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31ACB25" w14:textId="77777777" w:rsidR="00500A50" w:rsidRPr="00500A50" w:rsidRDefault="00500A50" w:rsidP="00193AAF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highlight w:val="yellow"/>
          <w:lang w:val="es-ES_tradnl" w:eastAsia="es-ES"/>
        </w:rPr>
      </w:pPr>
      <w:r w:rsidRPr="00500A5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 OLIVA</w:t>
      </w:r>
    </w:p>
    <w:p w14:paraId="65F02E05" w14:textId="77777777" w:rsidR="00500A50" w:rsidRPr="00500A50" w:rsidRDefault="00500A50" w:rsidP="00193AAF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500A50">
        <w:rPr>
          <w:rFonts w:ascii="Courier New" w:eastAsia="Times New Roman" w:hAnsi="Courier New" w:cs="Courier New"/>
          <w:sz w:val="24"/>
          <w:szCs w:val="24"/>
          <w:lang w:val="es-MX" w:eastAsia="es-ES"/>
        </w:rPr>
        <w:t>Presidenta de la Cámara de Diputados</w:t>
      </w:r>
    </w:p>
    <w:p w14:paraId="4A227605" w14:textId="77777777" w:rsidR="00500A50" w:rsidRPr="00500A50" w:rsidRDefault="00500A50" w:rsidP="00BD0D8D">
      <w:pPr>
        <w:tabs>
          <w:tab w:val="left" w:pos="2592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7166F7D" w14:textId="77777777" w:rsidR="00500A50" w:rsidRPr="00500A50" w:rsidRDefault="00500A50" w:rsidP="00BD0D8D">
      <w:pPr>
        <w:tabs>
          <w:tab w:val="left" w:pos="2592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2BFE7CD" w14:textId="77777777" w:rsidR="00500A50" w:rsidRPr="00500A50" w:rsidRDefault="00500A50" w:rsidP="00BD0D8D">
      <w:pPr>
        <w:tabs>
          <w:tab w:val="left" w:pos="2127"/>
          <w:tab w:val="left" w:pos="2410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72C71B3" w14:textId="77777777" w:rsidR="00500A50" w:rsidRPr="00500A50" w:rsidRDefault="00500A50" w:rsidP="00BD0D8D">
      <w:pPr>
        <w:tabs>
          <w:tab w:val="left" w:pos="2127"/>
          <w:tab w:val="left" w:pos="2410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F12ABC8" w14:textId="77777777" w:rsidR="00500A50" w:rsidRPr="00500A50" w:rsidRDefault="00500A50" w:rsidP="00BD0D8D">
      <w:pPr>
        <w:spacing w:line="276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A54E3A2" w14:textId="77777777" w:rsidR="00500A50" w:rsidRPr="00500A50" w:rsidRDefault="00500A50" w:rsidP="00BD0D8D">
      <w:pPr>
        <w:spacing w:line="276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5AD9EBC" w14:textId="77777777" w:rsidR="00500A50" w:rsidRPr="00500A50" w:rsidRDefault="00500A50" w:rsidP="00193AAF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500A5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3D62E05B" w14:textId="19C1411C" w:rsidR="002B5AB0" w:rsidRPr="0087444C" w:rsidRDefault="00500A50" w:rsidP="00193AAF">
      <w:pPr>
        <w:tabs>
          <w:tab w:val="left" w:pos="2268"/>
        </w:tabs>
        <w:ind w:right="1468"/>
        <w:jc w:val="center"/>
        <w:rPr>
          <w:lang w:val="es-ES_tradnl"/>
        </w:rPr>
      </w:pPr>
      <w:r w:rsidRPr="00500A50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2B5AB0" w:rsidRPr="0087444C" w:rsidSect="0087444C">
      <w:headerReference w:type="default" r:id="rId10"/>
      <w:headerReference w:type="first" r:id="rId11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B41D5" w14:textId="77777777" w:rsidR="00276E68" w:rsidRDefault="00276E68">
      <w:r>
        <w:separator/>
      </w:r>
    </w:p>
  </w:endnote>
  <w:endnote w:type="continuationSeparator" w:id="0">
    <w:p w14:paraId="14BDB933" w14:textId="77777777" w:rsidR="00276E68" w:rsidRDefault="00276E68">
      <w:r>
        <w:continuationSeparator/>
      </w:r>
    </w:p>
  </w:endnote>
  <w:endnote w:type="continuationNotice" w:id="1">
    <w:p w14:paraId="5B95A84C" w14:textId="77777777" w:rsidR="00276E68" w:rsidRDefault="00276E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D5016" w14:textId="77777777" w:rsidR="00276E68" w:rsidRDefault="00276E68">
      <w:r>
        <w:separator/>
      </w:r>
    </w:p>
  </w:footnote>
  <w:footnote w:type="continuationSeparator" w:id="0">
    <w:p w14:paraId="7DB20895" w14:textId="77777777" w:rsidR="00276E68" w:rsidRDefault="00276E68">
      <w:r>
        <w:continuationSeparator/>
      </w:r>
    </w:p>
  </w:footnote>
  <w:footnote w:type="continuationNotice" w:id="1">
    <w:p w14:paraId="4C59CE99" w14:textId="77777777" w:rsidR="00276E68" w:rsidRDefault="00276E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BA9CB" w14:textId="77777777" w:rsidR="0087444C" w:rsidRDefault="0087444C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1C5DC45D" w14:textId="091E64FB" w:rsidR="0087444C" w:rsidRDefault="0087444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000C8B" wp14:editId="0810D740">
          <wp:simplePos x="0" y="0"/>
          <wp:positionH relativeFrom="column">
            <wp:posOffset>-1068705</wp:posOffset>
          </wp:positionH>
          <wp:positionV relativeFrom="paragraph">
            <wp:posOffset>-153035</wp:posOffset>
          </wp:positionV>
          <wp:extent cx="916305" cy="914400"/>
          <wp:effectExtent l="0" t="0" r="0" b="0"/>
          <wp:wrapNone/>
          <wp:docPr id="688302634" name="Imagen 5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B64E8" w14:textId="19E88707" w:rsidR="0087444C" w:rsidRDefault="0087444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1" behindDoc="0" locked="0" layoutInCell="1" allowOverlap="1" wp14:anchorId="5EEDFF65" wp14:editId="0F0DA7BC">
          <wp:simplePos x="0" y="0"/>
          <wp:positionH relativeFrom="column">
            <wp:posOffset>-1059180</wp:posOffset>
          </wp:positionH>
          <wp:positionV relativeFrom="paragraph">
            <wp:posOffset>-39370</wp:posOffset>
          </wp:positionV>
          <wp:extent cx="916305" cy="914400"/>
          <wp:effectExtent l="0" t="0" r="0" b="0"/>
          <wp:wrapNone/>
          <wp:docPr id="1302569231" name="Imagen 6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4C"/>
    <w:rsid w:val="0000521F"/>
    <w:rsid w:val="0000632B"/>
    <w:rsid w:val="00006D2D"/>
    <w:rsid w:val="000242E3"/>
    <w:rsid w:val="000268F5"/>
    <w:rsid w:val="00040371"/>
    <w:rsid w:val="0004687C"/>
    <w:rsid w:val="00047BA2"/>
    <w:rsid w:val="000A38D9"/>
    <w:rsid w:val="000E004F"/>
    <w:rsid w:val="0012798B"/>
    <w:rsid w:val="001322F7"/>
    <w:rsid w:val="001361B9"/>
    <w:rsid w:val="001470B9"/>
    <w:rsid w:val="00160A70"/>
    <w:rsid w:val="001703D1"/>
    <w:rsid w:val="00172E88"/>
    <w:rsid w:val="00190106"/>
    <w:rsid w:val="00190A92"/>
    <w:rsid w:val="00190B93"/>
    <w:rsid w:val="00193AAF"/>
    <w:rsid w:val="001B5FE8"/>
    <w:rsid w:val="001D6193"/>
    <w:rsid w:val="001D734B"/>
    <w:rsid w:val="001D7C5E"/>
    <w:rsid w:val="001E6CB3"/>
    <w:rsid w:val="001F0A73"/>
    <w:rsid w:val="001F3973"/>
    <w:rsid w:val="00207780"/>
    <w:rsid w:val="00244FDC"/>
    <w:rsid w:val="00276E68"/>
    <w:rsid w:val="00282A63"/>
    <w:rsid w:val="00290DFF"/>
    <w:rsid w:val="0029297B"/>
    <w:rsid w:val="00293CF8"/>
    <w:rsid w:val="002A52CD"/>
    <w:rsid w:val="002B0F2E"/>
    <w:rsid w:val="002B5AB0"/>
    <w:rsid w:val="002C79C4"/>
    <w:rsid w:val="00307895"/>
    <w:rsid w:val="0031707E"/>
    <w:rsid w:val="003365BB"/>
    <w:rsid w:val="00356311"/>
    <w:rsid w:val="00371190"/>
    <w:rsid w:val="00387334"/>
    <w:rsid w:val="003B1046"/>
    <w:rsid w:val="003B2F0E"/>
    <w:rsid w:val="003B706A"/>
    <w:rsid w:val="003B7717"/>
    <w:rsid w:val="003C1B9E"/>
    <w:rsid w:val="003D4511"/>
    <w:rsid w:val="003E1C20"/>
    <w:rsid w:val="00402220"/>
    <w:rsid w:val="00410038"/>
    <w:rsid w:val="00422494"/>
    <w:rsid w:val="004244A4"/>
    <w:rsid w:val="00431F6D"/>
    <w:rsid w:val="00435F1E"/>
    <w:rsid w:val="00441E14"/>
    <w:rsid w:val="00470594"/>
    <w:rsid w:val="004B0B0E"/>
    <w:rsid w:val="004B30D3"/>
    <w:rsid w:val="004D04D0"/>
    <w:rsid w:val="004F4B78"/>
    <w:rsid w:val="00500A50"/>
    <w:rsid w:val="00501267"/>
    <w:rsid w:val="00501CC9"/>
    <w:rsid w:val="0050565D"/>
    <w:rsid w:val="00524CC6"/>
    <w:rsid w:val="00526CCB"/>
    <w:rsid w:val="0053342B"/>
    <w:rsid w:val="0054674F"/>
    <w:rsid w:val="005530F1"/>
    <w:rsid w:val="00575A5A"/>
    <w:rsid w:val="00581873"/>
    <w:rsid w:val="005B1C24"/>
    <w:rsid w:val="005C6B13"/>
    <w:rsid w:val="005C747B"/>
    <w:rsid w:val="005E2329"/>
    <w:rsid w:val="005F6E2E"/>
    <w:rsid w:val="0060146D"/>
    <w:rsid w:val="00602127"/>
    <w:rsid w:val="00602AEC"/>
    <w:rsid w:val="00603AB5"/>
    <w:rsid w:val="00611716"/>
    <w:rsid w:val="0061333D"/>
    <w:rsid w:val="0061511D"/>
    <w:rsid w:val="006351D3"/>
    <w:rsid w:val="00660A81"/>
    <w:rsid w:val="00660FB9"/>
    <w:rsid w:val="006905F8"/>
    <w:rsid w:val="00692C87"/>
    <w:rsid w:val="00695727"/>
    <w:rsid w:val="006A0334"/>
    <w:rsid w:val="006B284D"/>
    <w:rsid w:val="006C088E"/>
    <w:rsid w:val="006C3AF9"/>
    <w:rsid w:val="006D10E6"/>
    <w:rsid w:val="006D2961"/>
    <w:rsid w:val="006E7E3B"/>
    <w:rsid w:val="00713925"/>
    <w:rsid w:val="007224B0"/>
    <w:rsid w:val="0073241A"/>
    <w:rsid w:val="00732A41"/>
    <w:rsid w:val="00744FA0"/>
    <w:rsid w:val="00751B12"/>
    <w:rsid w:val="00762F4F"/>
    <w:rsid w:val="00784A0C"/>
    <w:rsid w:val="00793083"/>
    <w:rsid w:val="007A1FC0"/>
    <w:rsid w:val="007D23D1"/>
    <w:rsid w:val="007D697D"/>
    <w:rsid w:val="00814265"/>
    <w:rsid w:val="00817C76"/>
    <w:rsid w:val="008216B8"/>
    <w:rsid w:val="00844A67"/>
    <w:rsid w:val="008475BD"/>
    <w:rsid w:val="0085677F"/>
    <w:rsid w:val="00860131"/>
    <w:rsid w:val="00863C23"/>
    <w:rsid w:val="0087444C"/>
    <w:rsid w:val="0087744E"/>
    <w:rsid w:val="0088337E"/>
    <w:rsid w:val="008A40CD"/>
    <w:rsid w:val="008B4F3E"/>
    <w:rsid w:val="00926D3E"/>
    <w:rsid w:val="00955B6F"/>
    <w:rsid w:val="00962372"/>
    <w:rsid w:val="009B17E7"/>
    <w:rsid w:val="009F49BC"/>
    <w:rsid w:val="00A06623"/>
    <w:rsid w:val="00A12FFD"/>
    <w:rsid w:val="00A22F93"/>
    <w:rsid w:val="00A46C8B"/>
    <w:rsid w:val="00AA4CA7"/>
    <w:rsid w:val="00AB31FB"/>
    <w:rsid w:val="00AC7B5B"/>
    <w:rsid w:val="00AE1505"/>
    <w:rsid w:val="00AF6F11"/>
    <w:rsid w:val="00AF791A"/>
    <w:rsid w:val="00B01F29"/>
    <w:rsid w:val="00B202FE"/>
    <w:rsid w:val="00B56FBC"/>
    <w:rsid w:val="00B57D85"/>
    <w:rsid w:val="00B8465E"/>
    <w:rsid w:val="00B856B2"/>
    <w:rsid w:val="00B91CB6"/>
    <w:rsid w:val="00BC0703"/>
    <w:rsid w:val="00BC2139"/>
    <w:rsid w:val="00BC54B6"/>
    <w:rsid w:val="00BD0047"/>
    <w:rsid w:val="00BD0D8D"/>
    <w:rsid w:val="00BD23D2"/>
    <w:rsid w:val="00BD690D"/>
    <w:rsid w:val="00BE5D6D"/>
    <w:rsid w:val="00BE71AA"/>
    <w:rsid w:val="00C373CE"/>
    <w:rsid w:val="00C60ED8"/>
    <w:rsid w:val="00C81FF8"/>
    <w:rsid w:val="00C95D72"/>
    <w:rsid w:val="00CB5AAF"/>
    <w:rsid w:val="00CC1E5B"/>
    <w:rsid w:val="00CC3D24"/>
    <w:rsid w:val="00CC7F93"/>
    <w:rsid w:val="00D16434"/>
    <w:rsid w:val="00D30FAE"/>
    <w:rsid w:val="00D4697A"/>
    <w:rsid w:val="00D84718"/>
    <w:rsid w:val="00DB4A4B"/>
    <w:rsid w:val="00DB5D5A"/>
    <w:rsid w:val="00DC681D"/>
    <w:rsid w:val="00DC7A35"/>
    <w:rsid w:val="00DD728F"/>
    <w:rsid w:val="00DD77D5"/>
    <w:rsid w:val="00DE4347"/>
    <w:rsid w:val="00E50543"/>
    <w:rsid w:val="00E51921"/>
    <w:rsid w:val="00E6390A"/>
    <w:rsid w:val="00E703D8"/>
    <w:rsid w:val="00E70EA2"/>
    <w:rsid w:val="00E715A8"/>
    <w:rsid w:val="00E8078F"/>
    <w:rsid w:val="00E966BB"/>
    <w:rsid w:val="00EB077C"/>
    <w:rsid w:val="00ED6211"/>
    <w:rsid w:val="00EE52D4"/>
    <w:rsid w:val="00F0383A"/>
    <w:rsid w:val="00F305F8"/>
    <w:rsid w:val="00F9656F"/>
    <w:rsid w:val="00FA3CAF"/>
    <w:rsid w:val="00FC54CB"/>
    <w:rsid w:val="00FE70DE"/>
    <w:rsid w:val="00FF035D"/>
    <w:rsid w:val="00FF1437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354BF"/>
  <w15:chartTrackingRefBased/>
  <w15:docId w15:val="{681CFE5E-C439-4728-AD44-C9B64175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44C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744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44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44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44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44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44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44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444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444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444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44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444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444C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444C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44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44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44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44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44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74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44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74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44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744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44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7444C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444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444C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444C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744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44C"/>
    <w:rPr>
      <w:rFonts w:ascii="Calibri" w:eastAsia="Calibri" w:hAnsi="Calibri" w:cs="Times New Roman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semiHidden/>
    <w:unhideWhenUsed/>
    <w:rsid w:val="00BD00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D0047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56B0B-1FBA-47C7-A266-2DD23A453EAB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C8F0DEBA-56EE-413B-8C7E-4251462C3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A6268-D008-40FA-8EB8-2F2B3844C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436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Mauricio Ramos</cp:lastModifiedBy>
  <cp:revision>102</cp:revision>
  <cp:lastPrinted>2025-01-15T16:57:00Z</cp:lastPrinted>
  <dcterms:created xsi:type="dcterms:W3CDTF">2025-01-13T18:53:00Z</dcterms:created>
  <dcterms:modified xsi:type="dcterms:W3CDTF">2025-01-15T16:57:00Z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