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7316" w:type="dxa"/>
        <w:tblLook w:val="04A0" w:firstRow="1" w:lastRow="0" w:firstColumn="1" w:lastColumn="0" w:noHBand="0" w:noVBand="1"/>
      </w:tblPr>
      <w:tblGrid>
        <w:gridCol w:w="5949"/>
        <w:gridCol w:w="5812"/>
        <w:gridCol w:w="5555"/>
      </w:tblGrid>
      <w:tr w:rsidR="00633CEF" w:rsidRPr="008C072A" w14:paraId="736E5D19" w14:textId="77777777" w:rsidTr="000A6519">
        <w:trPr>
          <w:tblHeader/>
        </w:trPr>
        <w:tc>
          <w:tcPr>
            <w:tcW w:w="5949" w:type="dxa"/>
            <w:shd w:val="pct10" w:color="auto" w:fill="auto"/>
          </w:tcPr>
          <w:p w14:paraId="351EE868" w14:textId="77777777" w:rsidR="00633CEF" w:rsidRPr="008C072A" w:rsidRDefault="00633CEF" w:rsidP="009A5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TEXTO VIGENTE</w:t>
            </w:r>
          </w:p>
        </w:tc>
        <w:tc>
          <w:tcPr>
            <w:tcW w:w="5812" w:type="dxa"/>
            <w:shd w:val="pct10" w:color="auto" w:fill="auto"/>
          </w:tcPr>
          <w:p w14:paraId="7DC6A0D7" w14:textId="77777777" w:rsidR="00633CEF" w:rsidRPr="008C072A" w:rsidRDefault="00140AE2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TEXTO SENADO</w:t>
            </w:r>
          </w:p>
        </w:tc>
        <w:tc>
          <w:tcPr>
            <w:tcW w:w="5555" w:type="dxa"/>
            <w:shd w:val="pct10" w:color="auto" w:fill="auto"/>
          </w:tcPr>
          <w:p w14:paraId="481547C0" w14:textId="77777777" w:rsidR="00633CEF" w:rsidRDefault="000A6519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INDICACIONES</w:t>
            </w:r>
          </w:p>
        </w:tc>
      </w:tr>
      <w:tr w:rsidR="00633CEF" w:rsidRPr="008C072A" w14:paraId="68BE771B" w14:textId="77777777" w:rsidTr="000A6519">
        <w:trPr>
          <w:trHeight w:val="1175"/>
        </w:trPr>
        <w:tc>
          <w:tcPr>
            <w:tcW w:w="5949" w:type="dxa"/>
          </w:tcPr>
          <w:p w14:paraId="6BF68BCE" w14:textId="77777777" w:rsidR="00633CEF" w:rsidRDefault="00633CEF" w:rsidP="00FF2B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E4443" w14:textId="77777777" w:rsidR="00633CEF" w:rsidRPr="00605FE9" w:rsidRDefault="00605FE9" w:rsidP="00FF2B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5FE9">
              <w:rPr>
                <w:rFonts w:ascii="Arial" w:hAnsi="Arial" w:cs="Arial"/>
                <w:bCs/>
                <w:sz w:val="20"/>
                <w:szCs w:val="20"/>
              </w:rPr>
              <w:t>Ley 20600 CREA LOS TRIBUNALES AMBIENTALES</w:t>
            </w:r>
          </w:p>
          <w:p w14:paraId="776DA3DD" w14:textId="77777777" w:rsidR="00633CEF" w:rsidRDefault="00633CEF" w:rsidP="00FF2B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345A48" w14:textId="77777777" w:rsidR="00633CEF" w:rsidRDefault="00633CEF" w:rsidP="00FF2B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865E2" w14:textId="77777777" w:rsidR="00633CEF" w:rsidRPr="00AB4798" w:rsidRDefault="00633CEF" w:rsidP="00F63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0E94DE4" w14:textId="77777777" w:rsidR="00605FE9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E05E9" w14:textId="77777777" w:rsidR="00633CEF" w:rsidRPr="008C072A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“Artículo único.- </w:t>
            </w:r>
            <w:proofErr w:type="spellStart"/>
            <w:r w:rsidRPr="00605FE9">
              <w:rPr>
                <w:rFonts w:ascii="Arial" w:hAnsi="Arial" w:cs="Arial"/>
                <w:sz w:val="20"/>
                <w:szCs w:val="20"/>
              </w:rPr>
              <w:t>Modifícase</w:t>
            </w:r>
            <w:proofErr w:type="spellEnd"/>
            <w:r w:rsidRPr="00605FE9">
              <w:rPr>
                <w:rFonts w:ascii="Arial" w:hAnsi="Arial" w:cs="Arial"/>
                <w:sz w:val="20"/>
                <w:szCs w:val="20"/>
              </w:rPr>
              <w:t xml:space="preserve"> el artículo 26 de la ley N° 20.600, que crea los Tribunales Ambientales, de la siguiente manera:</w:t>
            </w:r>
          </w:p>
        </w:tc>
        <w:tc>
          <w:tcPr>
            <w:tcW w:w="5555" w:type="dxa"/>
          </w:tcPr>
          <w:p w14:paraId="2F158C92" w14:textId="77777777" w:rsidR="00633CEF" w:rsidRDefault="00633CEF" w:rsidP="00593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FE9" w:rsidRPr="008C072A" w14:paraId="51DCFF4D" w14:textId="77777777" w:rsidTr="000A6519">
        <w:trPr>
          <w:trHeight w:val="1175"/>
        </w:trPr>
        <w:tc>
          <w:tcPr>
            <w:tcW w:w="5949" w:type="dxa"/>
          </w:tcPr>
          <w:p w14:paraId="6DEC3E3E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Artículo 26.- Recursos. En estos procedimientos sólo serán apelables las resoluciones que declaren la inadmisibilidad de la demanda, las que reciban la causa a prueba y las que pongan término al proceso o hagan imposible su continuación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FE9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Pr="00605FE9">
              <w:rPr>
                <w:rFonts w:ascii="Arial" w:hAnsi="Arial" w:cs="Arial"/>
                <w:sz w:val="20"/>
                <w:szCs w:val="20"/>
              </w:rPr>
              <w:t>. De este recurso conocerá la Corte de Apelaciones en cuyo territorio jurisdiccional tenga asiento el Tribunal Ambiental que haya dictado la resolución apelada.</w:t>
            </w:r>
          </w:p>
          <w:p w14:paraId="1B1CBEE5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El plazo para la interposición de la apelación será de diez días contado desde la notificación de la resolución respectiva.</w:t>
            </w:r>
          </w:p>
          <w:p w14:paraId="38D42019" w14:textId="77777777" w:rsidR="00605FE9" w:rsidRPr="00605FE9" w:rsidRDefault="00605FE9" w:rsidP="00605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05FE9">
              <w:rPr>
                <w:rFonts w:ascii="Arial" w:hAnsi="Arial" w:cs="Arial"/>
                <w:b/>
                <w:sz w:val="20"/>
                <w:szCs w:val="20"/>
              </w:rPr>
              <w:t>En contra de la sentencia definitiva dictada en los procedimientos relativos a las materias que son de la competencia de los Tribunales Ambientales, establecidas en los numerales 1), 2), 3), 5), 6), 7), 8), 9) y 10) del artículo 17, procederá sólo el recurso de casación en el fondo, en conformidad a lo dispuesto en el artículo 767 del Código de Procedimiento Civil.</w:t>
            </w:r>
          </w:p>
          <w:p w14:paraId="3CE02ECE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Además, </w:t>
            </w:r>
            <w:r w:rsidRPr="004C4E1F">
              <w:rPr>
                <w:rFonts w:ascii="Arial" w:hAnsi="Arial" w:cs="Arial"/>
                <w:b/>
                <w:sz w:val="20"/>
                <w:szCs w:val="20"/>
              </w:rPr>
              <w:t xml:space="preserve">en contra de la sentencia definitiva dictada en los procedimientos </w:t>
            </w:r>
            <w:r w:rsidRPr="00605FE9">
              <w:rPr>
                <w:rFonts w:ascii="Arial" w:hAnsi="Arial" w:cs="Arial"/>
                <w:sz w:val="20"/>
                <w:szCs w:val="20"/>
              </w:rPr>
              <w:t>señalados en el inciso anterior, procederá el recurso de casación en la forma, en conformidad a lo dispuesto en el artículo 768 del Código de Procedimiento Civil, sólo por las causales de los números 1, 4, 6 y 7 de dicho artículo. Asimismo, procederá este recurso cuando en la sentencia definitiva se hubiere omitido alguno de los requisitos establecidos en el artículo 25 de esta ley; o cuando la sentencia haya sido pronunciada con infracción manifiesta de las normas sobre apreciación de la prueba conforme a las reglas de la sana crítica.</w:t>
            </w:r>
          </w:p>
          <w:p w14:paraId="7F7078DD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lastRenderedPageBreak/>
              <w:t xml:space="preserve">    El recurso de casación deberá interponerse ante el Tribunal Ambiental que dictó la resolución recurrida para ante la Corte Suprema y tendrá preferencia para su vista y fallo. Para tales efectos, los plazos y procedimientos para el conocimiento del recurso de casación se ajustarán a lo dispuesto en el Código de Procedimiento Civil.</w:t>
            </w:r>
          </w:p>
          <w:p w14:paraId="18D9A2EF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No será aplicable para estos efectos lo dispuesto en los artículos 769 y 775 del mismo Código.</w:t>
            </w:r>
          </w:p>
          <w:p w14:paraId="704C6CFC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Ante la Corte sólo podrá rendirse prueba documental salvo que ella, de oficio, disponga la práctica de otras pruebas.</w:t>
            </w:r>
          </w:p>
        </w:tc>
        <w:tc>
          <w:tcPr>
            <w:tcW w:w="5812" w:type="dxa"/>
          </w:tcPr>
          <w:p w14:paraId="3EFDE84C" w14:textId="77777777" w:rsidR="00605FE9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lastRenderedPageBreak/>
              <w:t xml:space="preserve">1.- </w:t>
            </w:r>
            <w:proofErr w:type="spellStart"/>
            <w:r w:rsidRPr="00605FE9">
              <w:rPr>
                <w:rFonts w:ascii="Arial" w:hAnsi="Arial" w:cs="Arial"/>
                <w:sz w:val="20"/>
                <w:szCs w:val="20"/>
              </w:rPr>
              <w:t>Agrégase</w:t>
            </w:r>
            <w:proofErr w:type="spellEnd"/>
            <w:r w:rsidRPr="00605FE9">
              <w:rPr>
                <w:rFonts w:ascii="Arial" w:hAnsi="Arial" w:cs="Arial"/>
                <w:sz w:val="20"/>
                <w:szCs w:val="20"/>
              </w:rPr>
              <w:t>, en el inciso primero, entre la palabra “continuación” y el punto y seguido, la siguiente frase: “, no consideradas en el inciso tercero del presente artículo ni en el numeral 4) del artículo 17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Pr="00605FE9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2DC5830D" w14:textId="77777777" w:rsidR="00605FE9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16297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2.- </w:t>
            </w:r>
            <w:proofErr w:type="spellStart"/>
            <w:r w:rsidRPr="00605FE9">
              <w:rPr>
                <w:rFonts w:ascii="Arial" w:hAnsi="Arial" w:cs="Arial"/>
                <w:sz w:val="20"/>
                <w:szCs w:val="20"/>
              </w:rPr>
              <w:t>Reemplázase</w:t>
            </w:r>
            <w:proofErr w:type="spellEnd"/>
            <w:r w:rsidRPr="00605FE9">
              <w:rPr>
                <w:rFonts w:ascii="Arial" w:hAnsi="Arial" w:cs="Arial"/>
                <w:sz w:val="20"/>
                <w:szCs w:val="20"/>
              </w:rPr>
              <w:t xml:space="preserve"> el inciso tercero, por el siguiente:</w:t>
            </w:r>
          </w:p>
          <w:p w14:paraId="206FFEAB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89A85D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“En contra de la sentencia dictada en los procedimientos relativos a las materias que son de la competencia de los Tribunales Ambientales, con excepción del numeral 4) del artículo 17, ya sea la que acoja o rechace, total o parcialmente, la reclamación o la acción de declaración, e incluso si retrotrae el procedimiento administrativo respectivo, procederá respecto de todas las partes, solamente el recurso de casación en el fondo, en conformidad a lo dispuesto en esta ley, siempre que se haya pronunciado con infracción de ley y esta infracción haya influido substancialmente en lo dispositivo de la sentencia.”.</w:t>
            </w:r>
          </w:p>
          <w:p w14:paraId="530C9AC7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A9777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3.- </w:t>
            </w:r>
            <w:proofErr w:type="spellStart"/>
            <w:r w:rsidRPr="00605FE9">
              <w:rPr>
                <w:rFonts w:ascii="Arial" w:hAnsi="Arial" w:cs="Arial"/>
                <w:sz w:val="20"/>
                <w:szCs w:val="20"/>
              </w:rPr>
              <w:t>Sustitúyese</w:t>
            </w:r>
            <w:proofErr w:type="spellEnd"/>
            <w:r w:rsidRPr="00605FE9">
              <w:rPr>
                <w:rFonts w:ascii="Arial" w:hAnsi="Arial" w:cs="Arial"/>
                <w:sz w:val="20"/>
                <w:szCs w:val="20"/>
              </w:rPr>
              <w:t>, en el inciso cuarto, la frase “en contra de la sentencia definitiva dictada en los procedimientos”, por la siguiente: “en los casos”.”.</w:t>
            </w:r>
          </w:p>
        </w:tc>
        <w:tc>
          <w:tcPr>
            <w:tcW w:w="5555" w:type="dxa"/>
          </w:tcPr>
          <w:p w14:paraId="36B17B89" w14:textId="77777777" w:rsidR="00605FE9" w:rsidRDefault="00605FE9" w:rsidP="00593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B0038" w14:textId="77777777" w:rsidR="00593FB5" w:rsidRPr="008C072A" w:rsidRDefault="00593FB5">
      <w:pPr>
        <w:rPr>
          <w:rFonts w:ascii="Arial" w:hAnsi="Arial" w:cs="Arial"/>
          <w:sz w:val="20"/>
          <w:szCs w:val="20"/>
        </w:rPr>
      </w:pPr>
    </w:p>
    <w:sectPr w:rsidR="00593FB5" w:rsidRPr="008C072A" w:rsidSect="00593FB5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90FA" w14:textId="77777777" w:rsidR="0088190C" w:rsidRDefault="0088190C" w:rsidP="00593FB5">
      <w:pPr>
        <w:spacing w:after="0" w:line="240" w:lineRule="auto"/>
      </w:pPr>
      <w:r>
        <w:separator/>
      </w:r>
    </w:p>
  </w:endnote>
  <w:endnote w:type="continuationSeparator" w:id="0">
    <w:p w14:paraId="3FC8AAC2" w14:textId="77777777" w:rsidR="0088190C" w:rsidRDefault="0088190C" w:rsidP="0059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385885"/>
      <w:docPartObj>
        <w:docPartGallery w:val="Page Numbers (Bottom of Page)"/>
        <w:docPartUnique/>
      </w:docPartObj>
    </w:sdtPr>
    <w:sdtContent>
      <w:p w14:paraId="6BEC1EE9" w14:textId="77777777" w:rsidR="00593FB5" w:rsidRDefault="000B626A">
        <w:pPr>
          <w:pStyle w:val="Piedepgina"/>
          <w:jc w:val="right"/>
        </w:pPr>
        <w:r>
          <w:fldChar w:fldCharType="begin"/>
        </w:r>
        <w:r w:rsidR="00593FB5">
          <w:instrText>PAGE   \* MERGEFORMAT</w:instrText>
        </w:r>
        <w:r>
          <w:fldChar w:fldCharType="separate"/>
        </w:r>
        <w:r w:rsidR="004C4E1F" w:rsidRPr="004C4E1F">
          <w:rPr>
            <w:noProof/>
            <w:lang w:val="es-ES"/>
          </w:rPr>
          <w:t>2</w:t>
        </w:r>
        <w:r>
          <w:fldChar w:fldCharType="end"/>
        </w:r>
      </w:p>
    </w:sdtContent>
  </w:sdt>
  <w:p w14:paraId="5C6AC96D" w14:textId="77777777" w:rsidR="00593FB5" w:rsidRPr="00593FB5" w:rsidRDefault="00593FB5" w:rsidP="00593FB5">
    <w:pPr>
      <w:pStyle w:val="Piedepgina"/>
      <w:jc w:val="center"/>
      <w:rPr>
        <w:rFonts w:ascii="Arial Black" w:hAnsi="Arial Black"/>
        <w:i/>
        <w:iCs/>
      </w:rPr>
    </w:pPr>
    <w:r>
      <w:rPr>
        <w:rFonts w:ascii="Arial Black" w:hAnsi="Arial Black"/>
        <w:i/>
        <w:iCs/>
      </w:rPr>
      <w:t>COMISION DE MEDIO AMBIENTE Y RECURSOS NATURALES (</w:t>
    </w:r>
    <w:r w:rsidR="00140AE2">
      <w:rPr>
        <w:rFonts w:ascii="Arial Black" w:hAnsi="Arial Black"/>
        <w:i/>
        <w:iCs/>
      </w:rPr>
      <w:t>14</w:t>
    </w:r>
    <w:r w:rsidR="00FF425B">
      <w:rPr>
        <w:rFonts w:ascii="Arial Black" w:hAnsi="Arial Black"/>
        <w:i/>
        <w:iCs/>
      </w:rPr>
      <w:t xml:space="preserve"> de</w:t>
    </w:r>
    <w:r w:rsidR="00140AE2">
      <w:rPr>
        <w:rFonts w:ascii="Arial Black" w:hAnsi="Arial Black"/>
        <w:i/>
        <w:iCs/>
      </w:rPr>
      <w:t xml:space="preserve"> abril</w:t>
    </w:r>
    <w:r w:rsidR="00E40F78">
      <w:rPr>
        <w:rFonts w:ascii="Arial Black" w:hAnsi="Arial Black"/>
        <w:i/>
        <w:iCs/>
      </w:rPr>
      <w:t xml:space="preserve"> </w:t>
    </w:r>
    <w:r>
      <w:rPr>
        <w:rFonts w:ascii="Arial Black" w:hAnsi="Arial Black"/>
        <w:i/>
        <w:iCs/>
      </w:rPr>
      <w:t>202</w:t>
    </w:r>
    <w:r w:rsidR="00140AE2">
      <w:rPr>
        <w:rFonts w:ascii="Arial Black" w:hAnsi="Arial Black"/>
        <w:i/>
        <w:iCs/>
      </w:rPr>
      <w:t>5</w:t>
    </w:r>
    <w:r>
      <w:rPr>
        <w:rFonts w:ascii="Arial Black" w:hAnsi="Arial Black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9E51" w14:textId="77777777" w:rsidR="0088190C" w:rsidRDefault="0088190C" w:rsidP="00593FB5">
      <w:pPr>
        <w:spacing w:after="0" w:line="240" w:lineRule="auto"/>
      </w:pPr>
      <w:r>
        <w:separator/>
      </w:r>
    </w:p>
  </w:footnote>
  <w:footnote w:type="continuationSeparator" w:id="0">
    <w:p w14:paraId="6A454918" w14:textId="77777777" w:rsidR="0088190C" w:rsidRDefault="0088190C" w:rsidP="00593FB5">
      <w:pPr>
        <w:spacing w:after="0" w:line="240" w:lineRule="auto"/>
      </w:pPr>
      <w:r>
        <w:continuationSeparator/>
      </w:r>
    </w:p>
  </w:footnote>
  <w:footnote w:id="1">
    <w:p w14:paraId="1FC4D3C4" w14:textId="77777777" w:rsidR="00605FE9" w:rsidRPr="00605FE9" w:rsidRDefault="00605F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05FE9">
        <w:t xml:space="preserve"> </w:t>
      </w:r>
      <w:r>
        <w:t xml:space="preserve">Los tribunales ambientales serán competentes para (…) </w:t>
      </w:r>
      <w:r w:rsidRPr="00605FE9">
        <w:t>4) Autorizar las medidas provisionales señaladas en las letras c), d) y e) del artículo 48 de la Ley Orgánica de la Superintendencia del Medio Ambiente, así como las suspensiones señaladas en las letras g) y h) del artículo 3° de esa ley, y las resoluciones de la Superintendencia que apliquen las sanciones establecidas en las letras c) y d) del artículo 38 de la misma ley, elevadas en consulta. Será competente para autorizar estas medidas el Tribunal Ambiental del lugar en que las mismas vayan a ser ejecutadas.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3098" w14:textId="77777777" w:rsidR="00593FB5" w:rsidRPr="00621E09" w:rsidRDefault="00593FB5" w:rsidP="00DD4F08">
    <w:pPr>
      <w:pStyle w:val="Encabezado"/>
      <w:spacing w:before="120"/>
      <w:jc w:val="center"/>
      <w:rPr>
        <w:rFonts w:ascii="Arial" w:hAnsi="Arial" w:cs="Arial"/>
        <w:b/>
        <w:bCs/>
      </w:rPr>
    </w:pPr>
    <w:r w:rsidRPr="00621E09">
      <w:rPr>
        <w:rFonts w:ascii="Arial" w:hAnsi="Arial" w:cs="Arial"/>
        <w:b/>
        <w:bCs/>
      </w:rPr>
      <w:t xml:space="preserve">Comparado proyecto </w:t>
    </w:r>
    <w:r w:rsidR="00140AE2">
      <w:rPr>
        <w:rFonts w:ascii="Arial" w:hAnsi="Arial" w:cs="Arial"/>
        <w:b/>
        <w:bCs/>
      </w:rPr>
      <w:t>que m</w:t>
    </w:r>
    <w:r w:rsidR="00140AE2" w:rsidRPr="00140AE2">
      <w:rPr>
        <w:rFonts w:ascii="Arial" w:hAnsi="Arial" w:cs="Arial"/>
        <w:b/>
        <w:bCs/>
      </w:rPr>
      <w:t xml:space="preserve">odifica la ley </w:t>
    </w:r>
    <w:proofErr w:type="spellStart"/>
    <w:r w:rsidR="00140AE2" w:rsidRPr="00140AE2">
      <w:rPr>
        <w:rFonts w:ascii="Arial" w:hAnsi="Arial" w:cs="Arial"/>
        <w:b/>
        <w:bCs/>
      </w:rPr>
      <w:t>N°</w:t>
    </w:r>
    <w:proofErr w:type="spellEnd"/>
    <w:r w:rsidR="00140AE2" w:rsidRPr="00140AE2">
      <w:rPr>
        <w:rFonts w:ascii="Arial" w:hAnsi="Arial" w:cs="Arial"/>
        <w:b/>
        <w:bCs/>
      </w:rPr>
      <w:t xml:space="preserve"> 20.600, que crea los Tribunales Ambientales, en materia de procedencia del recurso de apelación y casación en los casos que indica</w:t>
    </w:r>
    <w:r w:rsidR="00CD68EC" w:rsidRPr="00621E09">
      <w:rPr>
        <w:rFonts w:ascii="Arial" w:hAnsi="Arial" w:cs="Arial"/>
        <w:b/>
        <w:bCs/>
      </w:rPr>
      <w:t xml:space="preserve"> </w:t>
    </w:r>
    <w:r w:rsidRPr="00621E09">
      <w:rPr>
        <w:rFonts w:ascii="Arial" w:hAnsi="Arial" w:cs="Arial"/>
        <w:b/>
        <w:bCs/>
      </w:rPr>
      <w:t>(</w:t>
    </w:r>
    <w:r w:rsidR="00CD68EC" w:rsidRPr="00621E09">
      <w:rPr>
        <w:rFonts w:ascii="Arial" w:hAnsi="Arial" w:cs="Arial"/>
        <w:b/>
        <w:bCs/>
      </w:rPr>
      <w:t>Boletín N°1</w:t>
    </w:r>
    <w:r w:rsidR="00140AE2">
      <w:rPr>
        <w:rFonts w:ascii="Arial" w:hAnsi="Arial" w:cs="Arial"/>
        <w:b/>
        <w:bCs/>
      </w:rPr>
      <w:t>6</w:t>
    </w:r>
    <w:r w:rsidR="00CD68EC" w:rsidRPr="00621E09">
      <w:rPr>
        <w:rFonts w:ascii="Arial" w:hAnsi="Arial" w:cs="Arial"/>
        <w:b/>
        <w:bCs/>
      </w:rPr>
      <w:t>.</w:t>
    </w:r>
    <w:r w:rsidR="00140AE2">
      <w:rPr>
        <w:rFonts w:ascii="Arial" w:hAnsi="Arial" w:cs="Arial"/>
        <w:b/>
        <w:bCs/>
      </w:rPr>
      <w:t>204</w:t>
    </w:r>
    <w:r w:rsidRPr="00621E09">
      <w:rPr>
        <w:rFonts w:ascii="Arial" w:hAnsi="Arial" w:cs="Arial"/>
        <w:b/>
        <w:bCs/>
      </w:rPr>
      <w:t>-12)</w:t>
    </w:r>
    <w:r w:rsidR="00140AE2">
      <w:rPr>
        <w:rFonts w:ascii="Arial" w:hAnsi="Arial" w:cs="Arial"/>
        <w:b/>
        <w:bCs/>
      </w:rPr>
      <w:t xml:space="preserve">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92F1D"/>
    <w:multiLevelType w:val="hybridMultilevel"/>
    <w:tmpl w:val="5658C1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5"/>
    <w:rsid w:val="00000230"/>
    <w:rsid w:val="00001861"/>
    <w:rsid w:val="00002E42"/>
    <w:rsid w:val="00011F07"/>
    <w:rsid w:val="000130BB"/>
    <w:rsid w:val="00030319"/>
    <w:rsid w:val="00062A42"/>
    <w:rsid w:val="00083479"/>
    <w:rsid w:val="0008705D"/>
    <w:rsid w:val="000A6519"/>
    <w:rsid w:val="000B36C3"/>
    <w:rsid w:val="000B41E2"/>
    <w:rsid w:val="000B626A"/>
    <w:rsid w:val="000D3709"/>
    <w:rsid w:val="000E196F"/>
    <w:rsid w:val="000E571B"/>
    <w:rsid w:val="001102D0"/>
    <w:rsid w:val="00140AE2"/>
    <w:rsid w:val="001560EE"/>
    <w:rsid w:val="00157D9B"/>
    <w:rsid w:val="00162C4B"/>
    <w:rsid w:val="00165FD2"/>
    <w:rsid w:val="0019074C"/>
    <w:rsid w:val="001A1DD4"/>
    <w:rsid w:val="001B5CFD"/>
    <w:rsid w:val="001B79A0"/>
    <w:rsid w:val="001C7CAF"/>
    <w:rsid w:val="001D38A3"/>
    <w:rsid w:val="001E1F51"/>
    <w:rsid w:val="001F14D8"/>
    <w:rsid w:val="00211D57"/>
    <w:rsid w:val="00212CC4"/>
    <w:rsid w:val="00221CD9"/>
    <w:rsid w:val="00257166"/>
    <w:rsid w:val="00260046"/>
    <w:rsid w:val="00267770"/>
    <w:rsid w:val="00274C3E"/>
    <w:rsid w:val="00280D88"/>
    <w:rsid w:val="0028735E"/>
    <w:rsid w:val="002878B4"/>
    <w:rsid w:val="00290605"/>
    <w:rsid w:val="002917B6"/>
    <w:rsid w:val="00293110"/>
    <w:rsid w:val="002A09B3"/>
    <w:rsid w:val="002B00CE"/>
    <w:rsid w:val="002E294C"/>
    <w:rsid w:val="002F1382"/>
    <w:rsid w:val="002F6163"/>
    <w:rsid w:val="003218AC"/>
    <w:rsid w:val="00363C64"/>
    <w:rsid w:val="003668F9"/>
    <w:rsid w:val="00376247"/>
    <w:rsid w:val="00377E77"/>
    <w:rsid w:val="003914C2"/>
    <w:rsid w:val="00396968"/>
    <w:rsid w:val="003A37B7"/>
    <w:rsid w:val="003A799F"/>
    <w:rsid w:val="003D0665"/>
    <w:rsid w:val="003D6742"/>
    <w:rsid w:val="004059E2"/>
    <w:rsid w:val="004225BF"/>
    <w:rsid w:val="00432216"/>
    <w:rsid w:val="004444F5"/>
    <w:rsid w:val="00451946"/>
    <w:rsid w:val="0045647E"/>
    <w:rsid w:val="00457A8B"/>
    <w:rsid w:val="00462314"/>
    <w:rsid w:val="004712C6"/>
    <w:rsid w:val="00471D55"/>
    <w:rsid w:val="00475A47"/>
    <w:rsid w:val="004929F6"/>
    <w:rsid w:val="004A5746"/>
    <w:rsid w:val="004B066B"/>
    <w:rsid w:val="004B449A"/>
    <w:rsid w:val="004B7B38"/>
    <w:rsid w:val="004C37A9"/>
    <w:rsid w:val="004C4E1F"/>
    <w:rsid w:val="004E364F"/>
    <w:rsid w:val="004F762D"/>
    <w:rsid w:val="00502E08"/>
    <w:rsid w:val="0051300E"/>
    <w:rsid w:val="00534558"/>
    <w:rsid w:val="00536169"/>
    <w:rsid w:val="00542832"/>
    <w:rsid w:val="005434DD"/>
    <w:rsid w:val="00544FDD"/>
    <w:rsid w:val="00546366"/>
    <w:rsid w:val="00547800"/>
    <w:rsid w:val="0055615F"/>
    <w:rsid w:val="00557496"/>
    <w:rsid w:val="00561EAA"/>
    <w:rsid w:val="00574896"/>
    <w:rsid w:val="00592A1A"/>
    <w:rsid w:val="00593FB5"/>
    <w:rsid w:val="00595B10"/>
    <w:rsid w:val="005960F5"/>
    <w:rsid w:val="005A3C0A"/>
    <w:rsid w:val="005C3909"/>
    <w:rsid w:val="005D765C"/>
    <w:rsid w:val="005E1EF4"/>
    <w:rsid w:val="005E302F"/>
    <w:rsid w:val="005E7937"/>
    <w:rsid w:val="005F1553"/>
    <w:rsid w:val="00600751"/>
    <w:rsid w:val="00605FE9"/>
    <w:rsid w:val="00613E11"/>
    <w:rsid w:val="00621E09"/>
    <w:rsid w:val="006241B6"/>
    <w:rsid w:val="00625EC1"/>
    <w:rsid w:val="00627F11"/>
    <w:rsid w:val="00630E99"/>
    <w:rsid w:val="00633CEF"/>
    <w:rsid w:val="00641159"/>
    <w:rsid w:val="00641B8D"/>
    <w:rsid w:val="006568E2"/>
    <w:rsid w:val="00657187"/>
    <w:rsid w:val="00663117"/>
    <w:rsid w:val="00663CA5"/>
    <w:rsid w:val="006700A5"/>
    <w:rsid w:val="006846E1"/>
    <w:rsid w:val="006935DC"/>
    <w:rsid w:val="006B0210"/>
    <w:rsid w:val="006B5211"/>
    <w:rsid w:val="006E28DA"/>
    <w:rsid w:val="006E2D13"/>
    <w:rsid w:val="006F2850"/>
    <w:rsid w:val="007142C9"/>
    <w:rsid w:val="007220AC"/>
    <w:rsid w:val="00724C5A"/>
    <w:rsid w:val="00730749"/>
    <w:rsid w:val="00740690"/>
    <w:rsid w:val="00752A6F"/>
    <w:rsid w:val="00752EEA"/>
    <w:rsid w:val="007558BC"/>
    <w:rsid w:val="00764E63"/>
    <w:rsid w:val="00765BE9"/>
    <w:rsid w:val="00766890"/>
    <w:rsid w:val="007746A7"/>
    <w:rsid w:val="00783901"/>
    <w:rsid w:val="007934CF"/>
    <w:rsid w:val="007950D9"/>
    <w:rsid w:val="007963CC"/>
    <w:rsid w:val="007C282B"/>
    <w:rsid w:val="007C6A8B"/>
    <w:rsid w:val="007F5DD6"/>
    <w:rsid w:val="00827C5A"/>
    <w:rsid w:val="0084049F"/>
    <w:rsid w:val="00847B9C"/>
    <w:rsid w:val="0085651E"/>
    <w:rsid w:val="0086524F"/>
    <w:rsid w:val="008660BE"/>
    <w:rsid w:val="0088190C"/>
    <w:rsid w:val="008955C0"/>
    <w:rsid w:val="008A4F6F"/>
    <w:rsid w:val="008B76F0"/>
    <w:rsid w:val="008C072A"/>
    <w:rsid w:val="008C27D8"/>
    <w:rsid w:val="008D53B3"/>
    <w:rsid w:val="008F4BE1"/>
    <w:rsid w:val="00930904"/>
    <w:rsid w:val="00940974"/>
    <w:rsid w:val="00940DB5"/>
    <w:rsid w:val="0094534C"/>
    <w:rsid w:val="00963DB9"/>
    <w:rsid w:val="00973876"/>
    <w:rsid w:val="00975FF1"/>
    <w:rsid w:val="009766E3"/>
    <w:rsid w:val="00980521"/>
    <w:rsid w:val="009902DB"/>
    <w:rsid w:val="009A55E7"/>
    <w:rsid w:val="009A68EA"/>
    <w:rsid w:val="009B2B6E"/>
    <w:rsid w:val="009C4AAB"/>
    <w:rsid w:val="009D3143"/>
    <w:rsid w:val="009D4AC6"/>
    <w:rsid w:val="009D71AD"/>
    <w:rsid w:val="00A04583"/>
    <w:rsid w:val="00A25EDA"/>
    <w:rsid w:val="00A279AA"/>
    <w:rsid w:val="00A37279"/>
    <w:rsid w:val="00A419DF"/>
    <w:rsid w:val="00A4514C"/>
    <w:rsid w:val="00A53AA3"/>
    <w:rsid w:val="00A61BCA"/>
    <w:rsid w:val="00A75A4B"/>
    <w:rsid w:val="00A80F14"/>
    <w:rsid w:val="00A8463C"/>
    <w:rsid w:val="00A86CF8"/>
    <w:rsid w:val="00AA5C7B"/>
    <w:rsid w:val="00AB4798"/>
    <w:rsid w:val="00AC41DD"/>
    <w:rsid w:val="00AD3AE7"/>
    <w:rsid w:val="00AF76B7"/>
    <w:rsid w:val="00AF7B9B"/>
    <w:rsid w:val="00B240A4"/>
    <w:rsid w:val="00B25BD2"/>
    <w:rsid w:val="00B56B07"/>
    <w:rsid w:val="00B61B46"/>
    <w:rsid w:val="00B63165"/>
    <w:rsid w:val="00B805CA"/>
    <w:rsid w:val="00B82081"/>
    <w:rsid w:val="00B92A40"/>
    <w:rsid w:val="00BC4EA5"/>
    <w:rsid w:val="00BC6AF4"/>
    <w:rsid w:val="00BF49B6"/>
    <w:rsid w:val="00BF7E6B"/>
    <w:rsid w:val="00C058A7"/>
    <w:rsid w:val="00C125FE"/>
    <w:rsid w:val="00C13DE9"/>
    <w:rsid w:val="00C23018"/>
    <w:rsid w:val="00C2302D"/>
    <w:rsid w:val="00C36CD3"/>
    <w:rsid w:val="00C56D27"/>
    <w:rsid w:val="00C60480"/>
    <w:rsid w:val="00C7323F"/>
    <w:rsid w:val="00C760EE"/>
    <w:rsid w:val="00C831EA"/>
    <w:rsid w:val="00CD68EC"/>
    <w:rsid w:val="00D0418C"/>
    <w:rsid w:val="00D04E02"/>
    <w:rsid w:val="00D11171"/>
    <w:rsid w:val="00D16D17"/>
    <w:rsid w:val="00D17E01"/>
    <w:rsid w:val="00D2557F"/>
    <w:rsid w:val="00D27D44"/>
    <w:rsid w:val="00D42D04"/>
    <w:rsid w:val="00D45708"/>
    <w:rsid w:val="00D666BD"/>
    <w:rsid w:val="00D7067E"/>
    <w:rsid w:val="00D9145F"/>
    <w:rsid w:val="00DA22D8"/>
    <w:rsid w:val="00DA23AB"/>
    <w:rsid w:val="00DB1EEF"/>
    <w:rsid w:val="00DC1E06"/>
    <w:rsid w:val="00DC426E"/>
    <w:rsid w:val="00DD4F08"/>
    <w:rsid w:val="00DF61A3"/>
    <w:rsid w:val="00E1594B"/>
    <w:rsid w:val="00E34840"/>
    <w:rsid w:val="00E40F78"/>
    <w:rsid w:val="00E445C5"/>
    <w:rsid w:val="00E46D8F"/>
    <w:rsid w:val="00E47951"/>
    <w:rsid w:val="00E50451"/>
    <w:rsid w:val="00E574FB"/>
    <w:rsid w:val="00E73A98"/>
    <w:rsid w:val="00E740CA"/>
    <w:rsid w:val="00E87449"/>
    <w:rsid w:val="00E92715"/>
    <w:rsid w:val="00E94C94"/>
    <w:rsid w:val="00E965FE"/>
    <w:rsid w:val="00EA5B0C"/>
    <w:rsid w:val="00EB6316"/>
    <w:rsid w:val="00F015D4"/>
    <w:rsid w:val="00F03FD7"/>
    <w:rsid w:val="00F2629A"/>
    <w:rsid w:val="00F637FE"/>
    <w:rsid w:val="00F659AE"/>
    <w:rsid w:val="00F7641D"/>
    <w:rsid w:val="00F769B1"/>
    <w:rsid w:val="00F77AA1"/>
    <w:rsid w:val="00F85F03"/>
    <w:rsid w:val="00F948DD"/>
    <w:rsid w:val="00FA1D87"/>
    <w:rsid w:val="00FC2EF3"/>
    <w:rsid w:val="00FE5AF5"/>
    <w:rsid w:val="00FE6EF4"/>
    <w:rsid w:val="00FF2BA1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6E25"/>
  <w15:docId w15:val="{9DB10B83-2220-407B-A34C-56E2184B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5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FB5"/>
  </w:style>
  <w:style w:type="paragraph" w:styleId="Piedepgina">
    <w:name w:val="footer"/>
    <w:basedOn w:val="Normal"/>
    <w:link w:val="Piedepgina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FB5"/>
  </w:style>
  <w:style w:type="character" w:customStyle="1" w:styleId="Ttulo2Car">
    <w:name w:val="Título 2 Car"/>
    <w:basedOn w:val="Fuentedeprrafopredeter"/>
    <w:link w:val="Ttulo2"/>
    <w:uiPriority w:val="9"/>
    <w:semiHidden/>
    <w:rsid w:val="00CD6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102D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05C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30E9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5F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F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5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55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1348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A063-129E-4838-A8E8-BFACF1C9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Ortiz</dc:creator>
  <cp:lastModifiedBy>Silvia Rivas Mena</cp:lastModifiedBy>
  <cp:revision>2</cp:revision>
  <dcterms:created xsi:type="dcterms:W3CDTF">2025-04-14T18:23:00Z</dcterms:created>
  <dcterms:modified xsi:type="dcterms:W3CDTF">2025-04-14T18:23:00Z</dcterms:modified>
</cp:coreProperties>
</file>